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85" w:lineRule="exact"/>
        <w:rPr>
          <w:sz w:val="24"/>
          <w:szCs w:val="24"/>
          <w:color w:val="auto"/>
        </w:rPr>
      </w:pPr>
    </w:p>
    <w:p>
      <w:pPr>
        <w:ind w:left="580" w:hanging="384"/>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15"/>
          <w:szCs w:val="15"/>
          <w:b w:val="1"/>
          <w:bCs w:val="1"/>
          <w:color w:val="auto"/>
        </w:rPr>
        <w:t>ANNUAL REPORT PURSUANT TO SECTION 13 OR 15(d) OF THE SECURITIES EXCHANGE ACT OF 1934</w:t>
      </w:r>
    </w:p>
    <w:p>
      <w:pPr>
        <w:spacing w:after="0" w:line="8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 xml:space="preserve">for the fiscal year ended December 31, 2022 </w:t>
      </w:r>
      <w:r>
        <w:rPr>
          <w:rFonts w:ascii="Arial" w:cs="Arial" w:eastAsia="Arial" w:hAnsi="Arial"/>
          <w:sz w:val="15"/>
          <w:szCs w:val="15"/>
          <w:b w:val="1"/>
          <w:bCs w:val="1"/>
          <w:color w:val="auto"/>
        </w:rPr>
        <w:t>or</w:t>
      </w:r>
    </w:p>
    <w:p>
      <w:pPr>
        <w:spacing w:after="0" w:line="205" w:lineRule="exact"/>
        <w:rPr>
          <w:sz w:val="24"/>
          <w:szCs w:val="24"/>
          <w:color w:val="auto"/>
        </w:rPr>
      </w:pPr>
    </w:p>
    <w:p>
      <w:pPr>
        <w:ind w:left="580" w:hanging="384"/>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61" w:lineRule="exact"/>
        <w:rPr>
          <w:sz w:val="24"/>
          <w:szCs w:val="24"/>
          <w:color w:val="auto"/>
        </w:rPr>
      </w:pPr>
    </w:p>
    <w:p>
      <w:pPr>
        <w:ind w:left="420"/>
        <w:spacing w:after="0"/>
        <w:rPr>
          <w:sz w:val="20"/>
          <w:szCs w:val="20"/>
          <w:color w:val="auto"/>
        </w:rPr>
      </w:pPr>
      <w:r>
        <w:rPr>
          <w:rFonts w:ascii="Arial" w:cs="Arial" w:eastAsia="Arial" w:hAnsi="Arial"/>
          <w:sz w:val="15"/>
          <w:szCs w:val="15"/>
          <w:color w:val="auto"/>
        </w:rPr>
        <w:t>For the transition period from __________ to _________</w:t>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No.</w:t>
      </w:r>
      <w:r>
        <w:rPr>
          <w:rFonts w:ascii="Arial" w:cs="Arial" w:eastAsia="Arial" w:hAnsi="Arial"/>
          <w:sz w:val="15"/>
          <w:szCs w:val="15"/>
          <w:b w:val="1"/>
          <w:bCs w:val="1"/>
          <w:color w:val="auto"/>
        </w:rPr>
        <w:t>: 000-10235</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3520" w:type="dxa"/>
            <w:vAlign w:val="bottom"/>
          </w:tcPr>
          <w:p>
            <w:pPr>
              <w:spacing w:after="0"/>
              <w:rPr>
                <w:sz w:val="22"/>
                <w:szCs w:val="22"/>
                <w:color w:val="auto"/>
              </w:rPr>
            </w:pPr>
          </w:p>
        </w:tc>
        <w:tc>
          <w:tcPr>
            <w:tcW w:w="6160" w:type="dxa"/>
            <w:vAlign w:val="bottom"/>
            <w:gridSpan w:val="2"/>
          </w:tcPr>
          <w:p>
            <w:pPr>
              <w:jc w:val="center"/>
              <w:ind w:right="1871"/>
              <w:spacing w:after="0"/>
              <w:rPr>
                <w:sz w:val="20"/>
                <w:szCs w:val="20"/>
                <w:color w:val="auto"/>
              </w:rPr>
            </w:pPr>
            <w:r>
              <w:rPr>
                <w:rFonts w:ascii="Arial" w:cs="Arial" w:eastAsia="Arial" w:hAnsi="Arial"/>
                <w:sz w:val="20"/>
                <w:szCs w:val="20"/>
                <w:b w:val="1"/>
                <w:bCs w:val="1"/>
                <w:color w:val="auto"/>
              </w:rPr>
              <w:t>GENTEX CORPORATION</w:t>
            </w:r>
          </w:p>
        </w:tc>
      </w:tr>
      <w:tr>
        <w:trPr>
          <w:trHeight w:val="175"/>
        </w:trPr>
        <w:tc>
          <w:tcPr>
            <w:tcW w:w="3520" w:type="dxa"/>
            <w:vAlign w:val="bottom"/>
          </w:tcPr>
          <w:p>
            <w:pPr>
              <w:spacing w:after="0"/>
              <w:rPr>
                <w:sz w:val="15"/>
                <w:szCs w:val="15"/>
                <w:color w:val="auto"/>
              </w:rPr>
            </w:pPr>
          </w:p>
        </w:tc>
        <w:tc>
          <w:tcPr>
            <w:tcW w:w="6160" w:type="dxa"/>
            <w:vAlign w:val="bottom"/>
            <w:gridSpan w:val="2"/>
          </w:tcPr>
          <w:p>
            <w:pPr>
              <w:jc w:val="center"/>
              <w:ind w:right="1871"/>
              <w:spacing w:after="0"/>
              <w:rPr>
                <w:sz w:val="20"/>
                <w:szCs w:val="20"/>
                <w:color w:val="auto"/>
              </w:rPr>
            </w:pPr>
            <w:r>
              <w:rPr>
                <w:rFonts w:ascii="Arial" w:cs="Arial" w:eastAsia="Arial" w:hAnsi="Arial"/>
                <w:sz w:val="13"/>
                <w:szCs w:val="13"/>
                <w:color w:val="auto"/>
              </w:rPr>
              <w:t>(Exact name of registrant as specified in its charter)</w:t>
            </w:r>
          </w:p>
        </w:tc>
      </w:tr>
      <w:tr>
        <w:trPr>
          <w:trHeight w:val="315"/>
        </w:trPr>
        <w:tc>
          <w:tcPr>
            <w:tcW w:w="3520" w:type="dxa"/>
            <w:vAlign w:val="bottom"/>
          </w:tcPr>
          <w:p>
            <w:pPr>
              <w:jc w:val="center"/>
              <w:ind w:left="610"/>
              <w:spacing w:after="0"/>
              <w:rPr>
                <w:sz w:val="20"/>
                <w:szCs w:val="20"/>
                <w:color w:val="auto"/>
              </w:rPr>
            </w:pPr>
            <w:r>
              <w:rPr>
                <w:rFonts w:ascii="Arial" w:cs="Arial" w:eastAsia="Arial" w:hAnsi="Arial"/>
                <w:sz w:val="15"/>
                <w:szCs w:val="15"/>
                <w:b w:val="1"/>
                <w:bCs w:val="1"/>
                <w:color w:val="auto"/>
                <w:w w:val="98"/>
              </w:rPr>
              <w:t>Michigan</w:t>
            </w:r>
          </w:p>
        </w:tc>
        <w:tc>
          <w:tcPr>
            <w:tcW w:w="2440" w:type="dxa"/>
            <w:vAlign w:val="bottom"/>
          </w:tcPr>
          <w:p>
            <w:pPr>
              <w:spacing w:after="0"/>
              <w:rPr>
                <w:sz w:val="24"/>
                <w:szCs w:val="24"/>
                <w:color w:val="auto"/>
              </w:rPr>
            </w:pPr>
          </w:p>
        </w:tc>
        <w:tc>
          <w:tcPr>
            <w:tcW w:w="3720" w:type="dxa"/>
            <w:vAlign w:val="bottom"/>
          </w:tcPr>
          <w:p>
            <w:pPr>
              <w:jc w:val="right"/>
              <w:ind w:right="311"/>
              <w:spacing w:after="0"/>
              <w:rPr>
                <w:sz w:val="20"/>
                <w:szCs w:val="20"/>
                <w:color w:val="auto"/>
              </w:rPr>
            </w:pPr>
            <w:r>
              <w:rPr>
                <w:rFonts w:ascii="Arial" w:cs="Arial" w:eastAsia="Arial" w:hAnsi="Arial"/>
                <w:sz w:val="15"/>
                <w:szCs w:val="15"/>
                <w:b w:val="1"/>
                <w:bCs w:val="1"/>
                <w:color w:val="auto"/>
              </w:rPr>
              <w:t>38-2030505</w:t>
            </w:r>
          </w:p>
        </w:tc>
      </w:tr>
      <w:tr>
        <w:trPr>
          <w:trHeight w:val="138"/>
        </w:trPr>
        <w:tc>
          <w:tcPr>
            <w:tcW w:w="3520" w:type="dxa"/>
            <w:vAlign w:val="bottom"/>
          </w:tcPr>
          <w:p>
            <w:pPr>
              <w:jc w:val="center"/>
              <w:ind w:left="610"/>
              <w:spacing w:after="0" w:line="139" w:lineRule="exact"/>
              <w:rPr>
                <w:sz w:val="20"/>
                <w:szCs w:val="20"/>
                <w:color w:val="auto"/>
              </w:rPr>
            </w:pPr>
            <w:r>
              <w:rPr>
                <w:rFonts w:ascii="Arial" w:cs="Arial" w:eastAsia="Arial" w:hAnsi="Arial"/>
                <w:sz w:val="13"/>
                <w:szCs w:val="13"/>
                <w:color w:val="auto"/>
              </w:rPr>
              <w:t>State or other jurisdiction of</w:t>
            </w:r>
          </w:p>
        </w:tc>
        <w:tc>
          <w:tcPr>
            <w:tcW w:w="2440" w:type="dxa"/>
            <w:vAlign w:val="bottom"/>
          </w:tcPr>
          <w:p>
            <w:pPr>
              <w:spacing w:after="0"/>
              <w:rPr>
                <w:sz w:val="12"/>
                <w:szCs w:val="12"/>
                <w:color w:val="auto"/>
              </w:rPr>
            </w:pPr>
          </w:p>
        </w:tc>
        <w:tc>
          <w:tcPr>
            <w:tcW w:w="3720" w:type="dxa"/>
            <w:vAlign w:val="bottom"/>
          </w:tcPr>
          <w:p>
            <w:pPr>
              <w:jc w:val="center"/>
              <w:ind w:left="2071"/>
              <w:spacing w:after="0" w:line="139" w:lineRule="exact"/>
              <w:rPr>
                <w:sz w:val="20"/>
                <w:szCs w:val="20"/>
                <w:color w:val="auto"/>
              </w:rPr>
            </w:pPr>
            <w:r>
              <w:rPr>
                <w:rFonts w:ascii="Arial" w:cs="Arial" w:eastAsia="Arial" w:hAnsi="Arial"/>
                <w:sz w:val="13"/>
                <w:szCs w:val="13"/>
                <w:color w:val="auto"/>
              </w:rPr>
              <w:t>(I.R.S. Employer</w:t>
            </w:r>
          </w:p>
        </w:tc>
      </w:tr>
      <w:tr>
        <w:trPr>
          <w:trHeight w:val="175"/>
        </w:trPr>
        <w:tc>
          <w:tcPr>
            <w:tcW w:w="3520" w:type="dxa"/>
            <w:vAlign w:val="bottom"/>
          </w:tcPr>
          <w:p>
            <w:pPr>
              <w:jc w:val="center"/>
              <w:ind w:left="630"/>
              <w:spacing w:after="0"/>
              <w:rPr>
                <w:sz w:val="20"/>
                <w:szCs w:val="20"/>
                <w:color w:val="auto"/>
              </w:rPr>
            </w:pPr>
            <w:r>
              <w:rPr>
                <w:rFonts w:ascii="Arial" w:cs="Arial" w:eastAsia="Arial" w:hAnsi="Arial"/>
                <w:sz w:val="13"/>
                <w:szCs w:val="13"/>
                <w:color w:val="auto"/>
              </w:rPr>
              <w:t>incorporation or organization</w:t>
            </w:r>
          </w:p>
        </w:tc>
        <w:tc>
          <w:tcPr>
            <w:tcW w:w="2440" w:type="dxa"/>
            <w:vAlign w:val="bottom"/>
          </w:tcPr>
          <w:p>
            <w:pPr>
              <w:spacing w:after="0"/>
              <w:rPr>
                <w:sz w:val="15"/>
                <w:szCs w:val="15"/>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Identification No.)</w:t>
            </w:r>
          </w:p>
        </w:tc>
      </w:tr>
      <w:tr>
        <w:trPr>
          <w:trHeight w:val="248"/>
        </w:trPr>
        <w:tc>
          <w:tcPr>
            <w:tcW w:w="3520" w:type="dxa"/>
            <w:vAlign w:val="bottom"/>
          </w:tcPr>
          <w:p>
            <w:pPr>
              <w:jc w:val="center"/>
              <w:ind w:left="610"/>
              <w:spacing w:after="0"/>
              <w:rPr>
                <w:sz w:val="20"/>
                <w:szCs w:val="20"/>
                <w:color w:val="auto"/>
              </w:rPr>
            </w:pPr>
            <w:r>
              <w:rPr>
                <w:rFonts w:ascii="Arial" w:cs="Arial" w:eastAsia="Arial" w:hAnsi="Arial"/>
                <w:sz w:val="15"/>
                <w:szCs w:val="15"/>
                <w:b w:val="1"/>
                <w:bCs w:val="1"/>
                <w:color w:val="auto"/>
              </w:rPr>
              <w:t>600 N. Centennial Street,</w:t>
            </w:r>
          </w:p>
        </w:tc>
        <w:tc>
          <w:tcPr>
            <w:tcW w:w="2440" w:type="dxa"/>
            <w:vAlign w:val="bottom"/>
          </w:tcPr>
          <w:p>
            <w:pPr>
              <w:spacing w:after="0"/>
              <w:rPr>
                <w:sz w:val="21"/>
                <w:szCs w:val="21"/>
                <w:color w:val="auto"/>
              </w:rPr>
            </w:pPr>
          </w:p>
        </w:tc>
        <w:tc>
          <w:tcPr>
            <w:tcW w:w="3720" w:type="dxa"/>
            <w:vAlign w:val="bottom"/>
          </w:tcPr>
          <w:p>
            <w:pPr>
              <w:jc w:val="right"/>
              <w:ind w:right="511"/>
              <w:spacing w:after="0"/>
              <w:rPr>
                <w:sz w:val="20"/>
                <w:szCs w:val="20"/>
                <w:color w:val="auto"/>
              </w:rPr>
            </w:pPr>
            <w:r>
              <w:rPr>
                <w:rFonts w:ascii="Arial" w:cs="Arial" w:eastAsia="Arial" w:hAnsi="Arial"/>
                <w:sz w:val="15"/>
                <w:szCs w:val="15"/>
                <w:b w:val="1"/>
                <w:bCs w:val="1"/>
                <w:color w:val="auto"/>
              </w:rPr>
              <w:t>49464</w:t>
            </w:r>
          </w:p>
        </w:tc>
      </w:tr>
      <w:tr>
        <w:trPr>
          <w:trHeight w:val="206"/>
        </w:trPr>
        <w:tc>
          <w:tcPr>
            <w:tcW w:w="3520" w:type="dxa"/>
            <w:vAlign w:val="bottom"/>
          </w:tcPr>
          <w:p>
            <w:pPr>
              <w:ind w:left="1480"/>
              <w:spacing w:after="0"/>
              <w:rPr>
                <w:sz w:val="20"/>
                <w:szCs w:val="20"/>
                <w:color w:val="auto"/>
              </w:rPr>
            </w:pPr>
            <w:r>
              <w:rPr>
                <w:rFonts w:ascii="Arial" w:cs="Arial" w:eastAsia="Arial" w:hAnsi="Arial"/>
                <w:sz w:val="15"/>
                <w:szCs w:val="15"/>
                <w:b w:val="1"/>
                <w:bCs w:val="1"/>
                <w:color w:val="auto"/>
              </w:rPr>
              <w:t>Zeeland, Michigan</w:t>
            </w:r>
          </w:p>
        </w:tc>
        <w:tc>
          <w:tcPr>
            <w:tcW w:w="244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75"/>
        </w:trPr>
        <w:tc>
          <w:tcPr>
            <w:tcW w:w="3520" w:type="dxa"/>
            <w:vAlign w:val="bottom"/>
          </w:tcPr>
          <w:p>
            <w:pPr>
              <w:jc w:val="center"/>
              <w:ind w:left="610"/>
              <w:spacing w:after="0"/>
              <w:rPr>
                <w:sz w:val="20"/>
                <w:szCs w:val="20"/>
                <w:color w:val="auto"/>
              </w:rPr>
            </w:pPr>
            <w:r>
              <w:rPr>
                <w:rFonts w:ascii="Arial" w:cs="Arial" w:eastAsia="Arial" w:hAnsi="Arial"/>
                <w:sz w:val="13"/>
                <w:szCs w:val="13"/>
                <w:color w:val="auto"/>
              </w:rPr>
              <w:t>(Address of principal executive offices)</w:t>
            </w:r>
          </w:p>
        </w:tc>
        <w:tc>
          <w:tcPr>
            <w:tcW w:w="2440" w:type="dxa"/>
            <w:vAlign w:val="bottom"/>
          </w:tcPr>
          <w:p>
            <w:pPr>
              <w:spacing w:after="0"/>
              <w:rPr>
                <w:sz w:val="15"/>
                <w:szCs w:val="15"/>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(Zip Code)</w:t>
            </w:r>
          </w:p>
        </w:tc>
      </w:tr>
      <w:tr>
        <w:trPr>
          <w:trHeight w:val="285"/>
        </w:trPr>
        <w:tc>
          <w:tcPr>
            <w:tcW w:w="3520" w:type="dxa"/>
            <w:vAlign w:val="bottom"/>
          </w:tcPr>
          <w:p>
            <w:pPr>
              <w:spacing w:after="0"/>
              <w:rPr>
                <w:sz w:val="24"/>
                <w:szCs w:val="24"/>
                <w:color w:val="auto"/>
              </w:rPr>
            </w:pPr>
          </w:p>
        </w:tc>
        <w:tc>
          <w:tcPr>
            <w:tcW w:w="6160" w:type="dxa"/>
            <w:vAlign w:val="bottom"/>
            <w:gridSpan w:val="2"/>
          </w:tcPr>
          <w:p>
            <w:pPr>
              <w:jc w:val="center"/>
              <w:ind w:right="1891"/>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616-772-1800</w:t>
            </w:r>
          </w:p>
        </w:tc>
      </w:tr>
      <w:tr>
        <w:trPr>
          <w:trHeight w:val="382"/>
        </w:trPr>
        <w:tc>
          <w:tcPr>
            <w:tcW w:w="352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4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5"/>
        </w:trPr>
        <w:tc>
          <w:tcPr>
            <w:tcW w:w="3520" w:type="dxa"/>
            <w:vAlign w:val="bottom"/>
            <w:tcBorders>
              <w:bottom w:val="single" w:sz="8" w:color="auto"/>
            </w:tcBorders>
          </w:tcPr>
          <w:p>
            <w:pPr>
              <w:jc w:val="center"/>
              <w:ind w:left="30"/>
              <w:spacing w:after="0"/>
              <w:rPr>
                <w:sz w:val="20"/>
                <w:szCs w:val="20"/>
                <w:color w:val="auto"/>
              </w:rPr>
            </w:pPr>
            <w:r>
              <w:rPr>
                <w:rFonts w:ascii="Arial" w:cs="Arial" w:eastAsia="Arial" w:hAnsi="Arial"/>
                <w:sz w:val="13"/>
                <w:szCs w:val="13"/>
                <w:color w:val="auto"/>
              </w:rPr>
              <w:t>Title of each Class</w:t>
            </w:r>
          </w:p>
        </w:tc>
        <w:tc>
          <w:tcPr>
            <w:tcW w:w="2440" w:type="dxa"/>
            <w:vAlign w:val="bottom"/>
            <w:tcBorders>
              <w:bottom w:val="single" w:sz="8" w:color="auto"/>
            </w:tcBorders>
          </w:tcPr>
          <w:p>
            <w:pPr>
              <w:jc w:val="center"/>
              <w:ind w:left="126"/>
              <w:spacing w:after="0"/>
              <w:rPr>
                <w:sz w:val="20"/>
                <w:szCs w:val="20"/>
                <w:color w:val="auto"/>
              </w:rPr>
            </w:pPr>
            <w:r>
              <w:rPr>
                <w:rFonts w:ascii="Arial" w:cs="Arial" w:eastAsia="Arial" w:hAnsi="Arial"/>
                <w:sz w:val="13"/>
                <w:szCs w:val="13"/>
                <w:color w:val="auto"/>
              </w:rPr>
              <w:t>Trading Symbol(s)</w:t>
            </w:r>
          </w:p>
        </w:tc>
        <w:tc>
          <w:tcPr>
            <w:tcW w:w="37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color w:val="auto"/>
              </w:rPr>
              <w:t>Name of each exchange on which registered</w:t>
            </w:r>
          </w:p>
        </w:tc>
      </w:tr>
      <w:tr>
        <w:trPr>
          <w:trHeight w:val="185"/>
        </w:trPr>
        <w:tc>
          <w:tcPr>
            <w:tcW w:w="3520" w:type="dxa"/>
            <w:vAlign w:val="bottom"/>
          </w:tcPr>
          <w:p>
            <w:pPr>
              <w:jc w:val="center"/>
              <w:ind w:left="30"/>
              <w:spacing w:after="0"/>
              <w:rPr>
                <w:sz w:val="20"/>
                <w:szCs w:val="20"/>
                <w:color w:val="auto"/>
              </w:rPr>
            </w:pPr>
            <w:r>
              <w:rPr>
                <w:rFonts w:ascii="Arial" w:cs="Arial" w:eastAsia="Arial" w:hAnsi="Arial"/>
                <w:sz w:val="13"/>
                <w:szCs w:val="13"/>
                <w:b w:val="1"/>
                <w:bCs w:val="1"/>
                <w:color w:val="auto"/>
              </w:rPr>
              <w:t>Common Stock, par value $.06 per share</w:t>
            </w:r>
          </w:p>
        </w:tc>
        <w:tc>
          <w:tcPr>
            <w:tcW w:w="2440" w:type="dxa"/>
            <w:vAlign w:val="bottom"/>
          </w:tcPr>
          <w:p>
            <w:pPr>
              <w:jc w:val="center"/>
              <w:ind w:left="126"/>
              <w:spacing w:after="0"/>
              <w:rPr>
                <w:sz w:val="20"/>
                <w:szCs w:val="20"/>
                <w:color w:val="auto"/>
              </w:rPr>
            </w:pPr>
            <w:r>
              <w:rPr>
                <w:rFonts w:ascii="Arial" w:cs="Arial" w:eastAsia="Arial" w:hAnsi="Arial"/>
                <w:sz w:val="13"/>
                <w:szCs w:val="13"/>
                <w:b w:val="1"/>
                <w:bCs w:val="1"/>
                <w:color w:val="auto"/>
                <w:w w:val="99"/>
              </w:rPr>
              <w:t>GNTX</w:t>
            </w:r>
          </w:p>
        </w:tc>
        <w:tc>
          <w:tcPr>
            <w:tcW w:w="3720" w:type="dxa"/>
            <w:vAlign w:val="bottom"/>
          </w:tcPr>
          <w:p>
            <w:pPr>
              <w:jc w:val="center"/>
              <w:ind w:left="31"/>
              <w:spacing w:after="0"/>
              <w:rPr>
                <w:sz w:val="20"/>
                <w:szCs w:val="20"/>
                <w:color w:val="auto"/>
              </w:rPr>
            </w:pPr>
            <w:r>
              <w:rPr>
                <w:rFonts w:ascii="Arial" w:cs="Arial" w:eastAsia="Arial" w:hAnsi="Arial"/>
                <w:sz w:val="13"/>
                <w:szCs w:val="13"/>
                <w:b w:val="1"/>
                <w:bCs w:val="1"/>
                <w:color w:val="auto"/>
              </w:rPr>
              <w:t>NASDAQ Global Select Market</w:t>
            </w:r>
          </w:p>
        </w:tc>
      </w:tr>
    </w:tbl>
    <w:p>
      <w:pPr>
        <w:spacing w:after="0" w:line="8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(Title of Class)</w:t>
      </w: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62" w:lineRule="exact"/>
        <w:rPr>
          <w:sz w:val="24"/>
          <w:szCs w:val="24"/>
          <w:color w:val="auto"/>
        </w:rPr>
      </w:pP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62" w:lineRule="exact"/>
        <w:rPr>
          <w:sz w:val="24"/>
          <w:szCs w:val="24"/>
          <w:color w:val="auto"/>
        </w:rPr>
      </w:pPr>
    </w:p>
    <w:p>
      <w:pPr>
        <w:ind w:left="140"/>
        <w:spacing w:after="0" w:line="184" w:lineRule="exact"/>
        <w:tabs>
          <w:tab w:leader="none" w:pos="840" w:val="left"/>
          <w:tab w:leader="none" w:pos="116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263"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340"/>
        <w:spacing w:after="0" w:line="273"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100"/>
        <w:spacing w:after="0" w:line="30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6680" w:type="dxa"/>
            <w:vAlign w:val="bottom"/>
          </w:tcPr>
          <w:p>
            <w:pPr>
              <w:ind w:left="4220"/>
              <w:spacing w:after="0"/>
              <w:rPr>
                <w:sz w:val="20"/>
                <w:szCs w:val="20"/>
                <w:color w:val="auto"/>
              </w:rPr>
            </w:pPr>
            <w:r>
              <w:rPr>
                <w:rFonts w:ascii="Arial" w:cs="Arial" w:eastAsia="Arial" w:hAnsi="Arial"/>
                <w:sz w:val="13"/>
                <w:szCs w:val="13"/>
                <w:color w:val="auto"/>
              </w:rPr>
              <w:t>Accelerated filer</w:t>
            </w:r>
          </w:p>
        </w:tc>
        <w:tc>
          <w:tcPr>
            <w:tcW w:w="280" w:type="dxa"/>
            <w:vAlign w:val="bottom"/>
            <w:tcBorders>
              <w:bottom w:val="single" w:sz="8" w:color="auto"/>
            </w:tcBorders>
          </w:tcPr>
          <w:p>
            <w:pPr>
              <w:ind w:left="20"/>
              <w:spacing w:after="0" w:line="131" w:lineRule="exact"/>
              <w:rPr>
                <w:sz w:val="20"/>
                <w:szCs w:val="20"/>
                <w:color w:val="auto"/>
              </w:rPr>
            </w:pPr>
            <w:r>
              <w:rPr>
                <w:rFonts w:ascii="MS PGothic" w:cs="MS PGothic" w:eastAsia="MS PGothic" w:hAnsi="MS PGothic"/>
                <w:sz w:val="13"/>
                <w:szCs w:val="13"/>
                <w:color w:val="auto"/>
              </w:rPr>
              <w:t>☐</w:t>
            </w:r>
          </w:p>
        </w:tc>
      </w:tr>
      <w:tr>
        <w:trPr>
          <w:trHeight w:val="181"/>
        </w:trPr>
        <w:tc>
          <w:tcPr>
            <w:tcW w:w="2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00" w:type="dxa"/>
            <w:vAlign w:val="bottom"/>
            <w:tcBorders>
              <w:bottom w:val="single" w:sz="8" w:color="auto"/>
            </w:tcBorders>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6680" w:type="dxa"/>
            <w:vAlign w:val="bottom"/>
          </w:tcPr>
          <w:p>
            <w:pPr>
              <w:ind w:left="4220"/>
              <w:spacing w:after="0"/>
              <w:rPr>
                <w:sz w:val="20"/>
                <w:szCs w:val="20"/>
                <w:color w:val="auto"/>
              </w:rPr>
            </w:pPr>
            <w:r>
              <w:rPr>
                <w:rFonts w:ascii="Arial" w:cs="Arial" w:eastAsia="Arial" w:hAnsi="Arial"/>
                <w:sz w:val="13"/>
                <w:szCs w:val="13"/>
                <w:color w:val="auto"/>
              </w:rPr>
              <w:t>Smaller reporting company</w:t>
            </w:r>
          </w:p>
        </w:tc>
        <w:tc>
          <w:tcPr>
            <w:tcW w:w="280" w:type="dxa"/>
            <w:vAlign w:val="bottom"/>
            <w:tcBorders>
              <w:bottom w:val="single" w:sz="8" w:color="auto"/>
            </w:tcBorders>
          </w:tcPr>
          <w:p>
            <w:pPr>
              <w:ind w:left="60"/>
              <w:spacing w:after="0" w:line="131" w:lineRule="exact"/>
              <w:rPr>
                <w:sz w:val="20"/>
                <w:szCs w:val="20"/>
                <w:color w:val="auto"/>
              </w:rPr>
            </w:pPr>
            <w:r>
              <w:rPr>
                <w:rFonts w:ascii="MS PGothic" w:cs="MS PGothic" w:eastAsia="MS PGothic" w:hAnsi="MS PGothic"/>
                <w:sz w:val="13"/>
                <w:szCs w:val="13"/>
                <w:color w:val="auto"/>
              </w:rPr>
              <w:t>☐</w:t>
            </w:r>
          </w:p>
        </w:tc>
      </w:tr>
      <w:tr>
        <w:trPr>
          <w:trHeight w:val="181"/>
        </w:trPr>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80" w:type="dxa"/>
            <w:vAlign w:val="bottom"/>
          </w:tcPr>
          <w:p>
            <w:pPr>
              <w:ind w:left="4220"/>
              <w:spacing w:after="0"/>
              <w:rPr>
                <w:sz w:val="20"/>
                <w:szCs w:val="20"/>
                <w:color w:val="auto"/>
              </w:rPr>
            </w:pPr>
            <w:r>
              <w:rPr>
                <w:rFonts w:ascii="Arial" w:cs="Arial" w:eastAsia="Arial" w:hAnsi="Arial"/>
                <w:sz w:val="13"/>
                <w:szCs w:val="13"/>
                <w:color w:val="auto"/>
              </w:rPr>
              <w:t>Emerging growth company</w:t>
            </w:r>
          </w:p>
        </w:tc>
        <w:tc>
          <w:tcPr>
            <w:tcW w:w="280" w:type="dxa"/>
            <w:vAlign w:val="bottom"/>
            <w:tcBorders>
              <w:bottom w:val="single" w:sz="8" w:color="auto"/>
            </w:tcBorders>
          </w:tcPr>
          <w:p>
            <w:pPr>
              <w:ind w:left="6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80" w:lineRule="exact"/>
        <w:rPr>
          <w:sz w:val="24"/>
          <w:szCs w:val="24"/>
          <w:color w:val="auto"/>
        </w:rPr>
      </w:pPr>
    </w:p>
    <w:p>
      <w:pPr>
        <w:ind w:right="360"/>
        <w:spacing w:after="0" w:line="19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2" w:lineRule="exact"/>
        <w:rPr>
          <w:sz w:val="24"/>
          <w:szCs w:val="24"/>
          <w:color w:val="auto"/>
        </w:rPr>
      </w:pPr>
    </w:p>
    <w:p>
      <w:pPr>
        <w:ind w:right="200"/>
        <w:spacing w:after="0" w:line="19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2" w:lineRule="exact"/>
        <w:rPr>
          <w:sz w:val="24"/>
          <w:szCs w:val="24"/>
          <w:color w:val="auto"/>
        </w:rPr>
      </w:pPr>
    </w:p>
    <w:p>
      <w:pPr>
        <w:ind w:right="60"/>
        <w:spacing w:after="0" w:line="195"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w:t>
      </w:r>
    </w:p>
    <w:p>
      <w:pPr>
        <w:sectPr>
          <w:pgSz w:w="11900" w:h="16838" w:orient="portrait"/>
          <w:cols w:equalWidth="0" w:num="1">
            <w:col w:w="11240"/>
          </w:cols>
          <w:pgMar w:left="320" w:top="780" w:right="339" w:bottom="1440" w:gutter="0" w:footer="0" w:header="0"/>
        </w:sectPr>
      </w:pPr>
    </w:p>
    <w:p>
      <w:pPr>
        <w:spacing w:after="0" w:line="26" w:lineRule="exact"/>
        <w:rPr>
          <w:sz w:val="24"/>
          <w:szCs w:val="24"/>
          <w:color w:val="auto"/>
        </w:rPr>
      </w:pPr>
    </w:p>
    <w:p>
      <w:pPr>
        <w:spacing w:after="0" w:line="184" w:lineRule="exact"/>
        <w:tabs>
          <w:tab w:leader="none" w:pos="4880" w:val="left"/>
          <w:tab w:leader="none" w:pos="5600" w:val="left"/>
        </w:tabs>
        <w:rPr>
          <w:sz w:val="20"/>
          <w:szCs w:val="20"/>
          <w:color w:val="auto"/>
        </w:rPr>
      </w:pPr>
      <w:r>
        <w:rPr>
          <w:rFonts w:ascii="Arial" w:cs="Arial" w:eastAsia="Arial" w:hAnsi="Arial"/>
          <w:sz w:val="13"/>
          <w:szCs w:val="13"/>
          <w:color w:val="auto"/>
        </w:rPr>
        <w:t>executive officers during the relevant recovery period pursuant to §240.10D-1(b).</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5" w:lineRule="exact"/>
        <w:rPr>
          <w:sz w:val="24"/>
          <w:szCs w:val="24"/>
          <w:color w:val="auto"/>
        </w:rPr>
      </w:pPr>
    </w:p>
    <w:p>
      <w:pPr>
        <w:sectPr>
          <w:pgSz w:w="11900" w:h="16838" w:orient="portrait"/>
          <w:cols w:equalWidth="0" w:num="2">
            <w:col w:w="5820" w:space="120"/>
            <w:col w:w="5300"/>
          </w:cols>
          <w:pgMar w:left="320" w:top="780" w:right="339" w:bottom="1440" w:gutter="0" w:footer="0" w:header="0"/>
          <w:type w:val="continuous"/>
        </w:sectPr>
      </w:pPr>
    </w:p>
    <w:p>
      <w:pPr>
        <w:spacing w:after="0" w:line="184" w:lineRule="exact"/>
        <w:tabs>
          <w:tab w:leader="none" w:pos="62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3">
            <w:col w:w="6700" w:space="220"/>
            <w:col w:w="220" w:space="100"/>
            <w:col w:w="4000"/>
          </w:cols>
          <w:pgMar w:left="320" w:top="780" w:right="339" w:bottom="1440" w:gutter="0" w:footer="0" w:header="0"/>
          <w:type w:val="continuous"/>
        </w:sectPr>
      </w:pPr>
    </w:p>
    <w:p>
      <w:pPr>
        <w:spacing w:after="0" w:line="53" w:lineRule="exact"/>
        <w:rPr>
          <w:sz w:val="24"/>
          <w:szCs w:val="24"/>
          <w:color w:val="auto"/>
        </w:rPr>
      </w:pPr>
    </w:p>
    <w:p>
      <w:pPr>
        <w:jc w:val="both"/>
        <w:ind w:right="60"/>
        <w:spacing w:after="0" w:line="283" w:lineRule="auto"/>
        <w:rPr>
          <w:sz w:val="20"/>
          <w:szCs w:val="20"/>
          <w:color w:val="auto"/>
        </w:rPr>
      </w:pPr>
      <w:r>
        <w:rPr>
          <w:rFonts w:ascii="Arial" w:cs="Arial" w:eastAsia="Arial" w:hAnsi="Arial"/>
          <w:sz w:val="13"/>
          <w:szCs w:val="13"/>
          <w:color w:val="auto"/>
        </w:rPr>
        <w:t>As of June 30, 2022 (the last business day of the registrant’s most recently completed second fiscal quarter), 235,132,265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$6,587,687,393 computed at the closing price on that date.</w:t>
      </w:r>
    </w:p>
    <w:p>
      <w:pPr>
        <w:spacing w:after="0" w:line="188" w:lineRule="exact"/>
        <w:rPr>
          <w:sz w:val="24"/>
          <w:szCs w:val="24"/>
          <w:color w:val="auto"/>
        </w:rPr>
      </w:pPr>
    </w:p>
    <w:p>
      <w:pPr>
        <w:ind w:right="3460"/>
        <w:spacing w:after="0" w:line="304" w:lineRule="auto"/>
        <w:rPr>
          <w:sz w:val="20"/>
          <w:szCs w:val="20"/>
          <w:color w:val="auto"/>
        </w:rPr>
      </w:pPr>
      <w:r>
        <w:rPr>
          <w:rFonts w:ascii="Arial" w:cs="Arial" w:eastAsia="Arial" w:hAnsi="Arial"/>
          <w:sz w:val="13"/>
          <w:szCs w:val="13"/>
          <w:color w:val="auto"/>
        </w:rPr>
        <w:t>As of February 1, 2023, 234,177,812 shares of the registrant’s common stock, par value $.06 per share, were outstanding, Portions of the Company’s Proxy Statement for its 2023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111125</wp:posOffset>
            </wp:positionV>
            <wp:extent cx="716724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20" w:type="dxa"/>
            <w:vAlign w:val="bottom"/>
            <w:gridSpan w:val="11"/>
          </w:tcPr>
          <w:p>
            <w:pPr>
              <w:jc w:val="center"/>
              <w:ind w:right="1400"/>
              <w:spacing w:after="0"/>
              <w:rPr>
                <w:sz w:val="20"/>
                <w:szCs w:val="20"/>
                <w:color w:val="auto"/>
              </w:rPr>
            </w:pPr>
            <w:r>
              <w:rPr>
                <w:rFonts w:ascii="Arial" w:cs="Arial" w:eastAsia="Arial" w:hAnsi="Arial"/>
                <w:sz w:val="17"/>
                <w:szCs w:val="17"/>
                <w:b w:val="1"/>
                <w:bCs w:val="1"/>
                <w:color w:val="auto"/>
                <w:w w:val="98"/>
              </w:rPr>
              <w:t>GENTEX CORPORATION AND SUBSIDIARIES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9"/>
          </w:tcPr>
          <w:p>
            <w:pPr>
              <w:jc w:val="center"/>
              <w:ind w:right="2300"/>
              <w:spacing w:after="0"/>
              <w:rPr>
                <w:sz w:val="20"/>
                <w:szCs w:val="20"/>
                <w:color w:val="auto"/>
              </w:rPr>
            </w:pPr>
            <w:r>
              <w:rPr>
                <w:rFonts w:ascii="Arial" w:cs="Arial" w:eastAsia="Arial" w:hAnsi="Arial"/>
                <w:sz w:val="17"/>
                <w:szCs w:val="17"/>
                <w:b w:val="1"/>
                <w:bCs w:val="1"/>
                <w:color w:val="auto"/>
                <w:w w:val="98"/>
              </w:rPr>
              <w:t>For the Year Ended December 31, 2022</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gridSpan w:val="8"/>
          </w:tcPr>
          <w:p>
            <w:pPr>
              <w:jc w:val="center"/>
              <w:ind w:right="2740"/>
              <w:spacing w:after="0"/>
              <w:rPr>
                <w:sz w:val="20"/>
                <w:szCs w:val="20"/>
                <w:color w:val="auto"/>
              </w:rPr>
            </w:pPr>
            <w:r>
              <w:rPr>
                <w:rFonts w:ascii="Arial" w:cs="Arial" w:eastAsia="Arial" w:hAnsi="Arial"/>
                <w:sz w:val="17"/>
                <w:szCs w:val="17"/>
                <w:b w:val="1"/>
                <w:bCs w:val="1"/>
                <w:color w:val="auto"/>
                <w:w w:val="98"/>
              </w:rPr>
              <w:t>FORM 10-K</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20" w:type="dxa"/>
            <w:vAlign w:val="bottom"/>
            <w:gridSpan w:val="7"/>
          </w:tcPr>
          <w:p>
            <w:pPr>
              <w:jc w:val="center"/>
              <w:ind w:right="3500"/>
              <w:spacing w:after="0"/>
              <w:rPr>
                <w:sz w:val="20"/>
                <w:szCs w:val="20"/>
                <w:color w:val="auto"/>
              </w:rPr>
            </w:pPr>
            <w:r>
              <w:rPr>
                <w:rFonts w:ascii="Arial" w:cs="Arial" w:eastAsia="Arial" w:hAnsi="Arial"/>
                <w:sz w:val="17"/>
                <w:szCs w:val="17"/>
                <w:b w:val="1"/>
                <w:bCs w:val="1"/>
                <w:color w:val="auto"/>
                <w:w w:val="98"/>
              </w:rPr>
              <w:t>Index</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gridSpan w:val="3"/>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3"/>
          </w:tcPr>
          <w:p>
            <w:pPr>
              <w:spacing w:after="0" w:line="180" w:lineRule="exact"/>
              <w:rPr>
                <w:sz w:val="20"/>
                <w:szCs w:val="20"/>
                <w:color w:val="auto"/>
              </w:rPr>
            </w:pPr>
            <w:r>
              <w:rPr>
                <w:rFonts w:ascii="Arial" w:cs="Arial" w:eastAsia="Arial" w:hAnsi="Arial"/>
                <w:sz w:val="17"/>
                <w:szCs w:val="17"/>
                <w:color w:val="0000FF"/>
              </w:rPr>
              <w:t>Item 1.</w:t>
            </w:r>
          </w:p>
        </w:tc>
        <w:tc>
          <w:tcPr>
            <w:tcW w:w="8420" w:type="dxa"/>
            <w:vAlign w:val="bottom"/>
            <w:gridSpan w:val="23"/>
          </w:tcPr>
          <w:p>
            <w:pPr>
              <w:spacing w:after="0" w:line="180" w:lineRule="exact"/>
              <w:rPr>
                <w:sz w:val="20"/>
                <w:szCs w:val="20"/>
                <w:color w:val="auto"/>
              </w:rPr>
            </w:pPr>
            <w:r>
              <w:rPr>
                <w:rFonts w:ascii="Arial" w:cs="Arial" w:eastAsia="Arial" w:hAnsi="Arial"/>
                <w:sz w:val="17"/>
                <w:szCs w:val="17"/>
                <w:color w:val="0000FF"/>
              </w:rPr>
              <w:t>Business</w:t>
            </w:r>
          </w:p>
        </w:tc>
        <w:tc>
          <w:tcPr>
            <w:tcW w:w="920" w:type="dxa"/>
            <w:vAlign w:val="bottom"/>
            <w:gridSpan w:val="2"/>
          </w:tcPr>
          <w:p>
            <w:pPr>
              <w:jc w:val="center"/>
              <w:ind w:left="735"/>
              <w:spacing w:after="0" w:line="180" w:lineRule="exact"/>
              <w:rPr>
                <w:sz w:val="20"/>
                <w:szCs w:val="20"/>
                <w:color w:val="auto"/>
              </w:rPr>
            </w:pPr>
            <w:r>
              <w:rPr>
                <w:rFonts w:ascii="Arial" w:cs="Arial" w:eastAsia="Arial" w:hAnsi="Arial"/>
                <w:sz w:val="17"/>
                <w:szCs w:val="17"/>
                <w:color w:val="0000FF"/>
              </w:rPr>
              <w:t>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7"/>
                <w:szCs w:val="17"/>
                <w:color w:val="0000FF"/>
                <w:w w:val="88"/>
              </w:rPr>
              <w:t>Item 1A.</w:t>
            </w:r>
          </w:p>
        </w:tc>
        <w:tc>
          <w:tcPr>
            <w:tcW w:w="400" w:type="dxa"/>
            <w:vAlign w:val="bottom"/>
          </w:tcPr>
          <w:p>
            <w:pPr>
              <w:spacing w:after="0"/>
              <w:rPr>
                <w:sz w:val="16"/>
                <w:szCs w:val="16"/>
                <w:color w:val="auto"/>
              </w:rPr>
            </w:pPr>
          </w:p>
        </w:tc>
        <w:tc>
          <w:tcPr>
            <w:tcW w:w="940" w:type="dxa"/>
            <w:vAlign w:val="bottom"/>
            <w:gridSpan w:val="5"/>
          </w:tcPr>
          <w:p>
            <w:pPr>
              <w:spacing w:after="0" w:line="194" w:lineRule="exact"/>
              <w:rPr>
                <w:sz w:val="20"/>
                <w:szCs w:val="20"/>
                <w:color w:val="auto"/>
              </w:rPr>
            </w:pPr>
            <w:r>
              <w:rPr>
                <w:rFonts w:ascii="Arial" w:cs="Arial" w:eastAsia="Arial" w:hAnsi="Arial"/>
                <w:sz w:val="17"/>
                <w:szCs w:val="17"/>
                <w:color w:val="0000FF"/>
                <w:w w:val="97"/>
              </w:rPr>
              <w:t>Risk Factors</w:t>
            </w:r>
          </w:p>
        </w:tc>
        <w:tc>
          <w:tcPr>
            <w:tcW w:w="7480" w:type="dxa"/>
            <w:vAlign w:val="bottom"/>
            <w:gridSpan w:val="18"/>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jc w:val="center"/>
              <w:spacing w:after="0" w:line="194" w:lineRule="exact"/>
              <w:rPr>
                <w:sz w:val="20"/>
                <w:szCs w:val="20"/>
                <w:color w:val="auto"/>
              </w:rPr>
            </w:pPr>
            <w:r>
              <w:rPr>
                <w:rFonts w:ascii="Arial" w:cs="Arial" w:eastAsia="Arial" w:hAnsi="Arial"/>
                <w:sz w:val="17"/>
                <w:szCs w:val="17"/>
                <w:color w:val="0000FF"/>
              </w:rPr>
              <w:t>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7"/>
                <w:szCs w:val="17"/>
                <w:color w:val="0000FF"/>
                <w:w w:val="88"/>
              </w:rPr>
              <w:t>Item 1B.</w:t>
            </w:r>
          </w:p>
        </w:tc>
        <w:tc>
          <w:tcPr>
            <w:tcW w:w="400" w:type="dxa"/>
            <w:vAlign w:val="bottom"/>
          </w:tcPr>
          <w:p>
            <w:pPr>
              <w:spacing w:after="0"/>
              <w:rPr>
                <w:sz w:val="16"/>
                <w:szCs w:val="16"/>
                <w:color w:val="auto"/>
              </w:rPr>
            </w:pPr>
          </w:p>
        </w:tc>
        <w:tc>
          <w:tcPr>
            <w:tcW w:w="2100" w:type="dxa"/>
            <w:vAlign w:val="bottom"/>
            <w:gridSpan w:val="12"/>
          </w:tcPr>
          <w:p>
            <w:pPr>
              <w:spacing w:after="0" w:line="194" w:lineRule="exact"/>
              <w:rPr>
                <w:sz w:val="20"/>
                <w:szCs w:val="20"/>
                <w:color w:val="auto"/>
              </w:rPr>
            </w:pPr>
            <w:r>
              <w:rPr>
                <w:rFonts w:ascii="Arial" w:cs="Arial" w:eastAsia="Arial" w:hAnsi="Arial"/>
                <w:sz w:val="17"/>
                <w:szCs w:val="17"/>
                <w:color w:val="0000FF"/>
                <w:w w:val="97"/>
              </w:rPr>
              <w:t>Unresolved Staff Comments</w:t>
            </w:r>
          </w:p>
        </w:tc>
        <w:tc>
          <w:tcPr>
            <w:tcW w:w="6320" w:type="dxa"/>
            <w:vAlign w:val="bottom"/>
            <w:gridSpan w:val="11"/>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7"/>
                <w:szCs w:val="17"/>
                <w:color w:val="0000FF"/>
              </w:rPr>
              <w:t>Item 2.</w:t>
            </w:r>
          </w:p>
        </w:tc>
        <w:tc>
          <w:tcPr>
            <w:tcW w:w="400" w:type="dxa"/>
            <w:vAlign w:val="bottom"/>
          </w:tcPr>
          <w:p>
            <w:pPr>
              <w:spacing w:after="0"/>
              <w:rPr>
                <w:sz w:val="16"/>
                <w:szCs w:val="16"/>
                <w:color w:val="auto"/>
              </w:rPr>
            </w:pPr>
          </w:p>
        </w:tc>
        <w:tc>
          <w:tcPr>
            <w:tcW w:w="2100" w:type="dxa"/>
            <w:vAlign w:val="bottom"/>
            <w:gridSpan w:val="12"/>
          </w:tcPr>
          <w:p>
            <w:pPr>
              <w:spacing w:after="0" w:line="194" w:lineRule="exact"/>
              <w:rPr>
                <w:sz w:val="20"/>
                <w:szCs w:val="20"/>
                <w:color w:val="auto"/>
              </w:rPr>
            </w:pPr>
            <w:r>
              <w:rPr>
                <w:rFonts w:ascii="Arial" w:cs="Arial" w:eastAsia="Arial" w:hAnsi="Arial"/>
                <w:sz w:val="17"/>
                <w:szCs w:val="17"/>
                <w:color w:val="0000FF"/>
              </w:rPr>
              <w:t>Properties</w:t>
            </w:r>
          </w:p>
        </w:tc>
        <w:tc>
          <w:tcPr>
            <w:tcW w:w="6320" w:type="dxa"/>
            <w:vAlign w:val="bottom"/>
            <w:gridSpan w:val="11"/>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3.</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Legal Proceedings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4.</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Mine Safety Disclosures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II</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3"/>
          </w:tcPr>
          <w:p>
            <w:pPr>
              <w:spacing w:after="0" w:line="180" w:lineRule="exact"/>
              <w:rPr>
                <w:sz w:val="20"/>
                <w:szCs w:val="20"/>
                <w:color w:val="auto"/>
              </w:rPr>
            </w:pPr>
            <w:r>
              <w:rPr>
                <w:rFonts w:ascii="Arial" w:cs="Arial" w:eastAsia="Arial" w:hAnsi="Arial"/>
                <w:sz w:val="17"/>
                <w:szCs w:val="17"/>
                <w:color w:val="0000FF"/>
              </w:rPr>
              <w:t>Item 5.</w:t>
            </w:r>
          </w:p>
        </w:tc>
        <w:tc>
          <w:tcPr>
            <w:tcW w:w="8420" w:type="dxa"/>
            <w:vAlign w:val="bottom"/>
            <w:gridSpan w:val="23"/>
          </w:tcPr>
          <w:p>
            <w:pPr>
              <w:spacing w:after="0" w:line="180" w:lineRule="exact"/>
              <w:rPr>
                <w:sz w:val="20"/>
                <w:szCs w:val="20"/>
                <w:color w:val="auto"/>
              </w:rPr>
            </w:pPr>
            <w:r>
              <w:rPr>
                <w:rFonts w:ascii="Arial" w:cs="Arial" w:eastAsia="Arial" w:hAnsi="Arial"/>
                <w:sz w:val="17"/>
                <w:szCs w:val="17"/>
                <w:color w:val="0000FF"/>
              </w:rPr>
              <w:t>Market for the Registrant’s Common Equity, Related Stockholder Matters and Issuer Purchases of Equity</w:t>
            </w:r>
          </w:p>
        </w:tc>
        <w:tc>
          <w:tcPr>
            <w:tcW w:w="820" w:type="dxa"/>
            <w:vAlign w:val="bottom"/>
            <w:vMerge w:val="restart"/>
          </w:tcPr>
          <w:p>
            <w:pPr>
              <w:spacing w:after="0"/>
              <w:rPr>
                <w:sz w:val="15"/>
                <w:szCs w:val="15"/>
                <w:color w:val="auto"/>
              </w:rPr>
            </w:pPr>
          </w:p>
        </w:tc>
        <w:tc>
          <w:tcPr>
            <w:tcW w:w="940" w:type="dxa"/>
            <w:vAlign w:val="bottom"/>
            <w:gridSpan w:val="2"/>
            <w:vMerge w:val="restart"/>
          </w:tcPr>
          <w:p>
            <w:pPr>
              <w:jc w:val="center"/>
              <w:ind w:right="800"/>
              <w:spacing w:after="0"/>
              <w:rPr>
                <w:sz w:val="20"/>
                <w:szCs w:val="20"/>
                <w:color w:val="auto"/>
              </w:rPr>
            </w:pPr>
            <w:r>
              <w:rPr>
                <w:rFonts w:ascii="Arial" w:cs="Arial" w:eastAsia="Arial" w:hAnsi="Arial"/>
                <w:sz w:val="17"/>
                <w:szCs w:val="17"/>
                <w:color w:val="0000FF"/>
                <w:w w:val="73"/>
              </w:rPr>
              <w:t>20</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0000FF"/>
            </w:tcBorders>
            <w:gridSpan w:val="4"/>
          </w:tcPr>
          <w:p>
            <w:pPr>
              <w:spacing w:after="0" w:line="131" w:lineRule="exact"/>
              <w:rPr>
                <w:sz w:val="20"/>
                <w:szCs w:val="20"/>
                <w:color w:val="auto"/>
              </w:rPr>
            </w:pPr>
            <w:r>
              <w:rPr>
                <w:rFonts w:ascii="Arial" w:cs="Arial" w:eastAsia="Arial" w:hAnsi="Arial"/>
                <w:sz w:val="15"/>
                <w:szCs w:val="15"/>
                <w:color w:val="0000FF"/>
              </w:rPr>
              <w:t>Securities</w:t>
            </w:r>
          </w:p>
        </w:tc>
        <w:tc>
          <w:tcPr>
            <w:tcW w:w="7000" w:type="dxa"/>
            <w:vAlign w:val="bottom"/>
            <w:tcBorders>
              <w:top w:val="single" w:sz="8" w:color="0000FF"/>
            </w:tcBorders>
            <w:gridSpan w:val="18"/>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gridSpan w:val="2"/>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7"/>
                <w:szCs w:val="17"/>
                <w:color w:val="0000FF"/>
              </w:rPr>
              <w:t>Item 6.</w:t>
            </w:r>
          </w:p>
        </w:tc>
        <w:tc>
          <w:tcPr>
            <w:tcW w:w="760" w:type="dxa"/>
            <w:vAlign w:val="bottom"/>
            <w:gridSpan w:val="4"/>
          </w:tcPr>
          <w:p>
            <w:pPr>
              <w:spacing w:after="0"/>
              <w:rPr>
                <w:sz w:val="20"/>
                <w:szCs w:val="20"/>
                <w:color w:val="auto"/>
              </w:rPr>
            </w:pPr>
            <w:r>
              <w:rPr>
                <w:rFonts w:ascii="Arial" w:cs="Arial" w:eastAsia="Arial" w:hAnsi="Arial"/>
                <w:sz w:val="17"/>
                <w:szCs w:val="17"/>
                <w:color w:val="0000FF"/>
                <w:w w:val="98"/>
              </w:rPr>
              <w:t>Reserved</w:t>
            </w:r>
          </w:p>
        </w:tc>
        <w:tc>
          <w:tcPr>
            <w:tcW w:w="766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gridSpan w:val="2"/>
          </w:tcPr>
          <w:p>
            <w:pPr>
              <w:jc w:val="center"/>
              <w:ind w:right="800"/>
              <w:spacing w:after="0"/>
              <w:rPr>
                <w:sz w:val="20"/>
                <w:szCs w:val="20"/>
                <w:color w:val="auto"/>
              </w:rPr>
            </w:pPr>
            <w:r>
              <w:rPr>
                <w:rFonts w:ascii="Arial" w:cs="Arial" w:eastAsia="Arial" w:hAnsi="Arial"/>
                <w:sz w:val="17"/>
                <w:szCs w:val="17"/>
                <w:color w:val="0000FF"/>
                <w:w w:val="73"/>
              </w:rPr>
              <w:t>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7.</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7"/>
                <w:szCs w:val="17"/>
                <w:color w:val="0000FF"/>
                <w:w w:val="88"/>
              </w:rPr>
              <w:t>Item 7A.</w:t>
            </w:r>
          </w:p>
        </w:tc>
        <w:tc>
          <w:tcPr>
            <w:tcW w:w="400" w:type="dxa"/>
            <w:vAlign w:val="bottom"/>
          </w:tcPr>
          <w:p>
            <w:pPr>
              <w:spacing w:after="0"/>
              <w:rPr>
                <w:sz w:val="16"/>
                <w:szCs w:val="16"/>
                <w:color w:val="auto"/>
              </w:rPr>
            </w:pPr>
          </w:p>
        </w:tc>
        <w:tc>
          <w:tcPr>
            <w:tcW w:w="4400" w:type="dxa"/>
            <w:vAlign w:val="bottom"/>
            <w:gridSpan w:val="17"/>
          </w:tcPr>
          <w:p>
            <w:pPr>
              <w:spacing w:after="0" w:line="194" w:lineRule="exact"/>
              <w:rPr>
                <w:sz w:val="20"/>
                <w:szCs w:val="20"/>
                <w:color w:val="auto"/>
              </w:rPr>
            </w:pPr>
            <w:r>
              <w:rPr>
                <w:rFonts w:ascii="Arial" w:cs="Arial" w:eastAsia="Arial" w:hAnsi="Arial"/>
                <w:sz w:val="17"/>
                <w:szCs w:val="17"/>
                <w:color w:val="0000FF"/>
                <w:w w:val="98"/>
              </w:rPr>
              <w:t>Quantitative and Qualitative Disclosures About Market Risk</w:t>
            </w:r>
          </w:p>
        </w:tc>
        <w:tc>
          <w:tcPr>
            <w:tcW w:w="402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7"/>
                <w:szCs w:val="17"/>
                <w:color w:val="0000FF"/>
              </w:rPr>
              <w:t>Item 8.</w:t>
            </w:r>
          </w:p>
        </w:tc>
        <w:tc>
          <w:tcPr>
            <w:tcW w:w="400" w:type="dxa"/>
            <w:vAlign w:val="bottom"/>
          </w:tcPr>
          <w:p>
            <w:pPr>
              <w:spacing w:after="0"/>
              <w:rPr>
                <w:sz w:val="16"/>
                <w:szCs w:val="16"/>
                <w:color w:val="auto"/>
              </w:rPr>
            </w:pPr>
          </w:p>
        </w:tc>
        <w:tc>
          <w:tcPr>
            <w:tcW w:w="4400" w:type="dxa"/>
            <w:vAlign w:val="bottom"/>
            <w:gridSpan w:val="17"/>
          </w:tcPr>
          <w:p>
            <w:pPr>
              <w:spacing w:after="0" w:line="194" w:lineRule="exact"/>
              <w:rPr>
                <w:sz w:val="20"/>
                <w:szCs w:val="20"/>
                <w:color w:val="auto"/>
              </w:rPr>
            </w:pPr>
            <w:r>
              <w:rPr>
                <w:rFonts w:ascii="Arial" w:cs="Arial" w:eastAsia="Arial" w:hAnsi="Arial"/>
                <w:sz w:val="17"/>
                <w:szCs w:val="17"/>
                <w:color w:val="0000FF"/>
              </w:rPr>
              <w:t>Financial Statements and Supplementary Data</w:t>
            </w:r>
          </w:p>
        </w:tc>
        <w:tc>
          <w:tcPr>
            <w:tcW w:w="402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9.</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7"/>
                <w:szCs w:val="17"/>
                <w:color w:val="0000FF"/>
                <w:w w:val="88"/>
              </w:rPr>
              <w:t>Item 9A.</w:t>
            </w:r>
          </w:p>
        </w:tc>
        <w:tc>
          <w:tcPr>
            <w:tcW w:w="400" w:type="dxa"/>
            <w:vAlign w:val="bottom"/>
          </w:tcPr>
          <w:p>
            <w:pPr>
              <w:spacing w:after="0"/>
              <w:rPr>
                <w:sz w:val="16"/>
                <w:szCs w:val="16"/>
                <w:color w:val="auto"/>
              </w:rPr>
            </w:pPr>
          </w:p>
        </w:tc>
        <w:tc>
          <w:tcPr>
            <w:tcW w:w="1860" w:type="dxa"/>
            <w:vAlign w:val="bottom"/>
            <w:gridSpan w:val="11"/>
          </w:tcPr>
          <w:p>
            <w:pPr>
              <w:spacing w:after="0" w:line="194" w:lineRule="exact"/>
              <w:rPr>
                <w:sz w:val="20"/>
                <w:szCs w:val="20"/>
                <w:color w:val="auto"/>
              </w:rPr>
            </w:pPr>
            <w:r>
              <w:rPr>
                <w:rFonts w:ascii="Arial" w:cs="Arial" w:eastAsia="Arial" w:hAnsi="Arial"/>
                <w:sz w:val="17"/>
                <w:szCs w:val="17"/>
                <w:color w:val="0000FF"/>
                <w:w w:val="97"/>
              </w:rPr>
              <w:t>Controls and Procedures</w:t>
            </w:r>
          </w:p>
        </w:tc>
        <w:tc>
          <w:tcPr>
            <w:tcW w:w="6560" w:type="dxa"/>
            <w:vAlign w:val="bottom"/>
            <w:gridSpan w:val="12"/>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7"/>
                <w:szCs w:val="17"/>
                <w:color w:val="0000FF"/>
                <w:w w:val="88"/>
              </w:rPr>
              <w:t>Item 9B.</w:t>
            </w:r>
          </w:p>
        </w:tc>
        <w:tc>
          <w:tcPr>
            <w:tcW w:w="400" w:type="dxa"/>
            <w:vAlign w:val="bottom"/>
          </w:tcPr>
          <w:p>
            <w:pPr>
              <w:spacing w:after="0"/>
              <w:rPr>
                <w:sz w:val="16"/>
                <w:szCs w:val="16"/>
                <w:color w:val="auto"/>
              </w:rPr>
            </w:pPr>
          </w:p>
        </w:tc>
        <w:tc>
          <w:tcPr>
            <w:tcW w:w="1860" w:type="dxa"/>
            <w:vAlign w:val="bottom"/>
            <w:gridSpan w:val="11"/>
          </w:tcPr>
          <w:p>
            <w:pPr>
              <w:spacing w:after="0" w:line="194" w:lineRule="exact"/>
              <w:rPr>
                <w:sz w:val="20"/>
                <w:szCs w:val="20"/>
                <w:color w:val="auto"/>
              </w:rPr>
            </w:pPr>
            <w:r>
              <w:rPr>
                <w:rFonts w:ascii="Arial" w:cs="Arial" w:eastAsia="Arial" w:hAnsi="Arial"/>
                <w:sz w:val="17"/>
                <w:szCs w:val="17"/>
                <w:color w:val="0000FF"/>
              </w:rPr>
              <w:t>Other Information</w:t>
            </w:r>
          </w:p>
        </w:tc>
        <w:tc>
          <w:tcPr>
            <w:tcW w:w="6560" w:type="dxa"/>
            <w:vAlign w:val="bottom"/>
            <w:gridSpan w:val="12"/>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9C.</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29</w:t>
            </w:r>
          </w:p>
        </w:tc>
        <w:tc>
          <w:tcPr>
            <w:tcW w:w="0" w:type="dxa"/>
            <w:vAlign w:val="bottom"/>
          </w:tcPr>
          <w:p>
            <w:pPr>
              <w:spacing w:after="0"/>
              <w:rPr>
                <w:sz w:val="1"/>
                <w:szCs w:val="1"/>
                <w:color w:val="auto"/>
              </w:rPr>
            </w:pPr>
          </w:p>
        </w:tc>
      </w:tr>
      <w:tr>
        <w:trPr>
          <w:trHeight w:val="517"/>
        </w:trPr>
        <w:tc>
          <w:tcPr>
            <w:tcW w:w="6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20"/>
                <w:szCs w:val="20"/>
                <w:b w:val="1"/>
                <w:bCs w:val="1"/>
                <w:color w:val="auto"/>
                <w:w w:val="91"/>
              </w:rPr>
              <w:t>Part III</w:t>
            </w:r>
          </w:p>
        </w:tc>
        <w:tc>
          <w:tcPr>
            <w:tcW w:w="40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3"/>
          </w:tcPr>
          <w:p>
            <w:pPr>
              <w:spacing w:after="0" w:line="180" w:lineRule="exact"/>
              <w:rPr>
                <w:sz w:val="20"/>
                <w:szCs w:val="20"/>
                <w:color w:val="auto"/>
              </w:rPr>
            </w:pPr>
            <w:r>
              <w:rPr>
                <w:rFonts w:ascii="Arial" w:cs="Arial" w:eastAsia="Arial" w:hAnsi="Arial"/>
                <w:sz w:val="17"/>
                <w:szCs w:val="17"/>
                <w:color w:val="0000FF"/>
              </w:rPr>
              <w:t>Item 10.</w:t>
            </w:r>
          </w:p>
        </w:tc>
        <w:tc>
          <w:tcPr>
            <w:tcW w:w="8420" w:type="dxa"/>
            <w:vAlign w:val="bottom"/>
            <w:gridSpan w:val="23"/>
          </w:tcPr>
          <w:p>
            <w:pPr>
              <w:spacing w:after="0" w:line="180" w:lineRule="exact"/>
              <w:rPr>
                <w:sz w:val="20"/>
                <w:szCs w:val="20"/>
                <w:color w:val="auto"/>
              </w:rPr>
            </w:pPr>
            <w:r>
              <w:rPr>
                <w:rFonts w:ascii="Arial" w:cs="Arial" w:eastAsia="Arial" w:hAnsi="Arial"/>
                <w:sz w:val="17"/>
                <w:szCs w:val="17"/>
                <w:color w:val="0000FF"/>
              </w:rPr>
              <w:t>Directors, Executive Officers and Corporate Governance</w:t>
            </w:r>
          </w:p>
        </w:tc>
        <w:tc>
          <w:tcPr>
            <w:tcW w:w="1760" w:type="dxa"/>
            <w:vAlign w:val="bottom"/>
            <w:gridSpan w:val="3"/>
          </w:tcPr>
          <w:p>
            <w:pPr>
              <w:jc w:val="center"/>
              <w:ind w:right="20"/>
              <w:spacing w:after="0" w:line="180" w:lineRule="exact"/>
              <w:rPr>
                <w:sz w:val="20"/>
                <w:szCs w:val="20"/>
                <w:color w:val="auto"/>
              </w:rPr>
            </w:pPr>
            <w:r>
              <w:rPr>
                <w:rFonts w:ascii="Arial" w:cs="Arial" w:eastAsia="Arial" w:hAnsi="Arial"/>
                <w:sz w:val="17"/>
                <w:szCs w:val="17"/>
                <w:color w:val="0000FF"/>
                <w:w w:val="94"/>
              </w:rPr>
              <w:t>30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tcBorders>
              <w:bottom w:val="single" w:sz="8" w:color="0000FF"/>
            </w:tcBorders>
            <w:gridSpan w:val="2"/>
          </w:tcPr>
          <w:p>
            <w:pPr>
              <w:spacing w:after="0" w:line="194" w:lineRule="exact"/>
              <w:rPr>
                <w:sz w:val="20"/>
                <w:szCs w:val="20"/>
                <w:color w:val="auto"/>
              </w:rPr>
            </w:pPr>
            <w:r>
              <w:rPr>
                <w:rFonts w:ascii="Arial" w:cs="Arial" w:eastAsia="Arial" w:hAnsi="Arial"/>
                <w:sz w:val="17"/>
                <w:szCs w:val="17"/>
                <w:color w:val="0000FF"/>
                <w:w w:val="91"/>
              </w:rPr>
              <w:t>Item 11.</w:t>
            </w:r>
          </w:p>
        </w:tc>
        <w:tc>
          <w:tcPr>
            <w:tcW w:w="400" w:type="dxa"/>
            <w:vAlign w:val="bottom"/>
          </w:tcPr>
          <w:p>
            <w:pPr>
              <w:spacing w:after="0"/>
              <w:rPr>
                <w:sz w:val="16"/>
                <w:szCs w:val="16"/>
                <w:color w:val="auto"/>
              </w:rPr>
            </w:pPr>
          </w:p>
        </w:tc>
        <w:tc>
          <w:tcPr>
            <w:tcW w:w="1860" w:type="dxa"/>
            <w:vAlign w:val="bottom"/>
            <w:tcBorders>
              <w:bottom w:val="single" w:sz="8" w:color="0000FF"/>
            </w:tcBorders>
            <w:gridSpan w:val="11"/>
          </w:tcPr>
          <w:p>
            <w:pPr>
              <w:spacing w:after="0" w:line="194" w:lineRule="exact"/>
              <w:rPr>
                <w:sz w:val="20"/>
                <w:szCs w:val="20"/>
                <w:color w:val="auto"/>
              </w:rPr>
            </w:pPr>
            <w:r>
              <w:rPr>
                <w:rFonts w:ascii="Arial" w:cs="Arial" w:eastAsia="Arial" w:hAnsi="Arial"/>
                <w:sz w:val="17"/>
                <w:szCs w:val="17"/>
                <w:color w:val="0000FF"/>
                <w:w w:val="97"/>
              </w:rPr>
              <w:t>Executive Compensation</w:t>
            </w:r>
          </w:p>
        </w:tc>
        <w:tc>
          <w:tcPr>
            <w:tcW w:w="2340" w:type="dxa"/>
            <w:vAlign w:val="bottom"/>
            <w:gridSpan w:val="5"/>
          </w:tcPr>
          <w:p>
            <w:pPr>
              <w:spacing w:after="0"/>
              <w:rPr>
                <w:sz w:val="16"/>
                <w:szCs w:val="16"/>
                <w:color w:val="auto"/>
              </w:rPr>
            </w:pPr>
          </w:p>
        </w:tc>
        <w:tc>
          <w:tcPr>
            <w:tcW w:w="4220" w:type="dxa"/>
            <w:vAlign w:val="bottom"/>
            <w:gridSpan w:val="7"/>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32</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12.</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13.</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14.</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Principal Accounting Fee and Services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IV</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3"/>
          </w:tcPr>
          <w:p>
            <w:pPr>
              <w:spacing w:after="0" w:line="180" w:lineRule="exact"/>
              <w:rPr>
                <w:sz w:val="20"/>
                <w:szCs w:val="20"/>
                <w:color w:val="auto"/>
              </w:rPr>
            </w:pPr>
            <w:r>
              <w:rPr>
                <w:rFonts w:ascii="Arial" w:cs="Arial" w:eastAsia="Arial" w:hAnsi="Arial"/>
                <w:sz w:val="17"/>
                <w:szCs w:val="17"/>
                <w:color w:val="0000FF"/>
              </w:rPr>
              <w:t>Item 15.</w:t>
            </w:r>
          </w:p>
        </w:tc>
        <w:tc>
          <w:tcPr>
            <w:tcW w:w="8420" w:type="dxa"/>
            <w:vAlign w:val="bottom"/>
            <w:gridSpan w:val="23"/>
          </w:tcPr>
          <w:p>
            <w:pPr>
              <w:spacing w:after="0" w:line="180" w:lineRule="exact"/>
              <w:rPr>
                <w:sz w:val="20"/>
                <w:szCs w:val="20"/>
                <w:color w:val="auto"/>
              </w:rPr>
            </w:pPr>
            <w:r>
              <w:rPr>
                <w:rFonts w:ascii="Arial" w:cs="Arial" w:eastAsia="Arial" w:hAnsi="Arial"/>
                <w:sz w:val="17"/>
                <w:szCs w:val="17"/>
                <w:color w:val="0000FF"/>
              </w:rPr>
              <w:t>Exhibits, Financial Statement Schedules</w:t>
            </w:r>
          </w:p>
        </w:tc>
        <w:tc>
          <w:tcPr>
            <w:tcW w:w="1760" w:type="dxa"/>
            <w:vAlign w:val="bottom"/>
            <w:gridSpan w:val="3"/>
          </w:tcPr>
          <w:p>
            <w:pPr>
              <w:jc w:val="center"/>
              <w:ind w:right="20"/>
              <w:spacing w:after="0" w:line="180" w:lineRule="exact"/>
              <w:rPr>
                <w:sz w:val="20"/>
                <w:szCs w:val="20"/>
                <w:color w:val="auto"/>
              </w:rPr>
            </w:pPr>
            <w:r>
              <w:rPr>
                <w:rFonts w:ascii="Arial" w:cs="Arial" w:eastAsia="Arial" w:hAnsi="Arial"/>
                <w:sz w:val="17"/>
                <w:szCs w:val="17"/>
                <w:color w:val="0000FF"/>
                <w:w w:val="94"/>
              </w:rPr>
              <w:t>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16.</w:t>
            </w: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Form 10-K Summary</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9"/>
          </w:tcPr>
          <w:p>
            <w:pPr>
              <w:spacing w:after="0" w:line="194" w:lineRule="exact"/>
              <w:rPr>
                <w:sz w:val="20"/>
                <w:szCs w:val="20"/>
                <w:color w:val="auto"/>
              </w:rPr>
            </w:pPr>
            <w:r>
              <w:rPr>
                <w:rFonts w:ascii="Arial" w:cs="Arial" w:eastAsia="Arial" w:hAnsi="Arial"/>
                <w:sz w:val="17"/>
                <w:szCs w:val="17"/>
                <w:color w:val="0000FF"/>
              </w:rPr>
              <w:t>Signatures</w:t>
            </w:r>
          </w:p>
        </w:tc>
        <w:tc>
          <w:tcPr>
            <w:tcW w:w="6860" w:type="dxa"/>
            <w:vAlign w:val="bottom"/>
            <w:gridSpan w:val="14"/>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20" w:type="dxa"/>
            <w:vAlign w:val="bottom"/>
            <w:gridSpan w:val="23"/>
          </w:tcPr>
          <w:p>
            <w:pPr>
              <w:spacing w:after="0" w:line="194" w:lineRule="exact"/>
              <w:rPr>
                <w:sz w:val="20"/>
                <w:szCs w:val="20"/>
                <w:color w:val="auto"/>
              </w:rPr>
            </w:pPr>
            <w:r>
              <w:rPr>
                <w:rFonts w:ascii="Arial" w:cs="Arial" w:eastAsia="Arial" w:hAnsi="Arial"/>
                <w:sz w:val="17"/>
                <w:szCs w:val="17"/>
                <w:color w:val="0000FF"/>
              </w:rPr>
              <w:t>Exhibit Index</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75</w:t>
            </w:r>
          </w:p>
        </w:tc>
        <w:tc>
          <w:tcPr>
            <w:tcW w:w="0" w:type="dxa"/>
            <w:vAlign w:val="bottom"/>
          </w:tcPr>
          <w:p>
            <w:pPr>
              <w:spacing w:after="0"/>
              <w:rPr>
                <w:sz w:val="1"/>
                <w:szCs w:val="1"/>
                <w:color w:val="auto"/>
              </w:rPr>
            </w:pPr>
          </w:p>
        </w:tc>
      </w:tr>
      <w:tr>
        <w:trPr>
          <w:trHeight w:val="929"/>
        </w:trPr>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5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69" w:lineRule="exact"/>
        <w:rPr>
          <w:sz w:val="20"/>
          <w:szCs w:val="20"/>
          <w:color w:val="auto"/>
        </w:rPr>
      </w:pPr>
    </w:p>
    <w:p>
      <w:pPr>
        <w:ind w:left="600" w:hanging="599"/>
        <w:spacing w:after="0"/>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General Development of Business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Gentex Corporation (the "Company") was incorporated as a Michigan corporation in 1974. The Company designs, develops, manufactures, markets, and supplies digital vision, connected car, dimmable glass, and fire protection products, including: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electronics for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At its inception, the Company manufactured smoke detectors, a product line that has since evolved to include a variety of fire protection products. In the early 1980's, the Company introduced an interior electromechanical automatic-dimming rearview mirror as an alternative to the manual day/night rearview mirrors for automotive applications. In the late 1980's, the Company introduced an interior electrochromic automatic-dimming rearview mirror for automotive applications. In the early 1990's, the Company introduced an exterior electrochromic automatic-dimming rearview mirror for automotive applications. In the late 1990's, the Company began making volume shipments of three new exterior mirror sub-assembly products: thin glass flat; convex; and aspheric. In 2005, the Company began making volume shipments of its bezel-free exterior automatic dimming mirror. In 2010 the Company began delivering electrochromic dimmable aircraft windows for the aviation industry. In 2013, the Company acquired HomeLink</w:t>
      </w:r>
      <w:r>
        <w:rPr>
          <w:rFonts w:ascii="Arial" w:cs="Arial" w:eastAsia="Arial" w:hAnsi="Arial"/>
          <w:sz w:val="21"/>
          <w:szCs w:val="21"/>
          <w:color w:val="auto"/>
          <w:vertAlign w:val="superscript"/>
        </w:rPr>
        <w:t>®</w:t>
      </w:r>
      <w:r>
        <w:rPr>
          <w:rFonts w:ascii="Arial" w:cs="Arial" w:eastAsia="Arial" w:hAnsi="Arial"/>
          <w:sz w:val="17"/>
          <w:szCs w:val="17"/>
          <w:color w:val="auto"/>
        </w:rPr>
        <w:t>,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had been, since 2003, integrating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into its interior automatic-dimming rearview mirrors.</w:t>
      </w:r>
    </w:p>
    <w:p>
      <w:pPr>
        <w:spacing w:after="0" w:line="130"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In 2015, the Company began making shipments of the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("FDM</w:t>
      </w:r>
      <w:r>
        <w:rPr>
          <w:rFonts w:ascii="Arial" w:cs="Arial" w:eastAsia="Arial" w:hAnsi="Arial"/>
          <w:sz w:val="21"/>
          <w:szCs w:val="21"/>
          <w:color w:val="auto"/>
          <w:vertAlign w:val="superscript"/>
        </w:rPr>
        <w:t>®</w:t>
      </w:r>
      <w:r>
        <w:rPr>
          <w:rFonts w:ascii="Arial" w:cs="Arial" w:eastAsia="Arial" w:hAnsi="Arial"/>
          <w:sz w:val="17"/>
          <w:szCs w:val="17"/>
          <w:color w:val="auto"/>
        </w:rPr>
        <w:t>"), which is an on-demand, mirror-borne LCD display that streams live, panoramic video of the vehicle's rearward view in order to improve driver rear vision. Also in 2015, the Company introduced the integration of toll module technology into the vehicle in a first-to-market application referred to as Integrated Toll Module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"ITM</w:t>
      </w:r>
      <w:r>
        <w:rPr>
          <w:rFonts w:ascii="Arial" w:cs="Arial" w:eastAsia="Arial" w:hAnsi="Arial"/>
          <w:sz w:val="21"/>
          <w:szCs w:val="21"/>
          <w:color w:val="auto"/>
          <w:vertAlign w:val="superscript"/>
        </w:rPr>
        <w:t>®</w:t>
      </w:r>
      <w:r>
        <w:rPr>
          <w:rFonts w:ascii="Arial" w:cs="Arial" w:eastAsia="Arial" w:hAnsi="Arial"/>
          <w:sz w:val="17"/>
          <w:szCs w:val="17"/>
          <w:color w:val="auto"/>
        </w:rPr>
        <w:t>". The interior mirror is an optimal location for a vehicle-integrated toll transponder and it eliminates the need to affix multiple toll tags to the windshield.</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2017, the Company announced an agreement entered into during the ordinary course of business with VOXX International Corporation to become the exclusive aftermarket distributor of the Gentex Aftermarket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the ITM</w:t>
      </w:r>
      <w:r>
        <w:rPr>
          <w:rFonts w:ascii="Arial" w:cs="Arial" w:eastAsia="Arial" w:hAnsi="Arial"/>
          <w:sz w:val="21"/>
          <w:szCs w:val="21"/>
          <w:color w:val="auto"/>
          <w:vertAlign w:val="superscript"/>
        </w:rPr>
        <w:t>®</w:t>
      </w:r>
      <w:r>
        <w:rPr>
          <w:rFonts w:ascii="Arial" w:cs="Arial" w:eastAsia="Arial" w:hAnsi="Arial"/>
          <w:sz w:val="17"/>
          <w:szCs w:val="17"/>
          <w:color w:val="auto"/>
        </w:rPr>
        <w:t>.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iris-scanning biometric technology in automotive applications.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In January 2020,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492760</wp:posOffset>
            </wp:positionV>
            <wp:extent cx="716724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Company announced that Airbus will also be offering the Company's dimmable aircraft windows on its aircraft, with production having begun in 2021.</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 In 2023, the Company will continue to work on the intelligent medical lighting system in order to assess system performance and work toward obtaining any necessary approvals.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April 2020, the Company, in the ordinary course of business, acquired Vaporsens, Inc. ("Vaporsens"), which specializes in nanofiber chemical sensing research and development. This new nanofiber technology can detect a wide variety of chemicals, including explosives, drugs, volatile organic compounds ("VOCs"), toxic industrial chemicals, amines, and more. The core of Vaporsens’ chemical sensor technology is a net of nanofibers approximately one thousand times smaller in size than human hair. Their porous structure allows them to absorb targeted molecules from sampled gas and identify them via changes in their electrical resistance. The technology allows for the rapid detection of target chemicals with high sensitivity in the parts per billion and parts per trillion ranges. The Vaporsens technology has a wide variety of use cases in various markets and industries, with potential applications for automotive, aerospace, agriculture, chemical manufacturing, military and first responders, worker safety, food and beverage processing, and medical.</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November 2020, the Company announced a partnership, in the ordinary course of business, with PayByCar™, to pursue compatibility between the Company's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PayByCar's innovative payment solution that allows drivers to use their smart 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07"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the automotive industry’s leading car-to-home automation system.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is underway. The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allows users to program their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buttons and control cloud-based devices from their vehicles.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September 2021, the Company announced the acquisition of Guardian Optical Technologies ("Guardian"), an Israeli startup that pioneered a unique, multi-modal sensor technology designed to provide a comprehensive suite of driver- and cabin-monitoring solutions for the automotive industry. The core of Guardian’s technology is an infrared-sensitive, high-resolution camera that combines machine vision, depth perception, and micro-vibration detection. This proprietary sensor configuration allows the system to not only monitor the driver, but also the entire vehicle cabin, including objects and other occupants, even assessing the occupant's behaviors, gestures, and activities. The system continuously scans, tracks and determines the physical location of every vehicle occupant and object, even without a direct line of sight, by combining two-dimensional video image recognition with 3D depth mapping and optical motion analysis. It is able to detect even slight movements, including heartbeats.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January 2022, the Company announced a partnership, in the ordinary course of business, with eSight, a leading provider of vision enhancement technology, to develop and manufacture the next generation of mobile electronic eyewear designed to help people living with visual impairments. The Company plans to utilize its expertise in digital vision, software development and industrial design to help eSight develop the next generation of eyewear, with a focus on reducing device size, enhancing its form factor, and optimizing overall system performance.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17"/>
          <w:szCs w:val="17"/>
          <w:color w:val="auto"/>
        </w:rPr>
        <w:t>In 2022, the Company obtained an approximate 20% equity share in GreenMarbles in the ordinary course of business. GreenMarbles is a leading provider of sustainable solutions for integration into properties. The Company plans to utilize this relationship to promote the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with property developers and contractors.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Automotive revenues represent approximately 97% of the Company's total revenue in 2022, mostly consisting of interior and exterior electrochromic automatic-dimming rearview mirrors and automotive electronics.</w:t>
      </w:r>
    </w:p>
    <w:p>
      <w:pPr>
        <w:spacing w:after="0" w:line="338" w:lineRule="exact"/>
        <w:rPr>
          <w:sz w:val="20"/>
          <w:szCs w:val="20"/>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169" w:lineRule="exact"/>
        <w:rPr>
          <w:rFonts w:ascii="Arial" w:cs="Arial" w:eastAsia="Arial" w:hAnsi="Arial"/>
          <w:sz w:val="17"/>
          <w:szCs w:val="17"/>
          <w:b w:val="1"/>
          <w:bCs w:val="1"/>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designs, develops, manufactures, markets, and supplies digital vision, connected car, dimmable glass, and fire protection products, including: automatic-dimming and non-automatic-dimming rearview mirrors and electronics for the automotive industry; dimmable aircraft windows for the aviation industry; and commercial smoke alarms and signaling devices for the fire protection industry.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Automotive Products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u w:val="single" w:color="auto"/>
          <w:color w:val="auto"/>
        </w:rPr>
        <w:t>Automotive Rearview Mirrors and Electronics.</w:t>
      </w:r>
      <w:r>
        <w:rPr>
          <w:rFonts w:ascii="Arial" w:cs="Arial" w:eastAsia="Arial" w:hAnsi="Arial"/>
          <w:sz w:val="16"/>
          <w:szCs w:val="16"/>
          <w:i w:val="1"/>
          <w:iCs w:val="1"/>
          <w:color w:val="auto"/>
        </w:rPr>
        <w:t xml:space="preserve"> </w:t>
      </w:r>
      <w:r>
        <w:rPr>
          <w:rFonts w:ascii="Arial" w:cs="Arial" w:eastAsia="Arial" w:hAnsi="Arial"/>
          <w:sz w:val="16"/>
          <w:szCs w:val="16"/>
          <w:color w:val="auto"/>
        </w:rPr>
        <w:t>Automotive applications are the largest business segment for the Company, mostly consisting of interior</w:t>
      </w:r>
      <w:r>
        <w:rPr>
          <w:rFonts w:ascii="Arial" w:cs="Arial" w:eastAsia="Arial" w:hAnsi="Arial"/>
          <w:sz w:val="16"/>
          <w:szCs w:val="16"/>
          <w:i w:val="1"/>
          <w:iCs w:val="1"/>
          <w:color w:val="auto"/>
        </w:rPr>
        <w:t xml:space="preserve"> </w:t>
      </w:r>
      <w:r>
        <w:rPr>
          <w:rFonts w:ascii="Arial" w:cs="Arial" w:eastAsia="Arial" w:hAnsi="Arial"/>
          <w:sz w:val="16"/>
          <w:szCs w:val="16"/>
          <w:color w:val="auto"/>
        </w:rPr>
        <w:t>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0"/>
          <w:szCs w:val="20"/>
          <w:color w:val="auto"/>
          <w:vertAlign w:val="superscript"/>
        </w:rPr>
        <w:t>®</w:t>
      </w:r>
      <w:r>
        <w:rPr>
          <w:rFonts w:ascii="Arial" w:cs="Arial" w:eastAsia="Arial" w:hAnsi="Arial"/>
          <w:sz w:val="16"/>
          <w:szCs w:val="16"/>
          <w:color w:val="auto"/>
        </w:rPr>
        <w:t>, interior driver and cabin monitoring systems, lighting assist and driver assist forward safety camera systems, various lighting systems, various telematics systems, ITM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systems, and a wide variety of displays, including the Full Display Mirror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The Company also ships interior non-automatic-dimming rearview mirrors with and without features.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The Company manufactures other automotive electronics products through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applications in the vehicle including the rearview mirror, interior visor, overhead console, or center console. Certain of the Company's newer features can be located either in the rearview mirror or other locations in the vehicle. Additionally, as the Company expands its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and the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rearward facing video cameras and integrated toll transponders are being produced and sold.</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produces rearview mirrors and electronics globally for automotive passenger cars, light trucks, pickup trucks, sport utility vehicles, and vans for OEMs, automotive suppliers, and various aftermarket and accessory customers. Automotive rearview mirrors and electronics accounted for 97% of the Company’s consolidated net sales in 2022.</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is the leading manufacturer of electrochromic automatic-dimming rearview mirrors in the world, and is the largest supplier to the automotive industry. Competitors for automotive rearview mirrors include Magna International, Tokai Rika Company, SMR Automotive, Aolian, Intertech, Kingband, BYD Auto Company, Sincode, Yanfeng Visteon, Xiamen Intertech, Guangdong Yuanfeng, Chongqing Yimei, Murakami, Ultronix, Aizhuo, Alpine Electronics, Inc., Licon, MirrorTech, Ambilight, and others in the Chinese automotive aftermarket. The Company also supplies electrochromic automatic-dimming rearview mirrors to certain of these rearview mirror competitors.</w:t>
      </w:r>
    </w:p>
    <w:p>
      <w:pPr>
        <w:spacing w:after="0" w:line="9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i w:val="1"/>
          <w:iCs w:val="1"/>
          <w:u w:val="single" w:color="auto"/>
          <w:color w:val="auto"/>
        </w:rPr>
        <w:t>Automotive Rearview Mirrors and Electronics Product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continually seeks to develop new products and is currently working</w:t>
      </w:r>
      <w:r>
        <w:rPr>
          <w:rFonts w:ascii="Arial" w:cs="Arial" w:eastAsia="Arial" w:hAnsi="Arial"/>
          <w:sz w:val="17"/>
          <w:szCs w:val="17"/>
          <w:i w:val="1"/>
          <w:iCs w:val="1"/>
          <w:color w:val="auto"/>
        </w:rPr>
        <w:t xml:space="preserve"> </w:t>
      </w:r>
      <w:r>
        <w:rPr>
          <w:rFonts w:ascii="Arial" w:cs="Arial" w:eastAsia="Arial" w:hAnsi="Arial"/>
          <w:sz w:val="17"/>
          <w:szCs w:val="17"/>
          <w:color w:val="auto"/>
        </w:rPr>
        <w:t>to introduce additional advanced-feature automatic-dimming mirrors. Advanced-feature automatic-dimming mirrors currently being offered by the Company include one or more of the following features: SmartBeam</w:t>
      </w:r>
      <w:r>
        <w:rPr>
          <w:rFonts w:ascii="Arial" w:cs="Arial" w:eastAsia="Arial" w:hAnsi="Arial"/>
          <w:sz w:val="21"/>
          <w:szCs w:val="21"/>
          <w:color w:val="auto"/>
          <w:vertAlign w:val="superscript"/>
        </w:rPr>
        <w:t>®</w:t>
      </w:r>
      <w:r>
        <w:rPr>
          <w:rFonts w:ascii="Arial" w:cs="Arial" w:eastAsia="Arial" w:hAnsi="Arial"/>
          <w:sz w:val="17"/>
          <w:szCs w:val="17"/>
          <w:color w:val="auto"/>
        </w:rPr>
        <w:t>, HomeLink</w:t>
      </w:r>
      <w:r>
        <w:rPr>
          <w:rFonts w:ascii="Arial" w:cs="Arial" w:eastAsia="Arial" w:hAnsi="Arial"/>
          <w:sz w:val="21"/>
          <w:szCs w:val="21"/>
          <w:color w:val="auto"/>
          <w:vertAlign w:val="superscript"/>
        </w:rPr>
        <w:t>®</w:t>
      </w:r>
      <w:r>
        <w:rPr>
          <w:rFonts w:ascii="Arial" w:cs="Arial" w:eastAsia="Arial" w:hAnsi="Arial"/>
          <w:sz w:val="17"/>
          <w:szCs w:val="17"/>
          <w:color w:val="auto"/>
        </w:rPr>
        <w:t>, HomeLink Connect</w:t>
      </w:r>
      <w:r>
        <w:rPr>
          <w:rFonts w:ascii="Arial" w:cs="Arial" w:eastAsia="Arial" w:hAnsi="Arial"/>
          <w:sz w:val="21"/>
          <w:szCs w:val="21"/>
          <w:color w:val="auto"/>
          <w:vertAlign w:val="superscript"/>
        </w:rPr>
        <w:t>®</w:t>
      </w:r>
      <w:r>
        <w:rPr>
          <w:rFonts w:ascii="Arial" w:cs="Arial" w:eastAsia="Arial" w:hAnsi="Arial"/>
          <w:sz w:val="17"/>
          <w:szCs w:val="17"/>
          <w:color w:val="auto"/>
        </w:rPr>
        <w:t>, frameless mirror designs, LED map lamps, compass displays, telematics,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systems, hands free communication, Rear Camera Display ("RCD") interior mirrors,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interior mirrors, digital video recording solutions, exterior turn signals, side blind zone indicators 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17"/>
          <w:szCs w:val="17"/>
          <w:color w:val="auto"/>
        </w:rPr>
        <w:t>various other exterior mirror features that improve safety and field of view. Advanced features currently in development include: biometric authentication systems, hybrid and fully digital camera monitoring systems ("CMS"), driver and cabin monitoring systems, cabin sensing systems, touch screen displays for mirrors, and digital enhancements to displays to improve driver safety, among other things. Other automotive products currently in development include large area dimmable devices, which include sunroof and moon roof applications, driver and passenger windows, interior sun-visors and other window surfaces in vehicles, among others. The Company is also in development of small-scale dimmable devices that darken to improve contrast and legibility for transparent displays, concealment of sensors, and to dynamically adjust camera exposure.</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Automotive Rearview Mirrors and Electronics 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In North America, Europe and Asia, the Company markets its products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is currently supplying mirrors and electronic modules for Aston Martin, BMW Group, Daimler Group, Faraday Future, Ferrari, Ford Motor Co., Geely/Volvo, General Motors, Harley Davidson, Honda Motor Co., Hyundai/Kia, Lucid Motors, Mazda, Mahindra &amp; Mahindra, McLaren, Polaris, Renault/Nissan/Mitsubishi Group, Rivian Automotive, Stellantis, Subaru, Suzuki, Tata Motors, Tesla, TOGG Inc., Toyota Motor Company, Volkswagen Group, VOXX International, as well as shipments to domestic China manufacturers (BYD, Chery, Dongfeng, FAW, Great Wall Motors, Human Horizon, King Long, Lixiang Auto, NIO, SAIC, and Xpeng EV).</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Revenues by major geographic area are disclosed in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of the Consolidated Financial Statements.</w:t>
      </w:r>
    </w:p>
    <w:p>
      <w:pPr>
        <w:spacing w:after="0" w:line="22"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Traditionally, new products and technologies have been restricted to high-end vehicles and premium trim/option packages. As consumer demand has continued to pursue the adoption of advanced technology, more OEMs have shifted to offer a variety of trim packages and option packages for each of their vehicles, creating a range of available pricing and technologies across their lineups. In some instances, Company products such as the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profitable, mirror-based and in-vehicle technologies that consumers demand. As more consumers have become familiar with interior and exterior dimming mirrors, HomeLink</w:t>
      </w:r>
      <w:r>
        <w:rPr>
          <w:rFonts w:ascii="Arial" w:cs="Arial" w:eastAsia="Arial" w:hAnsi="Arial"/>
          <w:sz w:val="21"/>
          <w:szCs w:val="21"/>
          <w:color w:val="auto"/>
          <w:vertAlign w:val="superscript"/>
        </w:rPr>
        <w:t>®</w:t>
      </w:r>
      <w:r>
        <w:rPr>
          <w:rFonts w:ascii="Arial" w:cs="Arial" w:eastAsia="Arial" w:hAnsi="Arial"/>
          <w:sz w:val="17"/>
          <w:szCs w:val="17"/>
          <w:color w:val="auto"/>
        </w:rPr>
        <w:t>, FDM</w:t>
      </w:r>
      <w:r>
        <w:rPr>
          <w:rFonts w:ascii="Arial" w:cs="Arial" w:eastAsia="Arial" w:hAnsi="Arial"/>
          <w:sz w:val="21"/>
          <w:szCs w:val="21"/>
          <w:color w:val="auto"/>
          <w:vertAlign w:val="superscript"/>
        </w:rPr>
        <w:t>®</w:t>
      </w:r>
      <w:r>
        <w:rPr>
          <w:rFonts w:ascii="Arial" w:cs="Arial" w:eastAsia="Arial" w:hAnsi="Arial"/>
          <w:sz w:val="17"/>
          <w:szCs w:val="17"/>
          <w:color w:val="auto"/>
        </w:rPr>
        <w:t>, ITM</w:t>
      </w:r>
      <w:r>
        <w:rPr>
          <w:rFonts w:ascii="Arial" w:cs="Arial" w:eastAsia="Arial" w:hAnsi="Arial"/>
          <w:sz w:val="21"/>
          <w:szCs w:val="21"/>
          <w:color w:val="auto"/>
          <w:vertAlign w:val="superscript"/>
        </w:rPr>
        <w:t>®</w:t>
      </w:r>
      <w:r>
        <w:rPr>
          <w:rFonts w:ascii="Arial" w:cs="Arial" w:eastAsia="Arial" w:hAnsi="Arial"/>
          <w:sz w:val="17"/>
          <w:szCs w:val="17"/>
          <w:color w:val="auto"/>
        </w:rPr>
        <w:t>, and other Company technologies, consumers have continued to select these technologies in their subsequent vehicles, driving further market and nameplate penetration as OEMs launch new vehicles and expand into new markets. Where OEMs had historically used Company technologies only to differentiate from one another, they have now begun to also use Company technologies to differentiate trim lines across their own nameplates. In new markets, emerging OEMs have recognized the need to include Company products in their vehicles to compete with global OEMs.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u w:val="single" w:color="auto"/>
          <w:color w:val="auto"/>
        </w:rPr>
        <w:t>Automotive Rearview Mirrors and Electronics 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continues to be the leading producer of automatic-dimming rearview mirrors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world and currently is the largest supplier to the automotive industry with an approximate 89% market share worldwide in 2022. While the Company believes it will retain a significant position in automatic-dimming rearview mirrors for some time, another U.S. manufacturer, Magna Mirrors, a division of Magna International ("Magna"), continues to compete for sales to domestic and foreign vehicle manufacturers and is supplying a number of domestic and foreign vehicle models with its versions of auto-dimming mirrors and appears to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a small number of Chinese domestic mirror suppliers that are marketing and selling automatic-dimming rearview mirrors, in low volume, within the domestic China automotive market. Moreover, other companies have demonstrated products that are competitive to the Company's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and a small number of Chinese domestic mirror suppliers have begun marketing and selling these products, in low volume, within the domestic China market. Further, two Japan manufacturers (Murakami and Panasonic) have begun selling and marketing competitive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type products in Japan. The Company acknowledges that dimming device (e.g., electrochromic) technology is the subject of research and development efforts by numerous third parties.</w:t>
      </w:r>
    </w:p>
    <w:p>
      <w:pPr>
        <w:spacing w:after="0" w:line="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November 2020, the Company announced a partnership, in the ordinary course of business, with PayByCar™, to pursue compatibility between the Company's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PayByCar's innovative payment solution that allows drivers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7"/>
          <w:szCs w:val="17"/>
          <w:color w:val="auto"/>
        </w:rPr>
        <w:t>to use their smartphones and toll transponder to fuel up at certain gas stations without using cash or a credit card and to pay at parking garages. Compatibility between these two technologies can help to grow each company's respective consumer base while introducing new users to the benefits of the transactional vehicle.</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The Company plans to integrate Simplenight into its current and future connected vehicle technologies, including HomeLink</w:t>
      </w:r>
      <w:r>
        <w:rPr>
          <w:rFonts w:ascii="Arial" w:cs="Arial" w:eastAsia="Arial" w:hAnsi="Arial"/>
          <w:sz w:val="20"/>
          <w:szCs w:val="20"/>
          <w:color w:val="auto"/>
          <w:vertAlign w:val="superscript"/>
        </w:rPr>
        <w:t>®</w:t>
      </w:r>
      <w:r>
        <w:rPr>
          <w:rFonts w:ascii="Arial" w:cs="Arial" w:eastAsia="Arial" w:hAnsi="Arial"/>
          <w:sz w:val="16"/>
          <w:szCs w:val="16"/>
          <w:color w:val="auto"/>
        </w:rPr>
        <w:t>, the automotive industry’s leading car-to-home automation system.</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HomeLink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consists of vehicle-integrated buttons that can be programmed to operate a myriad of home automation devices. Integration of Simplenight into the Company's HomeLink Connect® app is underway. The HomeLink Connect app allows users to program their HomeLink® buttons and control</w:t>
      </w:r>
    </w:p>
    <w:p>
      <w:pPr>
        <w:spacing w:after="0"/>
        <w:rPr>
          <w:sz w:val="20"/>
          <w:szCs w:val="20"/>
          <w:color w:val="auto"/>
        </w:rPr>
      </w:pPr>
      <w:r>
        <w:rPr>
          <w:rFonts w:ascii="Arial" w:cs="Arial" w:eastAsia="Arial" w:hAnsi="Arial"/>
          <w:sz w:val="17"/>
          <w:szCs w:val="17"/>
          <w:color w:val="auto"/>
        </w:rPr>
        <w:t>cloud-based devices from their vehicles.</w:t>
      </w:r>
    </w:p>
    <w:p>
      <w:pPr>
        <w:spacing w:after="0" w:line="12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2022, the Company obtained an approximate 20% equity share in GreenMarbles in the ordinary course of business. GreenMarbles is a leading provider of sustainable solutions for integration into properties. The Company plans to utilize this relationship to promote the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with property developers and contractors.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 and to potentially add new products.</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these products. The Company has also continued to invest in new technologies to improve manufacturing processes. In 2020, the Company, in the ordinary course of business, completed the acquisition of Argil, Inc., which specializes in electrochromic technology and research and development, which the Company anticipates using to complement and expand 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9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the Company continues to expand its automatic-dimming mirror products with additional advanced electronic features and expands the capabilities of its CMOS imager technology for additional features (i.e. SmartBeam</w:t>
      </w:r>
      <w:r>
        <w:rPr>
          <w:rFonts w:ascii="Arial" w:cs="Arial" w:eastAsia="Arial" w:hAnsi="Arial"/>
          <w:sz w:val="21"/>
          <w:szCs w:val="21"/>
          <w:color w:val="auto"/>
          <w:vertAlign w:val="superscript"/>
        </w:rPr>
        <w:t>®</w:t>
      </w:r>
      <w:r>
        <w:rPr>
          <w:rFonts w:ascii="Arial" w:cs="Arial" w:eastAsia="Arial" w:hAnsi="Arial"/>
          <w:sz w:val="17"/>
          <w:szCs w:val="17"/>
          <w:color w:val="auto"/>
        </w:rPr>
        <w:t>, FDM</w:t>
      </w:r>
      <w:r>
        <w:rPr>
          <w:rFonts w:ascii="Arial" w:cs="Arial" w:eastAsia="Arial" w:hAnsi="Arial"/>
          <w:sz w:val="21"/>
          <w:szCs w:val="21"/>
          <w:color w:val="auto"/>
          <w:vertAlign w:val="superscript"/>
        </w:rPr>
        <w:t>®</w:t>
      </w:r>
      <w:r>
        <w:rPr>
          <w:rFonts w:ascii="Arial" w:cs="Arial" w:eastAsia="Arial" w:hAnsi="Arial"/>
          <w:sz w:val="17"/>
          <w:szCs w:val="17"/>
          <w:color w:val="auto"/>
        </w:rPr>
        <w:t>, rear video camera, digital video recorder, etc.), as well as continuing to expand the capabilities of the Company's hybrid and fully digital CMS technology, driver and cabin monitoring systems, the Company recognizes that it is competing with considerably larger and more geographically diverse electronics companies that present a formidable competitive threat in the future as new products/features and technologies are brought to market.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Dimmable Aircraft Windows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continues to manufacture and sell variable dimmable windows for the passenger compartment on the Boeing 787 Dreamliner series of aircraft. In 2019, the Company announced that it would be offering, as optional content, its latest generation of variable dimmable windows on the Boeing 777X aircraft. Later in 2019, the first production shipments of variably dimmable windows were made to Boeing for the 777X program. As previously announced, Airbus is now offering, as optional content, the Company's dimmable aircraft windows on its aircraft, with production having begun in 2021.</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markets its variable dimmable windows to aircraft manufacturers and airline operators globally.</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variable dimmable aircraft windows are the first commercialized product of its kind for original equipment installation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industry. Other manufacturers are working to develop and sell competing products utilizing other technology in the aircraft industry for aftermarket or original equipment installation.</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success with electrochromic technology provides potential opportunities and use cases for other commercial applications, which the Company continues to explore. including, but not limited to passenger smart-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lighting that automatically optimizes illumination for various in-flight activities like reading, dining, or computer work; biometric systems for personalizing the in-flight experience; and in-cabin particulate and chemical sensors for monitoring cabin air quality.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Fire Protection Products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fire protection products are sold directly to fire protection and security product distributors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brand name, to electrical wholesale houses, and to original equipment manufacturers of fire protection systems under both the Company’s brand name and private labels. The Company markets its fire protection products primarily in North America, but also globally through regional sales managers and manufacturer representative organizations.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fire protection products industry is highly competitive in terms of both the smoke detectors and signaling appliance markets.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estimates that it 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Nanofiber Products and Development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Company completed the acquisition of Vaporsens in 2020. Vaporsens specializes in nanofiber chemical sensing research and development.</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While no current commercialized product yet exists, this technology has the potential ability to sense explosives, toxic industrial</w:t>
      </w:r>
      <w:r>
        <w:rPr>
          <w:rFonts w:ascii="Arial" w:cs="Arial" w:eastAsia="Arial" w:hAnsi="Arial"/>
          <w:sz w:val="17"/>
          <w:szCs w:val="17"/>
          <w:i w:val="1"/>
          <w:iCs w:val="1"/>
          <w:color w:val="auto"/>
        </w:rPr>
        <w:t xml:space="preserve"> </w:t>
      </w:r>
      <w:r>
        <w:rPr>
          <w:rFonts w:ascii="Arial" w:cs="Arial" w:eastAsia="Arial" w:hAnsi="Arial"/>
          <w:sz w:val="17"/>
          <w:szCs w:val="17"/>
          <w:color w:val="auto"/>
        </w:rPr>
        <w:t>chemicals, chemical warfare 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Trademarks and Patents</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owns 40 U.S. Registered Trademarks and 786 U.S. Patents, of which 31 Registered Trademarks and 711 patents relate to electrochromic technology, automotive rearview mirrors, microphones, displays, cameras, sensor technology, smart lighting technology, and/or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products. These patents expire at various times between 2023 and 2043. The Company believes that these patents provide the Company a competitive advantage in its markets, although no single patent is necessarily required for the success of the Company's products.</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also owns 360 foreign Registered Trademarks and 1,194 foreign patents, of which 344 Registered Trademarks and 1,128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products. These patents expire at various times between 2023 and 2047. The Company believes that the competitive advantage derived in the relevant foreign markets for these patents is comparable to that applicable in the U.S. market.</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owns 50 U.S. Patents and 54 foreign patents that relate specifically to the Company’s variable dimmable windows. The U.S. Patents expire at various times between 2026 and 2041, while the foreign patents expire at various times between 2026 and 2038.</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owns 9 U.S. Registered Trademarks, 19 U.S. Patents, 16 foreign Registered Trademarks, and 12 foreign patents that relate to the Company’s fire protection products. The U.S. Patents expire at various times between 2023 and 2038, while the foreign patents expire at various times between 2023 and 2039. The Company believes that the competitive advantage provided by these patents is relatively small.</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has in process 176 U.S. Patent applications, 296 foreign patent applications, and 15 Registered Trademark applications. The Company continuously seeks to improve its core technologies and apply those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technologies to new and existing products. As those efforts produce patentable inventions, the Company expects to file appropriate patent applications.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Company periodically obtains intellectual property rights, in the ordinary course of the Company's business, to strengthen its intellectual property portfolio and minimize potential risks of infringement.</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 Capital Resources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As of February 1, 2023, the Company had 5,466 full-time employees. None of the Company’s employees are represented by a labor union or other collective bargaining representative. The Company believes that its relations with its employees are in good standing. See "Executive Officers of the Registrant" in </w:t>
      </w:r>
      <w:r>
        <w:rPr>
          <w:rFonts w:ascii="Arial" w:cs="Arial" w:eastAsia="Arial" w:hAnsi="Arial"/>
          <w:sz w:val="17"/>
          <w:szCs w:val="17"/>
          <w:u w:val="single" w:color="auto"/>
          <w:color w:val="0000FF"/>
        </w:rPr>
        <w:t>Part III, Item 10</w:t>
      </w:r>
      <w:r>
        <w:rPr>
          <w:rFonts w:ascii="Arial" w:cs="Arial" w:eastAsia="Arial" w:hAnsi="Arial"/>
          <w:sz w:val="17"/>
          <w:szCs w:val="17"/>
          <w:color w:val="auto"/>
        </w:rPr>
        <w: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fosters a collaborative culture founded on devotion to quality and innovation. An inclusive environment is nurtured so that team members can perform, support each other, and continue to grow and learn, including on-the-job training.</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This culture is supported by a competitive compensation system that goes beyond base salary and includes for virtually all employees: quarterly profit-sharing bonuses; an extensive stock-based compensation program that extends to all eligible employees; an employee stock purchase plan; 401(k) plan (or other retirement plan for non-US employees) with Company matching; and tuition reimbursement. In keeping with the Company's core principle of ownership mentality, compensation is structured throughout the organization so that employees win when all of stakeholders win. The Company also provides a healthy and safe climate-controlled work environment that includes an on-site wellness center and on-site health clinic at its headquarters. A number of health-related programs are available to employees, including: asthma/COPD management services; diabetes management; "Smart Health," which gives employees and spouses a way to earn wellness credits; Gentex Cares+ Employee Assistance Program; and crop share, which offers employees fresh fruits and vegetables weekly. The Company has also announced the creation of the Gentex Discovery Preschool, an on-site daycare and preschool designed to provide employees with convenient, cost-effective access to quality day care.</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extremely proud of its workplace injury prevention programs, which have achieved workplace injury rates well below industry averages.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Evidence of the Company's commitment to inclusion is its cultivation of a world-class diversity, equity &amp; inclusion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 that.</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Company's DE&amp;I initiatives are supported by its VP of Diversity, Equity, &amp; Inclusion and DE&amp;I Council, which helps implement specific diversity programs, supports internal training, and creates opportunities to spread awareness throughout the organization. The Company's DE&amp;I Council is led by Mr. Joe Matthews, VP of Diversity, Equity, &amp; Inclusion and includes employees from many different parts of the Company. The Company's DE&amp;I initiatives are further supported by the DE&amp;I Advisory Board, which is led by Mr. Matthews, and includes various executives, including the CEO, and members that are not employees of the Company. Mr. Matthews has been honored as a Salute to Diversity Winner by Corp! Magazine.</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As a part of DE&amp;I initiatives, the Company maintains a growing list of business resource groups ("BRGs") comprised of individuals with similar interests or backgrounds that work internally to support one another, develop leadership skills, and enhance cultural awareness. Among current BRGs are Women at Gentex and Veterans at Gentex. In 2022, Gentex also established a separate DE&amp;I council in Salt Lake City to serve the Company employees that work at the research and development office located there. This separate council has supported several organizations in the local Salt Lake City area, including supporting students from diverse backgrounds and sponsoring events to support global causes.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DE&amp;I efforts at the Company extend to the supply base as well, where the Company been recognized for ongoing efforts to increase supplier relationships with certified minority, woman, veteran, and LGBTQ-owned enterprises. In fact, the Company mentors certain such suppliers to help them develop the business systems and technology improvements necessary to support future growth. The Company is a member of or otherwise involved in the Michigan Minority Supplier Development Council, Original Equipment Supplier's Association - Diversity &amp; Inclusion, Board of Governors, Consumer Technology Association - D&amp;I Group, Michigan Diversity Connection, West Michigan Hispanic Chamber of Commerce, and the Great Lakes Women's Business Council.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9" w:name="page10"/>
    <w:bookmarkEnd w:id="9"/>
    <w:p>
      <w:pPr>
        <w:jc w:val="both"/>
        <w:spacing w:after="0" w:line="244" w:lineRule="auto"/>
        <w:rPr>
          <w:sz w:val="20"/>
          <w:szCs w:val="20"/>
          <w:color w:val="auto"/>
        </w:rPr>
      </w:pPr>
      <w:r>
        <w:rPr>
          <w:rFonts w:ascii="Arial" w:cs="Arial" w:eastAsia="Arial" w:hAnsi="Arial"/>
          <w:sz w:val="17"/>
          <w:szCs w:val="17"/>
          <w:color w:val="auto"/>
        </w:rPr>
        <w:t>Hiring rates, voluntary and involuntary turnover rates, internal rates of hiring and promotion, and safety records are considered as measures of the Company's success in human capital management. While hiring and diversity policies are in place as a means to remain on track in terms of appropriate human resources management, the DE&amp;I efforts have furthered the process of creating a welcoming environment so the Company can hire and retain the best people. The Company produces a Sustainability Report, referenced below, providing more information regarding diversity and corporate responsibility. In an effort to ensure an excellent and increasingly diverse employment base, the Company has added Spanish speaking manufacturing lines, which involves materials for recruiting, orientation, on-boarding, training, and work in the Spanish language.</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 Company is the recipient of an EPIC Diversity Visionary Award presented by a local Chamber of Commerce. Moreover, the Company's DE&amp;I efforts related to actively developing and using minority, women, and veteran-owned suppliers have been acknowledged and recognized by multiple original equipment manufacturer ("OEM") customers. In fact, Toyota Motor Engineering &amp; Manufacturing North America, Inc. has specifically recognized the Company's efforts over the last 10 years to increase supplier relationships with minority business enterprises. The Company has also won supplier diversity awards from Honda, Nissan, and Toyota, and was the City of Holland, Michigan's Human Relations Commission 2020 Social Justice Award winner.</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2022, the Company established the Gentex Foundation, which will provide financial grants to organizations across the country in support of economic development, children's services, public health, housing assistance and diversity initiatives — among other causes. The Gentex Foundation is managed by a board of directors that will review grant applications with a particular focus on communities where Company employees live and work, consistent with the organization's values of integrity, compassion, innovation and diversity. Employees are encouraged to organize on-site fundraisers and to spend time volunteering at worthy charitable organizations in addition to giving financially. Support is also provided to a number of minority organizations in keeping with the Company's DE&amp;I efforts and to continue to build an even more diverse and skilled workforce.</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Company's Board of Directors has regular touchpoints with management regarding: employee engagement; workforce planning (including capabilities and skills development); safety; understanding workforce demographics and DE&amp;I strategies; and corporate culture. The Board and management know that the right talent is required to implement the Company's strategies. As such, the Board works with management appropriately regarding the approach to, and investment in, human capital that includes recruitment, talent development, retention, and diversity. The Board has access to all levels of employees in the Company in its efforts to properly oversee human resources and DE&amp;I issues.</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Company's commitment to DE&amp;I is very apparent by the inclusiveness of the Board of Directors. The Board of Directors and the Nominating and Corporate Governance Committee have taken concrete actions to increase Board diversity, including use of various resources and environments to identify qualified and diverse director candidates. Such candidates are contacted and interviewed in order to continue to build an even more diverse, qualified, and capable Board. In the Company's 2022 Proxy Statement, the Company disclosed Board of Directors diversity information as required by NASDAQ, and will continue to do so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also implemented a Complaint Submission and Handling Policy for concerns to be raised as needed.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Sustainability</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u w:val="single" w:color="auto"/>
          <w:color w:val="auto"/>
        </w:rPr>
        <w:t>Disclosure on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a Sustainability section of its website (https://www.gentex.com/about/sustainability) to provide insight into</w:t>
      </w:r>
      <w:r>
        <w:rPr>
          <w:rFonts w:ascii="Arial" w:cs="Arial" w:eastAsia="Arial" w:hAnsi="Arial"/>
          <w:sz w:val="17"/>
          <w:szCs w:val="17"/>
          <w:i w:val="1"/>
          <w:iCs w:val="1"/>
          <w:color w:val="auto"/>
        </w:rPr>
        <w:t xml:space="preserve"> </w:t>
      </w:r>
      <w:r>
        <w:rPr>
          <w:rFonts w:ascii="Arial" w:cs="Arial" w:eastAsia="Arial" w:hAnsi="Arial"/>
          <w:sz w:val="17"/>
          <w:szCs w:val="17"/>
          <w:color w:val="auto"/>
        </w:rPr>
        <w:t>how the Company is committed to protecting the environment by complying with all environmental laws and related requirements, while at the same time striving for continual improvement in sustainability and environmental performance. The Company's Sustainability Report, published each year and available on the Company's website, provides significant details regarding the Company's approach to sustainability.</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makes intentional decisions that reflect the desire to be responsible with all resources and achieve the Company's goal of</w:t>
      </w:r>
      <w:r>
        <w:rPr>
          <w:rFonts w:ascii="Arial" w:cs="Arial" w:eastAsia="Arial" w:hAnsi="Arial"/>
          <w:sz w:val="17"/>
          <w:szCs w:val="17"/>
          <w:i w:val="1"/>
          <w:iCs w:val="1"/>
          <w:color w:val="auto"/>
        </w:rPr>
        <w:t xml:space="preserve"> </w:t>
      </w:r>
      <w:r>
        <w:rPr>
          <w:rFonts w:ascii="Arial" w:cs="Arial" w:eastAsia="Arial" w:hAnsi="Arial"/>
          <w:sz w:val="17"/>
          <w:szCs w:val="17"/>
          <w:color w:val="auto"/>
        </w:rPr>
        <w:t>meaningful change.</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i w:val="1"/>
          <w:iCs w:val="1"/>
          <w:u w:val="single" w:color="auto"/>
          <w:color w:val="auto"/>
        </w:rPr>
        <w:t>Energy and Climate Change.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understands that energy use and manufacturing are large contributors of the Company's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As such, the Company remains committed to improving energy-efficiency. To that end, the Company has announced to the following carbon reduction and neutrality goals: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 w:name="page11"/>
    <w:bookmarkEnd w:id="10"/>
    <w:p>
      <w:pPr>
        <w:ind w:left="300"/>
        <w:spacing w:after="0"/>
        <w:rPr>
          <w:sz w:val="20"/>
          <w:szCs w:val="20"/>
          <w:color w:val="auto"/>
        </w:rPr>
      </w:pPr>
      <w:r>
        <w:rPr>
          <w:rFonts w:ascii="Arial" w:cs="Arial" w:eastAsia="Arial" w:hAnsi="Arial"/>
          <w:sz w:val="17"/>
          <w:szCs w:val="17"/>
          <w:color w:val="auto"/>
        </w:rPr>
        <w:t>–  By 2026, 15% below 2020 levels</w:t>
      </w:r>
    </w:p>
    <w:p>
      <w:pPr>
        <w:spacing w:after="0" w:line="9" w:lineRule="exact"/>
        <w:rPr>
          <w:sz w:val="20"/>
          <w:szCs w:val="20"/>
          <w:color w:val="auto"/>
        </w:rPr>
      </w:pPr>
    </w:p>
    <w:p>
      <w:pPr>
        <w:ind w:left="300"/>
        <w:spacing w:after="0" w:line="231" w:lineRule="auto"/>
        <w:rPr>
          <w:sz w:val="20"/>
          <w:szCs w:val="20"/>
          <w:color w:val="auto"/>
        </w:rPr>
      </w:pPr>
      <w:r>
        <w:rPr>
          <w:rFonts w:ascii="Arial" w:cs="Arial" w:eastAsia="Arial" w:hAnsi="Arial"/>
          <w:sz w:val="17"/>
          <w:szCs w:val="17"/>
          <w:color w:val="auto"/>
        </w:rPr>
        <w:t>–  By 2031, 40% below 2020 levels</w:t>
      </w:r>
    </w:p>
    <w:p>
      <w:pPr>
        <w:ind w:left="300"/>
        <w:spacing w:after="0" w:line="231" w:lineRule="auto"/>
        <w:rPr>
          <w:sz w:val="20"/>
          <w:szCs w:val="20"/>
          <w:color w:val="auto"/>
        </w:rPr>
      </w:pPr>
      <w:r>
        <w:rPr>
          <w:rFonts w:ascii="Arial" w:cs="Arial" w:eastAsia="Arial" w:hAnsi="Arial"/>
          <w:sz w:val="17"/>
          <w:szCs w:val="17"/>
          <w:color w:val="auto"/>
        </w:rPr>
        <w:t>–  By 2041, 70% below 2020 levels</w:t>
      </w:r>
    </w:p>
    <w:p>
      <w:pPr>
        <w:ind w:left="300"/>
        <w:spacing w:after="0"/>
        <w:rPr>
          <w:sz w:val="20"/>
          <w:szCs w:val="20"/>
          <w:color w:val="auto"/>
        </w:rPr>
      </w:pPr>
      <w:r>
        <w:rPr>
          <w:rFonts w:ascii="Arial" w:cs="Arial" w:eastAsia="Arial" w:hAnsi="Arial"/>
          <w:sz w:val="17"/>
          <w:szCs w:val="17"/>
          <w:color w:val="auto"/>
        </w:rPr>
        <w:t>–  By 2049, carbon neutrality</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Company implements efficient alternatives for capital equipment, uses automated building management systems to use less energy, and has put in place extremely efficient lighting and HVAC equipment. The Company also participates in the local Energy Smart Program, which promotes the</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implementation of progressive energy efficiency projects, including achieving the maximum goal possible for lighting and HVAC improvements, compressed air leak audits, and building control systems. The Company also converted one of its manufacturing facilities to be powered entirely by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renewable energy in 2022.</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u w:val="single" w:color="auto"/>
          <w:color w:val="auto"/>
        </w:rPr>
        <w:t>Gentex Environmental Management System (GEMS).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environmental management system is based on ISO 14001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standard). This system governs environmental performance by addressing the impact of the Company's activities, products, and services on the environment. At each Company facility, environmental impact is measured and improved upon annually by eliminating waste and emissions, maximizing efficiency of processes and resources, and increased recycling and reuse. The foregoing has allowed the Company to establish long-term measures for minimizing the negative effects on the environment, while maximizing positive outputs 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Waste and Recycling.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also has robust waste and recycling strategies, tracking solid waste to landfill, solid waste recycled, and regulated</w:t>
      </w:r>
      <w:r>
        <w:rPr>
          <w:rFonts w:ascii="Arial" w:cs="Arial" w:eastAsia="Arial" w:hAnsi="Arial"/>
          <w:sz w:val="17"/>
          <w:szCs w:val="17"/>
          <w:i w:val="1"/>
          <w:iCs w:val="1"/>
          <w:color w:val="auto"/>
        </w:rPr>
        <w:t xml:space="preserve"> </w:t>
      </w:r>
      <w:r>
        <w:rPr>
          <w:rFonts w:ascii="Arial" w:cs="Arial" w:eastAsia="Arial" w:hAnsi="Arial"/>
          <w:sz w:val="17"/>
          <w:szCs w:val="17"/>
          <w:color w:val="auto"/>
        </w:rPr>
        <w:t>waste. As a part of its strategies, the Company has committed to the following landfill avoidance goals: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By 2026, 20% below 2020 levels</w:t>
      </w:r>
    </w:p>
    <w:p>
      <w:pPr>
        <w:spacing w:after="0" w:line="9" w:lineRule="exact"/>
        <w:rPr>
          <w:sz w:val="20"/>
          <w:szCs w:val="20"/>
          <w:color w:val="auto"/>
        </w:rPr>
      </w:pPr>
    </w:p>
    <w:p>
      <w:pPr>
        <w:ind w:left="300"/>
        <w:spacing w:after="0" w:line="216" w:lineRule="auto"/>
        <w:rPr>
          <w:sz w:val="20"/>
          <w:szCs w:val="20"/>
          <w:color w:val="auto"/>
        </w:rPr>
      </w:pPr>
      <w:r>
        <w:rPr>
          <w:rFonts w:ascii="Arial" w:cs="Arial" w:eastAsia="Arial" w:hAnsi="Arial"/>
          <w:sz w:val="17"/>
          <w:szCs w:val="17"/>
          <w:color w:val="auto"/>
        </w:rPr>
        <w:t>–  By 2031, 60% below 2020 levels</w:t>
      </w:r>
    </w:p>
    <w:p>
      <w:pPr>
        <w:ind w:left="300"/>
        <w:spacing w:after="0" w:line="231" w:lineRule="auto"/>
        <w:rPr>
          <w:sz w:val="20"/>
          <w:szCs w:val="20"/>
          <w:color w:val="auto"/>
        </w:rPr>
      </w:pPr>
      <w:r>
        <w:rPr>
          <w:rFonts w:ascii="Arial" w:cs="Arial" w:eastAsia="Arial" w:hAnsi="Arial"/>
          <w:sz w:val="17"/>
          <w:szCs w:val="17"/>
          <w:color w:val="auto"/>
        </w:rPr>
        <w:t>–  By 2041, 90% below 2020 levels</w:t>
      </w:r>
    </w:p>
    <w:p>
      <w:pPr>
        <w:ind w:left="300"/>
        <w:spacing w:after="0"/>
        <w:rPr>
          <w:sz w:val="20"/>
          <w:szCs w:val="20"/>
          <w:color w:val="auto"/>
        </w:rPr>
      </w:pPr>
      <w:r>
        <w:rPr>
          <w:rFonts w:ascii="Arial" w:cs="Arial" w:eastAsia="Arial" w:hAnsi="Arial"/>
          <w:sz w:val="17"/>
          <w:szCs w:val="17"/>
          <w:color w:val="auto"/>
        </w:rPr>
        <w:t>–  By 2045, 100% zero landfill waste</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u w:val="single" w:color="auto"/>
          <w:color w:val="auto"/>
        </w:rPr>
        <w:t>Initiatives.</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sustainability initiatives, the Company has undertaken a number of actions related to energy, waste stewardship, water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environmental protection. Regarding energy, the Company: utilizes software-managed and occupancy-sensor controlled lighting in all facilities; has air economizers and energy recovery units in HVAC systems; utilizes energy efficient fluorescent lighting; has certain white material roofs to reflect sunlight; has insulated metal panel systems for exterior walls (for energy efficiency); captures excess heat from compressed air systems and uses it to preheat/temper water used in production; takes excess water from production processes to use in boiler/snow melt water; and installed a centralized water chiller plant to lower energy use. Regarding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roofs”; adopted a highway to clean waste from public lands; constructed wetland and wildlife habitat areas; and acquired property which includes natural wetlands. As regards transportation, the Company maintains: 22 electric vehicle charging stations; a bicycle fleet for travel between facilities;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bus shelter to encourage bus ridership; and Sweed banding choppers at certain facilities to reduce frequency of trips to recycling.</w:t>
      </w:r>
    </w:p>
    <w:p>
      <w:pPr>
        <w:spacing w:after="0" w:line="153" w:lineRule="exact"/>
        <w:rPr>
          <w:sz w:val="20"/>
          <w:szCs w:val="20"/>
          <w:color w:val="auto"/>
        </w:rPr>
      </w:pPr>
    </w:p>
    <w:p>
      <w:pPr>
        <w:ind w:left="600" w:hanging="599"/>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32" w:lineRule="exact"/>
        <w:rPr>
          <w:rFonts w:ascii="Arial" w:cs="Arial" w:eastAsia="Arial" w:hAnsi="Arial"/>
          <w:sz w:val="17"/>
          <w:szCs w:val="17"/>
          <w:b w:val="1"/>
          <w:bCs w:val="1"/>
          <w:color w:val="auto"/>
        </w:rPr>
      </w:pPr>
    </w:p>
    <w:p>
      <w:pPr>
        <w:ind w:left="600" w:hanging="599"/>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Available Information</w:t>
      </w:r>
    </w:p>
    <w:p>
      <w:pPr>
        <w:spacing w:after="0" w:line="144" w:lineRule="exact"/>
        <w:rPr>
          <w:rFonts w:ascii="Arial" w:cs="Arial" w:eastAsia="Arial" w:hAnsi="Arial"/>
          <w:sz w:val="17"/>
          <w:szCs w:val="17"/>
          <w:b w:val="1"/>
          <w:bCs w:val="1"/>
          <w:color w:val="auto"/>
        </w:rPr>
      </w:pPr>
    </w:p>
    <w:p>
      <w:pPr>
        <w:jc w:val="both"/>
        <w:ind w:left="6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quarterly reports on Form 10-Q, current reports on Form 8-K, and all amendments to those reports, will be made available, free of charge, through the Investor Information section of the Company’s website (</w:t>
      </w:r>
      <w:r>
        <w:rPr>
          <w:rFonts w:ascii="Arial" w:cs="Arial" w:eastAsia="Arial" w:hAnsi="Arial"/>
          <w:sz w:val="17"/>
          <w:szCs w:val="17"/>
          <w:u w:val="single" w:color="auto"/>
          <w:color w:val="auto"/>
        </w:rPr>
        <w:t>http://ir.gentex.com</w:t>
      </w:r>
      <w:r>
        <w:rPr>
          <w:rFonts w:ascii="Arial" w:cs="Arial" w:eastAsia="Arial" w:hAnsi="Arial"/>
          <w:sz w:val="17"/>
          <w:szCs w:val="17"/>
          <w:color w:val="auto"/>
        </w:rPr>
        <w:t>) as soon as practicable after such materials are electronically filed with or furnished to the Securities and Exchange Commission ("SEC"). The SEC maintains a website (</w:t>
      </w:r>
      <w:r>
        <w:rPr>
          <w:rFonts w:ascii="Arial" w:cs="Arial" w:eastAsia="Arial" w:hAnsi="Arial"/>
          <w:sz w:val="17"/>
          <w:szCs w:val="17"/>
          <w:u w:val="single" w:color="auto"/>
          <w:color w:val="auto"/>
        </w:rPr>
        <w:t>http://www.sec.gov</w:t>
      </w:r>
      <w:r>
        <w:rPr>
          <w:rFonts w:ascii="Arial" w:cs="Arial" w:eastAsia="Arial" w:hAnsi="Arial"/>
          <w:sz w:val="17"/>
          <w:szCs w:val="17"/>
          <w:color w:val="auto"/>
        </w:rPr>
        <w:t>) that contains reports, proxy and information statements, and other information regarding issues that a company files electronically with the SEC.</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1" w:name="page12"/>
    <w:bookmarkEnd w:id="11"/>
    <w:p>
      <w:pPr>
        <w:jc w:val="both"/>
        <w:spacing w:after="0" w:line="249" w:lineRule="auto"/>
        <w:rPr>
          <w:sz w:val="20"/>
          <w:szCs w:val="20"/>
          <w:color w:val="auto"/>
        </w:rPr>
      </w:pPr>
      <w:r>
        <w:rPr>
          <w:rFonts w:ascii="Arial" w:cs="Arial" w:eastAsia="Arial" w:hAnsi="Arial"/>
          <w:sz w:val="16"/>
          <w:szCs w:val="16"/>
          <w:i w:val="1"/>
          <w:iCs w:val="1"/>
          <w:u w:val="single" w:color="auto"/>
          <w:color w:val="auto"/>
        </w:rPr>
        <w:t>Safe Harbor for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Annual Report on Form 10-K contains forward-looking statements within the meaning of the safe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harbor provisions of the Private Securities Litigation Reform Act of 1995. </w:t>
      </w:r>
      <w:r>
        <w:rPr>
          <w:rFonts w:ascii="Arial" w:cs="Arial" w:eastAsia="Arial" w:hAnsi="Arial"/>
          <w:sz w:val="16"/>
          <w:szCs w:val="16"/>
          <w:color w:val="0A0A0A"/>
        </w:rPr>
        <w:t>The statements contained in this communication that are not purely historical</w:t>
      </w:r>
      <w:r>
        <w:rPr>
          <w:rFonts w:ascii="Arial" w:cs="Arial" w:eastAsia="Arial" w:hAnsi="Arial"/>
          <w:sz w:val="16"/>
          <w:szCs w:val="16"/>
          <w:color w:val="auto"/>
        </w:rPr>
        <w:t xml:space="preserve"> </w:t>
      </w:r>
      <w:r>
        <w:rPr>
          <w:rFonts w:ascii="Arial" w:cs="Arial" w:eastAsia="Arial" w:hAnsi="Arial"/>
          <w:sz w:val="16"/>
          <w:szCs w:val="16"/>
          <w:color w:val="0A0A0A"/>
        </w:rPr>
        <w:t>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“opinion,” “optimistic,” “plan,” “poised,” “predict,” “project,” “should,” “strategy,” “target,” “will,” "work to," and variations of such words and similar expressions. Such statements are subject to risks and uncertainties that are often difficult to predict and beyond the</w:t>
      </w:r>
    </w:p>
    <w:p>
      <w:pPr>
        <w:spacing w:after="0" w:line="3"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0A0A0A"/>
        </w:rPr>
        <w:t>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A0A0A"/>
        </w:rPr>
        <w:t>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A0A0A"/>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0A0A0A"/>
        </w:rPr>
        <w:t xml:space="preserve">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constraints that have affected, are affecting, and will continue to affect, general economic and industry conditions, customers, suppliers, and the regulatory environment in which the Company operates. </w:t>
      </w:r>
      <w:r>
        <w:rPr>
          <w:rFonts w:ascii="Arial" w:cs="Arial" w:eastAsia="Arial" w:hAnsi="Arial"/>
          <w:sz w:val="17"/>
          <w:szCs w:val="17"/>
          <w:color w:val="000000"/>
        </w:rPr>
        <w:t>Includes content supplied by S&amp;P Global Mobility / IHS Markit Light Vehicle Production</w:t>
      </w:r>
      <w:r>
        <w:rPr>
          <w:rFonts w:ascii="Arial" w:cs="Arial" w:eastAsia="Arial" w:hAnsi="Arial"/>
          <w:sz w:val="17"/>
          <w:szCs w:val="17"/>
          <w:color w:val="0A0A0A"/>
        </w:rPr>
        <w:t xml:space="preserve"> </w:t>
      </w:r>
      <w:r>
        <w:rPr>
          <w:rFonts w:ascii="Arial" w:cs="Arial" w:eastAsia="Arial" w:hAnsi="Arial"/>
          <w:sz w:val="17"/>
          <w:szCs w:val="17"/>
          <w:color w:val="000000"/>
        </w:rPr>
        <w:t>Forecast (http://www.gentex.com/forecast-disclaimer).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0A0A0A"/>
        </w:rPr>
        <w:t>T</w:t>
      </w:r>
      <w:r>
        <w:rPr>
          <w:rFonts w:ascii="Arial" w:cs="Arial" w:eastAsia="Arial" w:hAnsi="Arial"/>
          <w:sz w:val="17"/>
          <w:szCs w:val="17"/>
          <w:color w:val="000000"/>
        </w:rPr>
        <w:t>he following risk factors, together with all other information provided in this Annual Report on Form 10-K should be carefully considered.</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u w:val="single" w:color="auto"/>
          <w:color w:val="auto"/>
        </w:rPr>
        <w:t>Automotive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within the auto industry comprise approximately 97% of our net sales. The automotive industry has always been</w:t>
      </w:r>
      <w:r>
        <w:rPr>
          <w:rFonts w:ascii="Arial" w:cs="Arial" w:eastAsia="Arial" w:hAnsi="Arial"/>
          <w:sz w:val="17"/>
          <w:szCs w:val="17"/>
          <w:i w:val="1"/>
          <w:iCs w:val="1"/>
          <w:color w:val="auto"/>
        </w:rPr>
        <w:t xml:space="preserve"> </w:t>
      </w:r>
      <w:r>
        <w:rPr>
          <w:rFonts w:ascii="Arial" w:cs="Arial" w:eastAsia="Arial" w:hAnsi="Arial"/>
          <w:sz w:val="17"/>
          <w:szCs w:val="17"/>
          <w:color w:val="auto"/>
        </w:rPr>
        <w:t>cyclical and highly impacted by levels of economic activity. The current economic environment, including inflation, continues to be uncertain, and continues to cause financial and production stresses evidenced by volatile automotive production levels, volatility with customer orders, supplier part and material shortages (especially electronics components), automotive and Tier 1 supplier plant shutdowns, customer and supplier financial issues, commodity raw material cost increases, supply constraints, tariffs, consumer vehicle preference shifts (where we have a lower penetration rate and lower content per vehicle), and supply chain stresses, all of which have been exacerbated by the COVID-19 pandemic and the fallout therefrom. If automotive customers (including their Tier 1 suppliers) and suppliers experience significant plant shutdowns, work stoppages, strikes, part shortages, etc., it will further disrupt our shipments to these customers, which could adversely affect our business, financial condition, and/or results of operations. Automakers continue to experience volatility and uncertainty in executing planned new programs on time, due in part to continued vehicle complexity increases and supply chain constraints. This brings increased risk of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Key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a number of large customers, including three automotive customers which each account for 10% or more of our annual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in 2022 (including direct sales to OEM customers and sales through their Tier 1 suppliers): Volkswagen Group, Toyota Motor Company, and General Motors. 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7"/>
          <w:szCs w:val="17"/>
          <w:i w:val="1"/>
          <w:iCs w:val="1"/>
          <w:u w:val="single" w:color="auto"/>
          <w:color w:val="auto"/>
        </w:rPr>
        <w:t>Pricing Pressures.</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experience ongoing pricing pressures from our automotive customers and competitors, which have affected, and</w:t>
      </w:r>
      <w:r>
        <w:rPr>
          <w:rFonts w:ascii="Arial" w:cs="Arial" w:eastAsia="Arial" w:hAnsi="Arial"/>
          <w:sz w:val="17"/>
          <w:szCs w:val="17"/>
          <w:i w:val="1"/>
          <w:iCs w:val="1"/>
          <w:color w:val="auto"/>
        </w:rPr>
        <w:t xml:space="preserve"> </w:t>
      </w:r>
      <w:r>
        <w:rPr>
          <w:rFonts w:ascii="Arial" w:cs="Arial" w:eastAsia="Arial" w:hAnsi="Arial"/>
          <w:sz w:val="17"/>
          <w:szCs w:val="17"/>
          <w:color w:val="auto"/>
        </w:rPr>
        <w:t>which will continue to affect our profit margins to the extent that we are unable to offset the pricing pressures with price adjustments, engineering and purchasing cost reductions, productivity improvements, increases in unit shipments of mirrors and electronics with advanced features, and/or new or advanced technologies, each of which pose ongoing challenges, which could continue to adversely impact our business, financial condition, and/or results of operations.</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u w:val="single" w:color="auto"/>
          <w:color w:val="auto"/>
        </w:rPr>
        <w:t>Raw Materials and Other Product Component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costs in raw materials, energy, commodities, labor, and other product component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adversely affects our business, financial condition and/or results of operations. These costs have generally increased as a result of supply chain disruptions, constrained labor availability, global economic factors, as well as inflationary impacts. When these prices rise and we are unable to recover such cost increases from our customers, those increases have an adverse effect on our business, financial condition and/or results of operations;</w:t>
      </w:r>
    </w:p>
    <w:p>
      <w:pPr>
        <w:spacing w:after="0" w:line="9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Tariffs.</w:t>
      </w:r>
      <w:r>
        <w:rPr>
          <w:rFonts w:ascii="Arial" w:cs="Arial" w:eastAsia="Arial" w:hAnsi="Arial"/>
          <w:sz w:val="17"/>
          <w:szCs w:val="17"/>
          <w:i w:val="1"/>
          <w:iCs w:val="1"/>
          <w:color w:val="auto"/>
        </w:rPr>
        <w:t xml:space="preserve"> </w:t>
      </w:r>
      <w:r>
        <w:rPr>
          <w:rFonts w:ascii="Arial" w:cs="Arial" w:eastAsia="Arial" w:hAnsi="Arial"/>
          <w:sz w:val="17"/>
          <w:szCs w:val="17"/>
          <w:color w:val="auto"/>
        </w:rPr>
        <w:t>The geopolitical environment between the Unites States and other jurisdictions, most significantly China, continues to cause uncertainty on</w:t>
      </w:r>
      <w:r>
        <w:rPr>
          <w:rFonts w:ascii="Arial" w:cs="Arial" w:eastAsia="Arial" w:hAnsi="Arial"/>
          <w:sz w:val="17"/>
          <w:szCs w:val="17"/>
          <w:i w:val="1"/>
          <w:iCs w:val="1"/>
          <w:color w:val="auto"/>
        </w:rPr>
        <w:t xml:space="preserve"> </w:t>
      </w:r>
      <w:r>
        <w:rPr>
          <w:rFonts w:ascii="Arial" w:cs="Arial" w:eastAsia="Arial" w:hAnsi="Arial"/>
          <w:sz w:val="17"/>
          <w:szCs w:val="17"/>
          <w:color w:val="auto"/>
        </w:rPr>
        <w:t>tariffs and trade. Previously enacted tariffs have increased the Company's input costs, and have the potential to challenge the Company's competitive position in foreign markets. The continuance of these tariffs and/or escalation of disputes in the geopolitical environment could continue to interfere with automotive supply chains and may have a continued negative impact on the Company’s business, financial condition, and/or results of operations, especially since the Company primarily manufactures and ships from one location. We cannot predict what further action may be taken with respect to tariffs or trade relations between the U.S. and other governments, and any further changes in U.S. or international trade policy could have a further adverse impact on our business.</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We recognize that Magna Mirrors, our main competitor, may have considerably more resources available to it, and may present a</w:t>
      </w:r>
      <w:r>
        <w:rPr>
          <w:rFonts w:ascii="Arial" w:cs="Arial" w:eastAsia="Arial" w:hAnsi="Arial"/>
          <w:sz w:val="17"/>
          <w:szCs w:val="17"/>
          <w:i w:val="1"/>
          <w:iCs w:val="1"/>
          <w:color w:val="auto"/>
        </w:rPr>
        <w:t xml:space="preserve"> </w:t>
      </w:r>
      <w:r>
        <w:rPr>
          <w:rFonts w:ascii="Arial" w:cs="Arial" w:eastAsia="Arial" w:hAnsi="Arial"/>
          <w:sz w:val="17"/>
          <w:szCs w:val="17"/>
          <w:color w:val="auto"/>
        </w:rPr>
        <w:t>formidable competitive threat. Additionally, other companies have demonstrated products that are competitive to our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and other products. We acknowledge that dimming device (e.g., electrochromic) technology is the subject of research and development efforts by numerous third parties.</w:t>
      </w:r>
    </w:p>
    <w:p>
      <w:pPr>
        <w:spacing w:after="0" w:line="11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example, our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is a driver-assist feature for headlamp lighting control that competes with other multiple-function driver-assist features that include headlamp lighting control as one of the multiple functions. While we believe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a low cost solution for a safety feature that makes nighttime driving safer by maximizing a vehicle's high-beam usage, competition from multiple-function driver-assist products has already and could continue to impact the success of SmartBeam</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March 31, 2014 the Alliance of Automobile Manufacturers petitioned the National Highway Traffic Safety Administration ("NHTSA") to allow automakers to use camera monitoring systems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China has now released an updated version of its GB15084, which will be effective later in 2023, and allows for camera</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3" w:name="page14"/>
    <w:bookmarkEnd w:id="13"/>
    <w:p>
      <w:pPr>
        <w:jc w:val="both"/>
        <w:spacing w:after="0" w:line="236" w:lineRule="auto"/>
        <w:rPr>
          <w:sz w:val="20"/>
          <w:szCs w:val="20"/>
          <w:color w:val="auto"/>
        </w:rPr>
      </w:pPr>
      <w:r>
        <w:rPr>
          <w:rFonts w:ascii="Arial" w:cs="Arial" w:eastAsia="Arial" w:hAnsi="Arial"/>
          <w:sz w:val="17"/>
          <w:szCs w:val="17"/>
          <w:color w:val="auto"/>
        </w:rPr>
        <w:t>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since 2015 and has, in the ordinary course of business, been awarded programs with fourteen (14) OEM customers. The Company is currently shipping production Full Display Mirrors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to all fourteen of these customers. In 2022, the Company began shipping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on 18 new nameplates and are currently shipping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on 86 nameplates. The Company's CMS solution uses three cameras to provide a comprehensive view of the sides and rear of the vehicle while still providing the traditional safety of interior and exterior mirrors, that still function when cameras are obstructed, or not functioning. The Company has previously announced that the Company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Supply Chain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just-in-time supply chains within our business and the automotive industry, disruptions in our supply chain have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are occurring, and are expected to continue to occur due to the industry-wide parts shortages, labor shortages, and other global supply chain constraints. We have and continue to take a number of steps to mitigate the current supply chain challenges, which include strategies involving the additional procurement of available raw materials to prepare for assembling finished goods more quickly when supply constraints ease for certain common components. These inventory strategies further introduce obsolescence risk that impacts our business, financial conditions, and/or results of operations. As our customers' forecasted demand changes, inventory becomes obsolete and write-offs or write-downs of our inventory are exacerbated. Disruptions can also occur due to natural disasters, other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Workforce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experienced, and may continue to experience in the future, disruptions to our workforce as a result of a tight labor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employee illness, quarantines, absenteeism, and restrictions on certain of our employee's ability to work as a result of the COVID-19 pandemic. The impacts of continued disruptions to our workforce have affected, are affecting, and are expected to continue to affect our business, financial condition, and/or results of operations.</w:t>
      </w:r>
    </w:p>
    <w:p>
      <w:pPr>
        <w:spacing w:after="0" w:line="10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u w:val="single" w:color="auto"/>
          <w:color w:val="auto"/>
        </w:rPr>
        <w:t>Product Mix.</w:t>
      </w:r>
      <w:r>
        <w:rPr>
          <w:rFonts w:ascii="Arial" w:cs="Arial" w:eastAsia="Arial" w:hAnsi="Arial"/>
          <w:sz w:val="17"/>
          <w:szCs w:val="17"/>
          <w:i w:val="1"/>
          <w:iCs w:val="1"/>
          <w:color w:val="auto"/>
        </w:rPr>
        <w:t xml:space="preserve"> </w:t>
      </w:r>
      <w:r>
        <w:rPr>
          <w:rFonts w:ascii="Arial" w:cs="Arial" w:eastAsia="Arial" w:hAnsi="Arial"/>
          <w:sz w:val="17"/>
          <w:szCs w:val="17"/>
          <w:color w:val="auto"/>
        </w:rPr>
        <w:t>We sell products that have varying profit margins. Our financial performance can be impacted depending on the mix of products we sell</w:t>
      </w:r>
      <w:r>
        <w:rPr>
          <w:rFonts w:ascii="Arial" w:cs="Arial" w:eastAsia="Arial" w:hAnsi="Arial"/>
          <w:sz w:val="17"/>
          <w:szCs w:val="17"/>
          <w:i w:val="1"/>
          <w:iCs w:val="1"/>
          <w:color w:val="auto"/>
        </w:rPr>
        <w:t xml:space="preserve"> </w:t>
      </w:r>
      <w:r>
        <w:rPr>
          <w:rFonts w:ascii="Arial" w:cs="Arial" w:eastAsia="Arial" w:hAnsi="Arial"/>
          <w:sz w:val="17"/>
          <w:szCs w:val="17"/>
          <w:color w:val="auto"/>
        </w:rPr>
        <w:t>and to which customers,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our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could have a significant effect on our business, financial condition, and/or results of operations. Our forward guidance and estimates assume a certain geographic sales mix as well as a product sales mix. When actual results vary from this projected geographic and product mix of sales, our business, financial condition, and/or results of operations are impacted.</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anticipate that acquisitions of businesses and assets may play a role in our future growth. We cannot be certain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able to identify attractive acquisition targets, have resources available for or obtain financing for acquisitions on satisfactory terms, successfully acquire identified targets or manage timing of acquisitions with capital obligations across our businesses. Additionally, we may 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potentially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7"/>
          <w:szCs w:val="17"/>
          <w:i w:val="1"/>
          <w:iCs w:val="1"/>
          <w:u w:val="single" w:color="auto"/>
          <w:color w:val="auto"/>
        </w:rPr>
        <w:t>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our patents and trade secrets provide us with a competitive advantage in automotive rearview mirrors,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dimmable devices, certain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 a current and ongoing risk for the Company.</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New Technology and Product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invest significantly in engineering, research and development projects. Should these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ultimately prove unsuccessful, our business, financial condition, and/or results of operations could be adversely affected.</w:t>
      </w:r>
    </w:p>
    <w:p>
      <w:pPr>
        <w:spacing w:after="0" w:line="8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Intellectual Property Litigation and Infringement Claims.</w:t>
      </w:r>
      <w:r>
        <w:rPr>
          <w:rFonts w:ascii="Arial" w:cs="Arial" w:eastAsia="Arial" w:hAnsi="Arial"/>
          <w:sz w:val="17"/>
          <w:szCs w:val="17"/>
          <w:i w:val="1"/>
          <w:iCs w:val="1"/>
          <w:color w:val="auto"/>
        </w:rPr>
        <w:t xml:space="preserve"> </w:t>
      </w:r>
      <w:r>
        <w:rPr>
          <w:rFonts w:ascii="Arial" w:cs="Arial" w:eastAsia="Arial" w:hAnsi="Arial"/>
          <w:sz w:val="17"/>
          <w:szCs w:val="17"/>
          <w:color w:val="auto"/>
        </w:rPr>
        <w:t>A successful claim of patent or other intellectual property infringement and damages against us</w:t>
      </w:r>
      <w:r>
        <w:rPr>
          <w:rFonts w:ascii="Arial" w:cs="Arial" w:eastAsia="Arial" w:hAnsi="Arial"/>
          <w:sz w:val="17"/>
          <w:szCs w:val="17"/>
          <w:i w:val="1"/>
          <w:iCs w:val="1"/>
          <w:color w:val="auto"/>
        </w:rPr>
        <w:t xml:space="preserve"> </w:t>
      </w:r>
      <w:r>
        <w:rPr>
          <w:rFonts w:ascii="Arial" w:cs="Arial" w:eastAsia="Arial" w:hAnsi="Arial"/>
          <w:sz w:val="17"/>
          <w:szCs w:val="17"/>
          <w:color w:val="auto"/>
        </w:rPr>
        <w:t>could affect business, financial condition, and/or results of operations. If a person or company claims that our products infringed their intellectual property rights, any resulting litigation could be costly,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automakers and Tier 1 customers from time to time may consider the sale of certain business segments or bankruptcy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allowance for doubtful accounts primarily relates to financially distressed automotive mirror and electronics customers. We continue to work with these financially distressed customers in collecting past due balances. Refer to </w:t>
      </w:r>
      <w:r>
        <w:rPr>
          <w:rFonts w:ascii="Arial" w:cs="Arial" w:eastAsia="Arial" w:hAnsi="Arial"/>
          <w:sz w:val="17"/>
          <w:szCs w:val="17"/>
          <w:u w:val="single" w:color="auto"/>
          <w:color w:val="0000FF"/>
        </w:rPr>
        <w:t>Note 1</w:t>
      </w:r>
      <w:r>
        <w:rPr>
          <w:rFonts w:ascii="Arial" w:cs="Arial" w:eastAsia="Arial" w:hAnsi="Arial"/>
          <w:sz w:val="17"/>
          <w:szCs w:val="17"/>
          <w:color w:val="auto"/>
        </w:rPr>
        <w:t xml:space="preserve"> of the </w:t>
      </w:r>
      <w:r>
        <w:rPr>
          <w:rFonts w:ascii="Arial" w:cs="Arial" w:eastAsia="Arial" w:hAnsi="Arial"/>
          <w:sz w:val="17"/>
          <w:szCs w:val="17"/>
          <w:u w:val="single" w:color="auto"/>
          <w:color w:val="0000FF"/>
        </w:rPr>
        <w:t>Consolidated Financial Statements</w:t>
      </w:r>
      <w:r>
        <w:rPr>
          <w:rFonts w:ascii="Arial" w:cs="Arial" w:eastAsia="Arial" w:hAnsi="Arial"/>
          <w:sz w:val="17"/>
          <w:szCs w:val="17"/>
          <w:color w:val="auto"/>
        </w:rPr>
        <w:t>.</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Business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our proprietary products employing electro-optic technology is performed primarily at our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in Zeeland and Holland, Michigan. One of our manufacturing facilities is located in Holland, Michigan, which is approximately three miles from our other primary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u w:val="single" w:color="auto"/>
          <w:color w:val="auto"/>
        </w:rPr>
        <w:t>IT Infrastructure and Cybersecurity</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 failure of our information technology ("IT") infrastructure could adversely impact our business, financial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and/or 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 over a period of several years and continue to update and further implement new systems going forward. Like many systems, these systems may not always perform as expected. We also face the challenge of supporting our older systems and implementing necessary upgrades. If we experience a problem with the functioning of an important IT system or a security breach of our IT systems, the resulting disruptions could have an adverse effect on our business, financial condition, and/or results of operations.</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face certain security threats, including threats to the confidentiality, availability and integrity of our data and systems. We maintain an extensive network of technical security controls, policy enforcement mechanisms, monitoring systems and management oversight in order to address these threats. While these measures are designed to prevent, detect and respond to unauthorized activity in, or otherwise compromise of, our systems, certain types of attacks, including cyber-attacks, could result in significant financial or information losses and/or reputational harm.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7"/>
          <w:szCs w:val="17"/>
          <w:color w:val="auto"/>
        </w:rPr>
        <w:t>unauthorized access, cyber-attack and other similar disruptions. Any system failure, accident or security breach could result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reputation, financial condition, and/or results of operations. In addition, we may be required to incur significant costs to protect against damage caused by these disruptions or security breaches in the future.</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Government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Dodd-Frank Wall Street Reform and Consumer Protection Act contains provisions to improve transparency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requirements necessitate due diligence efforts, and the Company has disclosed its findings annually to the SEC on Form SD around May 30 each year since 2012. As there may be only a limited number of suppliers offering "conflict free" minerals necessary for our products, the Company cannot be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may implement.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December 8, 2015, NHTSA proposed changes to the Administration’s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originally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 will qualify with the semi-automatic headlamp NCAP rating system, and that its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210"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October 12, 2018, NHTSA published a Notice of Proposed Rulemaking ("NPRM") for amendments to Federal Motor Vehicle Safety Standard ("FMVSS") No. 108: Lamps, reflective devices, and associated equipment,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lighting control system (dynamic forward lighting or DFL), which has been sold in markets outside of North America for several years, will meet the requirements of the new FMVSS No. 108 standards, if amended. The Company's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 has and will continue to be affected by increased competition suppliers of multi-function driver assist camera products, which are able to achieve some of the same functionality as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but at a lower cost, due to other suppliers leveraging similar hardware costs, but offering products with multiple software features.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6" w:name="page17"/>
    <w:bookmarkEnd w:id="16"/>
    <w:p>
      <w:pPr>
        <w:jc w:val="both"/>
        <w:spacing w:after="0" w:line="236" w:lineRule="auto"/>
        <w:rPr>
          <w:sz w:val="20"/>
          <w:szCs w:val="20"/>
          <w:color w:val="auto"/>
        </w:rPr>
      </w:pPr>
      <w:r>
        <w:rPr>
          <w:rFonts w:ascii="Arial" w:cs="Arial" w:eastAsia="Arial" w:hAnsi="Arial"/>
          <w:sz w:val="17"/>
          <w:szCs w:val="17"/>
          <w:color w:val="auto"/>
        </w:rPr>
        <w:t>On February 1, 2022, NHTSA signed a Final Rule to allow for adaptive driving beam headlights, and the Final Rule is awaiting publication in the Federal Registrar. The Company believes its adaptive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(dynamic lighting system), which has been manufactured and sold for many years in jurisdictions outside the United States, will be permitted under the NHTSA Final Rule.</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Antitakeover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Our articles of incorporation, bylaws, and the laws of the state of Michigan include provisions that may provide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with 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Fluctuations in Market Price.</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 price for our common stock has fluctuated, ranging from a low closing price of $23.80 to a high closing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$36.18 during calendar year 2022. The overall market and the price of our common stock may continue to fluctuate. There may be a significant impact on the market price for our common stock relating to the issues discussed above or due to any of the following:</w:t>
      </w:r>
    </w:p>
    <w:p>
      <w:pPr>
        <w:spacing w:after="0" w:line="188" w:lineRule="exact"/>
        <w:rPr>
          <w:sz w:val="20"/>
          <w:szCs w:val="20"/>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Variations in our anticipated or actual operating results or the results of our competitors;</w:t>
      </w:r>
    </w:p>
    <w:p>
      <w:pPr>
        <w:spacing w:after="0" w:line="21"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investors’ or analysts’ perceptions of the risks and conditions of our business and in particular our primary industry;</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Intellectual property litigation and infringement claims or other litigation;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size of the public float of our common stock;</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conditions, including the industry in which we operate;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macroeconomic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 Factors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COVID-19 Pandemic.</w:t>
      </w:r>
      <w:r>
        <w:rPr>
          <w:rFonts w:ascii="Arial" w:cs="Arial" w:eastAsia="Arial" w:hAnsi="Arial"/>
          <w:sz w:val="17"/>
          <w:szCs w:val="17"/>
          <w:i w:val="1"/>
          <w:iCs w:val="1"/>
          <w:color w:val="auto"/>
        </w:rPr>
        <w:t xml:space="preserve"> </w:t>
      </w:r>
      <w:r>
        <w:rPr>
          <w:rFonts w:ascii="Arial" w:cs="Arial" w:eastAsia="Arial" w:hAnsi="Arial"/>
          <w:sz w:val="17"/>
          <w:szCs w:val="17"/>
          <w:color w:val="auto"/>
        </w:rPr>
        <w:t>The COVID-19 pandemic has already significantly impacted worldwide economic and industry conditions and has had, is having,</w:t>
      </w:r>
      <w:r>
        <w:rPr>
          <w:rFonts w:ascii="Arial" w:cs="Arial" w:eastAsia="Arial" w:hAnsi="Arial"/>
          <w:sz w:val="17"/>
          <w:szCs w:val="17"/>
          <w:i w:val="1"/>
          <w:iCs w:val="1"/>
          <w:color w:val="auto"/>
        </w:rPr>
        <w:t xml:space="preserve"> </w:t>
      </w:r>
      <w:r>
        <w:rPr>
          <w:rFonts w:ascii="Arial" w:cs="Arial" w:eastAsia="Arial" w:hAnsi="Arial"/>
          <w:sz w:val="17"/>
          <w:szCs w:val="17"/>
          <w:color w:val="auto"/>
        </w:rPr>
        <w:t>and is expected to continue to have, a material adverse effect on our business, financial condition, and/or results of operations. The extent and duration of such possible impacts will depend on numerous factors, including:</w:t>
      </w:r>
    </w:p>
    <w:p>
      <w:pPr>
        <w:spacing w:after="0" w:line="2" w:lineRule="exact"/>
        <w:rPr>
          <w:sz w:val="20"/>
          <w:szCs w:val="20"/>
          <w:color w:val="auto"/>
        </w:rPr>
      </w:pPr>
    </w:p>
    <w:p>
      <w:pPr>
        <w:ind w:left="600" w:hanging="297"/>
        <w:spacing w:after="0" w:line="247"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Duration and severity of any outbreaks and resulting actions taken by the Company or the various governments to contain or mitigate the spread of the coronavirus;</w:t>
      </w:r>
    </w:p>
    <w:p>
      <w:pPr>
        <w:ind w:left="600" w:hanging="297"/>
        <w:spacing w:after="0" w:line="247"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Global governmental, business and individual actions taken in response to COVID-19, such as work stoppages, quarantines, shutdowns, shelter-in-place orders or other limitations, as well as voluntary shutdowns and other restrictions;</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 on our suppliers and companies throughout our supply chain, including industry wide part shortages and created labor shortages;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fulfill existing and future sales order backlog;</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Reductions or volatility in demand for our products or services;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Increasing logistics costs and transportation challenges;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Costs of any additional preparedness plans or actions to help ensure the health and safety of our employees and continued operations;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Availability of employees to staff our operations and those of companies in our supply chain;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establish and maintain appropriate estimates and assumptions used to prepare the Consolidated Financial Statements; and</w:t>
      </w:r>
    </w:p>
    <w:p>
      <w:pPr>
        <w:spacing w:after="0" w:line="5" w:lineRule="exact"/>
        <w:rPr>
          <w:rFonts w:ascii="Arial" w:cs="Arial" w:eastAsia="Arial" w:hAnsi="Arial"/>
          <w:sz w:val="17"/>
          <w:szCs w:val="17"/>
          <w:color w:val="auto"/>
        </w:rPr>
      </w:pPr>
    </w:p>
    <w:p>
      <w:pPr>
        <w:ind w:left="600" w:hanging="297"/>
        <w:spacing w:after="0" w:line="259"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financial and credit markets and economic activity generally, all of which have harmed and could continue to harm our business, financial condition, and/or results of operations, including impacting the ability to access capital and comply with any financial covenants.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subject to income taxes in the U.S. and other foreign jurisdictions. Changes in tax rates, adoption of new tax laws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additional tax policies, and other proposals to reform United States and foreign tax laws could adversely affect the Company's operating results, cash flows, and financial condition. The Company’s domestic and international tax liabilities are dependent upon the location of earnings among these different jurisdictions.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success depends on attracting and retaining qualified personnel. Throughout our Company, our ability to sustain and grow</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requires us to 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7"/>
          <w:szCs w:val="17"/>
          <w:color w:val="auto"/>
        </w:rPr>
        <w:t>unemployment has contributed to, increased turnover. Turnover, inability to attract and retain key employees, including managers, or government mandated remote work has had, is having, and is expected to continue to have a negative effect on our business, financial condition and/or results of operations.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International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currently conduct operations in various countries and jurisdictions, including purchasing raw materials and other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Exposure to local economic, political and labor conditions;</w:t>
      </w:r>
    </w:p>
    <w:p>
      <w:pPr>
        <w:spacing w:after="0" w:line="5" w:lineRule="exact"/>
        <w:rPr>
          <w:rFonts w:ascii="Arial" w:cs="Arial" w:eastAsia="Arial" w:hAnsi="Arial"/>
          <w:sz w:val="17"/>
          <w:szCs w:val="17"/>
          <w:color w:val="auto"/>
        </w:rPr>
      </w:pPr>
    </w:p>
    <w:p>
      <w:pPr>
        <w:ind w:left="600" w:hanging="297"/>
        <w:spacing w:after="0" w:line="247"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Unexpected changes in laws, regulations, trade or monetary or fiscal policy, including interest rates, foreign currency exchange rates and changes in the rate of inflation in the U.S. and other foreign countries;</w:t>
      </w:r>
    </w:p>
    <w:p>
      <w:pPr>
        <w:ind w:left="540" w:hanging="237"/>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Tariffs (as discussed herein), quotas, customs and other import or export restrictions and other trade barriers;</w:t>
      </w:r>
    </w:p>
    <w:p>
      <w:pPr>
        <w:spacing w:after="0" w:line="5" w:lineRule="exact"/>
        <w:rPr>
          <w:rFonts w:ascii="Arial" w:cs="Arial" w:eastAsia="Arial" w:hAnsi="Arial"/>
          <w:sz w:val="17"/>
          <w:szCs w:val="17"/>
          <w:color w:val="auto"/>
        </w:rPr>
      </w:pPr>
    </w:p>
    <w:p>
      <w:pPr>
        <w:ind w:left="600" w:hanging="297"/>
        <w:spacing w:after="0" w:line="247"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Natural disasters, political crises, and public health crises (such as the COVID-19 pandemic), which have caused, are causing, and will likely continue to cause downtime and closures at both supplier and customer facilities;</w:t>
      </w: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Brexit, and its impact;</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Expropriation and nationalization;</w:t>
      </w:r>
    </w:p>
    <w:p>
      <w:pPr>
        <w:spacing w:after="0" w:line="5" w:lineRule="exact"/>
        <w:rPr>
          <w:rFonts w:ascii="Arial" w:cs="Arial" w:eastAsia="Arial" w:hAnsi="Arial"/>
          <w:sz w:val="17"/>
          <w:szCs w:val="17"/>
          <w:color w:val="auto"/>
        </w:rPr>
      </w:pPr>
    </w:p>
    <w:p>
      <w:pPr>
        <w:ind w:left="540" w:hanging="237"/>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Difficulty of enforcing agreements, collecting receivables and protecting assets through non-U.S. legal systems;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Reduced intellectual property protection;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Withholding and other taxes on remittances and other payments by subsidiaries;</w:t>
      </w:r>
    </w:p>
    <w:p>
      <w:pPr>
        <w:spacing w:after="0" w:line="5" w:lineRule="exact"/>
        <w:rPr>
          <w:rFonts w:ascii="Arial" w:cs="Arial" w:eastAsia="Arial" w:hAnsi="Arial"/>
          <w:sz w:val="17"/>
          <w:szCs w:val="17"/>
          <w:color w:val="auto"/>
        </w:rPr>
      </w:pPr>
    </w:p>
    <w:p>
      <w:pPr>
        <w:ind w:left="540" w:hanging="237"/>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Investment restrictions or requirements;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Export and import restrictions;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Violence and civil unrest in local countries;</w:t>
      </w:r>
    </w:p>
    <w:p>
      <w:pPr>
        <w:spacing w:after="0" w:line="5" w:lineRule="exact"/>
        <w:rPr>
          <w:rFonts w:ascii="Arial" w:cs="Arial" w:eastAsia="Arial" w:hAnsi="Arial"/>
          <w:sz w:val="17"/>
          <w:szCs w:val="17"/>
          <w:color w:val="auto"/>
        </w:rPr>
      </w:pPr>
    </w:p>
    <w:p>
      <w:pPr>
        <w:ind w:left="600" w:hanging="297"/>
        <w:spacing w:after="0" w:line="247" w:lineRule="auto"/>
        <w:tabs>
          <w:tab w:leader="none" w:pos="594"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Compliance with the requirements of an increasing body of applicable anti-bribery laws, including the U.S. Foreign Corrupt Practices Act, the U.K. Bribery Act and similar laws of various other countries; and</w:t>
      </w: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Exposure related to buying, selling and financing in currencies other than the local currencies of the countries in which we operate.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issues and uncertainties which could adversely impact our business, financial condition, and/or results of operations include:</w:t>
      </w:r>
    </w:p>
    <w:p>
      <w:pPr>
        <w:spacing w:after="0" w:line="232" w:lineRule="exact"/>
        <w:rPr>
          <w:sz w:val="20"/>
          <w:szCs w:val="20"/>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Rising commodity prices and inflation generally, where we are unable to recover such increases from customers;</w:t>
      </w:r>
    </w:p>
    <w:p>
      <w:pPr>
        <w:spacing w:after="0" w:line="21" w:lineRule="exact"/>
        <w:rPr>
          <w:rFonts w:ascii="Arial" w:cs="Arial" w:eastAsia="Arial" w:hAnsi="Arial"/>
          <w:sz w:val="17"/>
          <w:szCs w:val="17"/>
          <w:color w:val="auto"/>
        </w:rPr>
      </w:pPr>
    </w:p>
    <w:p>
      <w:pPr>
        <w:ind w:left="600" w:hanging="297"/>
        <w:spacing w:after="0" w:line="247" w:lineRule="auto"/>
        <w:tabs>
          <w:tab w:leader="none" w:pos="5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interest rates impact our financial performance due to an increase in realized losses on the sale of fixed income investments and/or recognized losses due to a corresponding impairment adjustment on investment securities and can impact customer demand as well;</w:t>
      </w:r>
    </w:p>
    <w:p>
      <w:pPr>
        <w:jc w:val="both"/>
        <w:ind w:left="600" w:hanging="297"/>
        <w:spacing w:after="0" w:line="262" w:lineRule="auto"/>
        <w:tabs>
          <w:tab w:leader="none" w:pos="5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 thereby impacting the Company;</w:t>
      </w:r>
    </w:p>
    <w:p>
      <w:pPr>
        <w:spacing w:after="0" w:line="1" w:lineRule="exact"/>
        <w:rPr>
          <w:rFonts w:ascii="Arial" w:cs="Arial" w:eastAsia="Arial" w:hAnsi="Arial"/>
          <w:sz w:val="16"/>
          <w:szCs w:val="16"/>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Manufacturing yield issues;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Obligations and costs associated with addressing quality issues or warranty claims.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8" w:name="page19"/>
    <w:bookmarkEnd w:id="18"/>
    <w:p>
      <w:pPr>
        <w:spacing w:after="0"/>
        <w:tabs>
          <w:tab w:leader="none" w:pos="8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2022, the Company operates primarily out of facilities in Zeeland and Holland, Michigan, which consist of manufacturing, warehouse, and office space. The Company also operates a chemistry lab facility in Zeeland, Michigan to support production. In addition, the Company operates overseas offices in Europe and Asia as further discussed below. The location, square footage and use of the most significant facilities as of December 31, 2022 were as follows: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32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Owned Locations</w:t>
            </w:r>
          </w:p>
        </w:tc>
        <w:tc>
          <w:tcPr>
            <w:tcW w:w="142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Square Footage</w:t>
            </w:r>
          </w:p>
        </w:tc>
        <w:tc>
          <w:tcPr>
            <w:tcW w:w="1980" w:type="dxa"/>
            <w:vAlign w:val="bottom"/>
            <w:tcBorders>
              <w:bottom w:val="single" w:sz="8" w:color="CCEEFF"/>
            </w:tcBorders>
            <w:gridSpan w:val="2"/>
            <w:vMerge w:val="restart"/>
            <w:shd w:val="clear" w:color="auto" w:fill="CCEEFF"/>
          </w:tcPr>
          <w:p>
            <w:pPr>
              <w:ind w:left="380"/>
              <w:spacing w:after="0"/>
              <w:rPr>
                <w:sz w:val="20"/>
                <w:szCs w:val="20"/>
                <w:color w:val="auto"/>
              </w:rPr>
            </w:pPr>
            <w:r>
              <w:rPr>
                <w:rFonts w:ascii="Arial" w:cs="Arial" w:eastAsia="Arial" w:hAnsi="Arial"/>
                <w:sz w:val="13"/>
                <w:szCs w:val="13"/>
                <w:b w:val="1"/>
                <w:bCs w:val="1"/>
                <w:color w:val="auto"/>
              </w:rPr>
              <w:t>Date of Acquisition/Build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2"/>
              </w:rPr>
              <w:t>(1)</w:t>
            </w:r>
          </w:p>
        </w:tc>
        <w:tc>
          <w:tcPr>
            <w:tcW w:w="200" w:type="dxa"/>
            <w:vAlign w:val="bottom"/>
            <w:tcBorders>
              <w:bottom w:val="single" w:sz="8" w:color="CCEEFF"/>
            </w:tcBorders>
            <w:vMerge w:val="restart"/>
            <w:shd w:val="clear" w:color="auto" w:fill="CCEEFF"/>
          </w:tcPr>
          <w:p>
            <w:pPr>
              <w:spacing w:after="0"/>
              <w:rPr>
                <w:sz w:val="10"/>
                <w:szCs w:val="10"/>
                <w:color w:val="auto"/>
              </w:rPr>
            </w:pPr>
          </w:p>
        </w:tc>
        <w:tc>
          <w:tcPr>
            <w:tcW w:w="4320" w:type="dxa"/>
            <w:vAlign w:val="bottom"/>
            <w:tcBorders>
              <w:bottom w:val="single" w:sz="8" w:color="CCEEFF"/>
            </w:tcBorders>
            <w:gridSpan w:val="3"/>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rPr>
              <w:t>Use</w:t>
            </w:r>
          </w:p>
        </w:tc>
        <w:tc>
          <w:tcPr>
            <w:tcW w:w="0" w:type="dxa"/>
            <w:vAlign w:val="bottom"/>
          </w:tcPr>
          <w:p>
            <w:pPr>
              <w:spacing w:after="0"/>
              <w:rPr>
                <w:sz w:val="1"/>
                <w:szCs w:val="1"/>
                <w:color w:val="auto"/>
              </w:rPr>
            </w:pPr>
          </w:p>
        </w:tc>
      </w:tr>
      <w:tr>
        <w:trPr>
          <w:trHeight w:val="30"/>
        </w:trPr>
        <w:tc>
          <w:tcPr>
            <w:tcW w:w="3200" w:type="dxa"/>
            <w:vAlign w:val="bottom"/>
            <w:gridSpan w:val="2"/>
            <w:vMerge w:val="continue"/>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1980" w:type="dxa"/>
            <w:vAlign w:val="bottom"/>
            <w:gridSpan w:val="2"/>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vMerge w:val="continue"/>
            <w:shd w:val="clear" w:color="auto" w:fill="CCEEFF"/>
          </w:tcPr>
          <w:p>
            <w:pPr>
              <w:spacing w:after="0"/>
              <w:rPr>
                <w:sz w:val="2"/>
                <w:szCs w:val="2"/>
                <w:color w:val="auto"/>
              </w:rPr>
            </w:pPr>
          </w:p>
        </w:tc>
        <w:tc>
          <w:tcPr>
            <w:tcW w:w="4320" w:type="dxa"/>
            <w:vAlign w:val="bottom"/>
            <w:gridSpan w:val="3"/>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1120" w:type="dxa"/>
            <w:vAlign w:val="bottom"/>
            <w:shd w:val="clear" w:color="auto" w:fill="000000"/>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3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120" w:type="dxa"/>
            <w:vAlign w:val="bottom"/>
          </w:tcPr>
          <w:p>
            <w:pPr>
              <w:ind w:left="20"/>
              <w:spacing w:after="0"/>
              <w:rPr>
                <w:sz w:val="20"/>
                <w:szCs w:val="20"/>
                <w:color w:val="auto"/>
              </w:rPr>
            </w:pPr>
            <w:r>
              <w:rPr>
                <w:rFonts w:ascii="Arial" w:cs="Arial" w:eastAsia="Arial" w:hAnsi="Arial"/>
                <w:sz w:val="17"/>
                <w:szCs w:val="17"/>
                <w:color w:val="auto"/>
              </w:rPr>
              <w:t>Zeeland, MI</w:t>
            </w:r>
          </w:p>
        </w:tc>
        <w:tc>
          <w:tcPr>
            <w:tcW w:w="20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26,600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7"/>
                <w:szCs w:val="17"/>
                <w:color w:val="auto"/>
              </w:rPr>
              <w:t>1970</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Warehouse, 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1972</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70,000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1989</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1989</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359,100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1996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2000</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334,000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2006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 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2010</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31,800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2011</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2016</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258,400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2018</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Warehouse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Holland,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2012</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Holland,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29,900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2021</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Erlenbach, Germany</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2003</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Shanghai, China</w:t>
            </w:r>
          </w:p>
        </w:tc>
        <w:tc>
          <w:tcPr>
            <w:tcW w:w="1020" w:type="dxa"/>
            <w:vAlign w:val="bottom"/>
          </w:tcPr>
          <w:p>
            <w:pPr>
              <w:jc w:val="right"/>
              <w:spacing w:after="0"/>
              <w:rPr>
                <w:sz w:val="20"/>
                <w:szCs w:val="20"/>
                <w:color w:val="auto"/>
              </w:rPr>
            </w:pPr>
            <w:r>
              <w:rPr>
                <w:rFonts w:ascii="Arial" w:cs="Arial" w:eastAsia="Arial" w:hAnsi="Arial"/>
                <w:sz w:val="17"/>
                <w:szCs w:val="17"/>
                <w:color w:val="auto"/>
              </w:rPr>
              <w:t>25,000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2006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 Warehouse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Shanghai, China</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2017</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 Warehouse, Light Assembly</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Date of Acquisition/Build refers to first year of operations and does not refer to subsequent additions or expansions.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2021, the Company completed construction of a 36,000 square -foot addition to its main corporate office and manufacturing facility to expand its chemistry lab facilities, with a total cost of approximately $10 million, which was funded from cash and cash equivalents on hand.</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Additionally, in the first quarter of 2022, the Company began construction on a 345,000 square-foot manufacturing facility located at a 140 acre site in Zeeland, Michigan, where the Company previously performed master planning and completed land infrastructure improvements. The total cost of the building project is expected to be approximately $80 - 90 million and will be funded with cash and cash equivalents on hand. The facility is expected to be operational sometime in 2023.</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also begun construction on two building expansions during the second quarter of 2022. The Company is expanding its current distribution center by an additional 300,000 square feet, with a total cost still expected to be approximately $ 40 - $ 45 million. The Company is also expanding another of its manufacturing facilities by an additional 60,000 feet, with a total cost still expected to be $20 - $30 million. Both of these expansion projects will be funded with cash and cash equivalents on hand.</w:t>
      </w:r>
    </w:p>
    <w:p>
      <w:pPr>
        <w:spacing w:after="0" w:line="194"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The Company also has leased sales and engineering offices throughout the United States, Europe, and Asia to support its sales and engineering efforts, as well as a leased manufacturing facility in Grand Rapids, Michigan: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Country</w:t>
            </w:r>
          </w:p>
        </w:tc>
        <w:tc>
          <w:tcPr>
            <w:tcW w:w="786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Number of Leased Offices/Facilities</w:t>
            </w:r>
          </w:p>
        </w:tc>
        <w:tc>
          <w:tcPr>
            <w:tcW w:w="540" w:type="dxa"/>
            <w:vAlign w:val="bottom"/>
            <w:tcBorders>
              <w:bottom w:val="single" w:sz="8" w:color="CCEEFF"/>
            </w:tcBorders>
            <w:shd w:val="clear" w:color="auto" w:fill="CCEEFF"/>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Germany</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Japan</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5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Israel</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Sweden</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Korea</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tcPr>
          <w:p>
            <w:pPr>
              <w:spacing w:after="0"/>
              <w:rPr>
                <w:sz w:val="19"/>
                <w:szCs w:val="19"/>
                <w:color w:val="auto"/>
              </w:rPr>
            </w:pPr>
          </w:p>
        </w:tc>
      </w:tr>
    </w:tbl>
    <w:p>
      <w:pPr>
        <w:spacing w:after="0" w:line="17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Company's Automotive Products segment operates in virtually all of the foregoing facilities. The Company's Other segment operates in certain Zeeland, Michigan facilities, as well as a research and development offices in Salt Lake City, Utah and Santa Clara, CA.</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Capacity.</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estimates that it currently has building capacity to manufacture approximately 34 - 37 million interior automatic-dimming mirror units annually, based on current product mix (excluding the impact of the above referenced construction). The Company evaluates equipment capacity on an ongoing basis and adds equipment as needed. In 2022, the Company shipped 28.7 million interior automatic-dimming mirrors.</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automotive exterior mirror manufacturing facility has an estimated building capacity to manufacture approximately 15 - 18 million units annually, based on the current product mix (excluding the impact of the above referenced construction). The Company evaluates equipment capacity on an ongoing basis and adds equipment as needed. In 2022, the Company shipped approximately 15.5 million exterior automatic-dimming mirrors.</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February 7, 2023, the SEC announced, as previously disclosed by the Company on Form 8-K, that it has accepted an Offer of Settlement submitted by the Company and its current Chief Financial Officer Kevin Nash. Under the settlement, without admitting or denying the SEC’s findings in this matter, the Company and Nash have consented to the entry of an administrative civil cease-and-desist order by the SEC (the “Order”) with respect to certain violations of the federal securities laws in the third quarter of 2015 through the second quarter of 2018 (the “Relevant Period”). The Company agreed to pay a civil monetary penalty of $4.0 million, which was fully accrued by the Company in the second and third quarters of 2022. Nash agreed to pay a civil monetary penalty of $75,000.</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Order states that, during the Relevant Period, the Company had deficiencies in its accounting for its employee bonus compensation programs, and failed to maintain accurate books and records and sufficient internal accounting controls, in violation of Sections 13(a), 13(b)(2)(A) and 13(b)(2)(B) of the Securities Exchange Act of 1934 and Rules 13a-11, 13a-13, 13a-15, and 12b-20 thereunder. The Order further states that, during the Relevant Period and while serving as Chief Accounting Officer, Nash did not sufficiently document the bases for certain accounting entries, in violation of Section 13(b)(5) of the Exchange Act and Rule 13b2-1 thereunder, and causing the Company’s violations of Exchange Act Sections 13(a), 13(b)(2)(A), and 13(b)(2)(B), and Rules 13a-11, 13a-13, 13a-15, and 12b-20 thereunder.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resolution of this matter did not involve a restatement of the Company’s previously filed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0" w:name="page21"/>
    <w:bookmarkEnd w:id="20"/>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139"/>
          </w:cols>
          <w:pgMar w:left="320" w:top="1293"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PART II</w:t>
      </w:r>
    </w:p>
    <w:p>
      <w:pPr>
        <w:spacing w:after="0" w:line="39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229" w:lineRule="exact"/>
        <w:rPr>
          <w:sz w:val="20"/>
          <w:szCs w:val="20"/>
          <w:color w:val="auto"/>
        </w:rPr>
      </w:pPr>
    </w:p>
    <w:p>
      <w:pPr>
        <w:ind w:left="380" w:hanging="379"/>
        <w:spacing w:after="0" w:line="234" w:lineRule="auto"/>
        <w:tabs>
          <w:tab w:leader="none" w:pos="2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Company’s common stock trades on The Nasdaq Global Select Market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under the symbol GNTX. As of February 1, 2023, there were 4,671 record-holders of the Company’s common stock and restricted common stock.</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Item 12 of Part III</w:t>
      </w:r>
      <w:r>
        <w:rPr>
          <w:rFonts w:ascii="Arial" w:cs="Arial" w:eastAsia="Arial" w:hAnsi="Arial"/>
          <w:sz w:val="17"/>
          <w:szCs w:val="17"/>
          <w:color w:val="auto"/>
        </w:rPr>
        <w:t xml:space="preserve"> with respect to "Equity Compensation Plan Information", which is incorporated herein by reference.</w:t>
      </w:r>
    </w:p>
    <w:p>
      <w:pPr>
        <w:spacing w:after="0" w:line="144" w:lineRule="exact"/>
        <w:rPr>
          <w:sz w:val="20"/>
          <w:szCs w:val="20"/>
          <w:color w:val="auto"/>
        </w:rPr>
      </w:pPr>
    </w:p>
    <w:p>
      <w:pPr>
        <w:jc w:val="both"/>
        <w:ind w:left="380"/>
        <w:spacing w:after="0" w:line="263" w:lineRule="auto"/>
        <w:rPr>
          <w:sz w:val="20"/>
          <w:szCs w:val="20"/>
          <w:color w:val="auto"/>
        </w:rPr>
      </w:pPr>
      <w:r>
        <w:rPr>
          <w:rFonts w:ascii="Arial" w:cs="Arial" w:eastAsia="Arial" w:hAnsi="Arial"/>
          <w:sz w:val="17"/>
          <w:szCs w:val="17"/>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2017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81915</wp:posOffset>
            </wp:positionV>
            <wp:extent cx="5160645" cy="3738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064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80"/>
        <w:spacing w:after="0" w:line="257" w:lineRule="auto"/>
        <w:rPr>
          <w:sz w:val="20"/>
          <w:szCs w:val="20"/>
          <w:color w:val="auto"/>
        </w:rPr>
      </w:pPr>
      <w:r>
        <w:rPr>
          <w:rFonts w:ascii="Arial" w:cs="Arial" w:eastAsia="Arial" w:hAnsi="Arial"/>
          <w:sz w:val="17"/>
          <w:szCs w:val="17"/>
          <w:color w:val="auto"/>
        </w:rPr>
        <w:t>In February 2022, the Company's Board of Directors approved a continuing resolution to pay a quarterly dividend at a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131" w:lineRule="exact"/>
        <w:rPr>
          <w:sz w:val="20"/>
          <w:szCs w:val="20"/>
          <w:color w:val="auto"/>
        </w:rPr>
      </w:pPr>
    </w:p>
    <w:p>
      <w:pPr>
        <w:ind w:left="260" w:hanging="259"/>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32" w:lineRule="exact"/>
        <w:rPr>
          <w:rFonts w:ascii="Arial" w:cs="Arial" w:eastAsia="Arial" w:hAnsi="Arial"/>
          <w:sz w:val="17"/>
          <w:szCs w:val="17"/>
          <w:color w:val="auto"/>
        </w:rPr>
      </w:pPr>
    </w:p>
    <w:p>
      <w:pPr>
        <w:jc w:val="both"/>
        <w:ind w:left="380" w:hanging="379"/>
        <w:spacing w:after="0" w:line="263" w:lineRule="auto"/>
        <w:tabs>
          <w:tab w:leader="none" w:pos="3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2" w:name="page23"/>
    <w:bookmarkEnd w:id="22"/>
    <w:p>
      <w:pPr>
        <w:ind w:left="480"/>
        <w:spacing w:after="0" w:line="279" w:lineRule="auto"/>
        <w:rPr>
          <w:sz w:val="20"/>
          <w:szCs w:val="20"/>
          <w:color w:val="auto"/>
        </w:rPr>
      </w:pPr>
      <w:r>
        <w:rPr>
          <w:rFonts w:ascii="Arial" w:cs="Arial" w:eastAsia="Arial" w:hAnsi="Arial"/>
          <w:sz w:val="17"/>
          <w:szCs w:val="17"/>
          <w:color w:val="auto"/>
        </w:rPr>
        <w:t>dilutive effect on earnings; available cash; and other factors that the Company deems appropriate. The plan does not have an expiration date, but the Board of Directors reviews such plan periodically.</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is a summary of share repurchase activity during 2022:</w:t>
      </w: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Issuer Purchase of Equity Securities</w:t>
      </w:r>
    </w:p>
    <w:p>
      <w:pPr>
        <w:spacing w:after="0" w:line="36"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264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Total Number of Shares</w:t>
            </w:r>
          </w:p>
        </w:tc>
        <w:tc>
          <w:tcPr>
            <w:tcW w:w="17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3"/>
                <w:szCs w:val="13"/>
                <w:b w:val="1"/>
                <w:bCs w:val="1"/>
                <w:color w:val="auto"/>
              </w:rPr>
              <w:t>Average Price Paid Per</w:t>
            </w:r>
          </w:p>
        </w:tc>
        <w:tc>
          <w:tcPr>
            <w:tcW w:w="214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Total Number of Shares</w:t>
            </w:r>
          </w:p>
        </w:tc>
        <w:tc>
          <w:tcPr>
            <w:tcW w:w="216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Maximum Number of Shares That</w:t>
            </w:r>
          </w:p>
        </w:tc>
        <w:tc>
          <w:tcPr>
            <w:tcW w:w="0" w:type="dxa"/>
            <w:vAlign w:val="bottom"/>
          </w:tcPr>
          <w:p>
            <w:pPr>
              <w:spacing w:after="0"/>
              <w:rPr>
                <w:sz w:val="1"/>
                <w:szCs w:val="1"/>
                <w:color w:val="auto"/>
              </w:rPr>
            </w:pPr>
          </w:p>
        </w:tc>
      </w:tr>
      <w:tr>
        <w:trPr>
          <w:trHeight w:val="135"/>
        </w:trPr>
        <w:tc>
          <w:tcPr>
            <w:tcW w:w="2640" w:type="dxa"/>
            <w:vAlign w:val="bottom"/>
            <w:vMerge w:val="restart"/>
          </w:tcPr>
          <w:p>
            <w:pPr>
              <w:ind w:left="1120"/>
              <w:spacing w:after="0"/>
              <w:rPr>
                <w:sz w:val="20"/>
                <w:szCs w:val="20"/>
                <w:color w:val="auto"/>
              </w:rPr>
            </w:pPr>
            <w:r>
              <w:rPr>
                <w:rFonts w:ascii="Arial" w:cs="Arial" w:eastAsia="Arial" w:hAnsi="Arial"/>
                <w:sz w:val="13"/>
                <w:szCs w:val="13"/>
                <w:b w:val="1"/>
                <w:bCs w:val="1"/>
                <w:color w:val="auto"/>
              </w:rPr>
              <w:t>Period</w:t>
            </w:r>
          </w:p>
        </w:tc>
        <w:tc>
          <w:tcPr>
            <w:tcW w:w="2300" w:type="dxa"/>
            <w:vAlign w:val="bottom"/>
            <w:gridSpan w:val="2"/>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21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Purchased As Part of a Publicly</w:t>
            </w:r>
          </w:p>
        </w:tc>
        <w:tc>
          <w:tcPr>
            <w:tcW w:w="21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May Yet Be Purchased Under the</w:t>
            </w:r>
          </w:p>
        </w:tc>
        <w:tc>
          <w:tcPr>
            <w:tcW w:w="0" w:type="dxa"/>
            <w:vAlign w:val="bottom"/>
          </w:tcPr>
          <w:p>
            <w:pPr>
              <w:spacing w:after="0"/>
              <w:rPr>
                <w:sz w:val="1"/>
                <w:szCs w:val="1"/>
                <w:color w:val="auto"/>
              </w:rPr>
            </w:pPr>
          </w:p>
        </w:tc>
      </w:tr>
      <w:tr>
        <w:trPr>
          <w:trHeight w:val="176"/>
        </w:trPr>
        <w:tc>
          <w:tcPr>
            <w:tcW w:w="264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Purchased</w:t>
            </w:r>
          </w:p>
        </w:tc>
        <w:tc>
          <w:tcPr>
            <w:tcW w:w="170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b w:val="1"/>
                <w:bCs w:val="1"/>
                <w:color w:val="auto"/>
              </w:rPr>
              <w:t>Share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Announced Plan*</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7"/>
                <w:szCs w:val="17"/>
                <w:color w:val="auto"/>
              </w:rPr>
              <w:t>January 2022</w:t>
            </w:r>
          </w:p>
        </w:tc>
        <w:tc>
          <w:tcPr>
            <w:tcW w:w="2300" w:type="dxa"/>
            <w:vAlign w:val="bottom"/>
            <w:gridSpan w:val="2"/>
          </w:tcPr>
          <w:p>
            <w:pPr>
              <w:ind w:left="1920"/>
              <w:spacing w:after="0"/>
              <w:rPr>
                <w:sz w:val="20"/>
                <w:szCs w:val="20"/>
                <w:color w:val="auto"/>
              </w:rPr>
            </w:pPr>
            <w:r>
              <w:rPr>
                <w:rFonts w:ascii="Arial" w:cs="Arial" w:eastAsia="Arial" w:hAnsi="Arial"/>
                <w:sz w:val="17"/>
                <w:szCs w:val="17"/>
                <w:color w:val="auto"/>
              </w:rPr>
              <w:t>— $</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24,824,068</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2022</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490,021</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490,021</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24,334,047</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March 2022</w:t>
            </w:r>
          </w:p>
        </w:tc>
        <w:tc>
          <w:tcPr>
            <w:tcW w:w="2160" w:type="dxa"/>
            <w:vAlign w:val="bottom"/>
          </w:tcPr>
          <w:p>
            <w:pPr>
              <w:jc w:val="right"/>
              <w:spacing w:after="0"/>
              <w:rPr>
                <w:sz w:val="20"/>
                <w:szCs w:val="20"/>
                <w:color w:val="auto"/>
              </w:rPr>
            </w:pPr>
            <w:r>
              <w:rPr>
                <w:rFonts w:ascii="Arial" w:cs="Arial" w:eastAsia="Arial" w:hAnsi="Arial"/>
                <w:sz w:val="17"/>
                <w:szCs w:val="17"/>
                <w:color w:val="auto"/>
              </w:rPr>
              <w:t>1,950,169</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28.84</w:t>
            </w:r>
          </w:p>
        </w:tc>
        <w:tc>
          <w:tcPr>
            <w:tcW w:w="2140" w:type="dxa"/>
            <w:vAlign w:val="bottom"/>
          </w:tcPr>
          <w:p>
            <w:pPr>
              <w:jc w:val="right"/>
              <w:spacing w:after="0"/>
              <w:rPr>
                <w:sz w:val="20"/>
                <w:szCs w:val="20"/>
                <w:color w:val="auto"/>
              </w:rPr>
            </w:pPr>
            <w:r>
              <w:rPr>
                <w:rFonts w:ascii="Arial" w:cs="Arial" w:eastAsia="Arial" w:hAnsi="Arial"/>
                <w:sz w:val="17"/>
                <w:szCs w:val="17"/>
                <w:color w:val="auto"/>
              </w:rPr>
              <w:t>1,950,169</w:t>
            </w:r>
          </w:p>
        </w:tc>
        <w:tc>
          <w:tcPr>
            <w:tcW w:w="2160" w:type="dxa"/>
            <w:vAlign w:val="bottom"/>
          </w:tcPr>
          <w:p>
            <w:pPr>
              <w:jc w:val="right"/>
              <w:spacing w:after="0"/>
              <w:rPr>
                <w:sz w:val="20"/>
                <w:szCs w:val="20"/>
                <w:color w:val="auto"/>
              </w:rPr>
            </w:pPr>
            <w:r>
              <w:rPr>
                <w:rFonts w:ascii="Arial" w:cs="Arial" w:eastAsia="Arial" w:hAnsi="Arial"/>
                <w:sz w:val="17"/>
                <w:szCs w:val="17"/>
                <w:color w:val="auto"/>
              </w:rPr>
              <w:t>22,383,878</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2022</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22,383,878</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May 2022</w:t>
            </w:r>
          </w:p>
        </w:tc>
        <w:tc>
          <w:tcPr>
            <w:tcW w:w="2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22,383,878</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2022</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22,383,878</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July 2022</w:t>
            </w:r>
          </w:p>
        </w:tc>
        <w:tc>
          <w:tcPr>
            <w:tcW w:w="2160" w:type="dxa"/>
            <w:vAlign w:val="bottom"/>
          </w:tcPr>
          <w:p>
            <w:pPr>
              <w:jc w:val="right"/>
              <w:spacing w:after="0"/>
              <w:rPr>
                <w:sz w:val="20"/>
                <w:szCs w:val="20"/>
                <w:color w:val="auto"/>
              </w:rPr>
            </w:pPr>
            <w:r>
              <w:rPr>
                <w:rFonts w:ascii="Arial" w:cs="Arial" w:eastAsia="Arial" w:hAnsi="Arial"/>
                <w:sz w:val="17"/>
                <w:szCs w:val="17"/>
                <w:color w:val="auto"/>
              </w:rPr>
              <w:t>150,110</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27.80</w:t>
            </w:r>
          </w:p>
        </w:tc>
        <w:tc>
          <w:tcPr>
            <w:tcW w:w="2140" w:type="dxa"/>
            <w:vAlign w:val="bottom"/>
          </w:tcPr>
          <w:p>
            <w:pPr>
              <w:jc w:val="right"/>
              <w:spacing w:after="0"/>
              <w:rPr>
                <w:sz w:val="20"/>
                <w:szCs w:val="20"/>
                <w:color w:val="auto"/>
              </w:rPr>
            </w:pPr>
            <w:r>
              <w:rPr>
                <w:rFonts w:ascii="Arial" w:cs="Arial" w:eastAsia="Arial" w:hAnsi="Arial"/>
                <w:sz w:val="17"/>
                <w:szCs w:val="17"/>
                <w:color w:val="auto"/>
              </w:rPr>
              <w:t>150,110</w:t>
            </w:r>
          </w:p>
        </w:tc>
        <w:tc>
          <w:tcPr>
            <w:tcW w:w="2160" w:type="dxa"/>
            <w:vAlign w:val="bottom"/>
          </w:tcPr>
          <w:p>
            <w:pPr>
              <w:jc w:val="right"/>
              <w:spacing w:after="0"/>
              <w:rPr>
                <w:sz w:val="20"/>
                <w:szCs w:val="20"/>
                <w:color w:val="auto"/>
              </w:rPr>
            </w:pPr>
            <w:r>
              <w:rPr>
                <w:rFonts w:ascii="Arial" w:cs="Arial" w:eastAsia="Arial" w:hAnsi="Arial"/>
                <w:sz w:val="17"/>
                <w:szCs w:val="17"/>
                <w:color w:val="auto"/>
              </w:rPr>
              <w:t>22,233,768</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2022</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300,135</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28.04</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300,135</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21,933,633</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September 2022</w:t>
            </w:r>
          </w:p>
        </w:tc>
        <w:tc>
          <w:tcPr>
            <w:tcW w:w="2160" w:type="dxa"/>
            <w:vAlign w:val="bottom"/>
          </w:tcPr>
          <w:p>
            <w:pPr>
              <w:jc w:val="right"/>
              <w:spacing w:after="0"/>
              <w:rPr>
                <w:sz w:val="20"/>
                <w:szCs w:val="20"/>
                <w:color w:val="auto"/>
              </w:rPr>
            </w:pPr>
            <w:r>
              <w:rPr>
                <w:rFonts w:ascii="Arial" w:cs="Arial" w:eastAsia="Arial" w:hAnsi="Arial"/>
                <w:sz w:val="17"/>
                <w:szCs w:val="17"/>
                <w:color w:val="auto"/>
              </w:rPr>
              <w:t>400,061</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24.17</w:t>
            </w:r>
          </w:p>
        </w:tc>
        <w:tc>
          <w:tcPr>
            <w:tcW w:w="2140" w:type="dxa"/>
            <w:vAlign w:val="bottom"/>
          </w:tcPr>
          <w:p>
            <w:pPr>
              <w:jc w:val="right"/>
              <w:spacing w:after="0"/>
              <w:rPr>
                <w:sz w:val="20"/>
                <w:szCs w:val="20"/>
                <w:color w:val="auto"/>
              </w:rPr>
            </w:pPr>
            <w:r>
              <w:rPr>
                <w:rFonts w:ascii="Arial" w:cs="Arial" w:eastAsia="Arial" w:hAnsi="Arial"/>
                <w:sz w:val="17"/>
                <w:szCs w:val="17"/>
                <w:color w:val="auto"/>
              </w:rPr>
              <w:t>400,061</w:t>
            </w:r>
          </w:p>
        </w:tc>
        <w:tc>
          <w:tcPr>
            <w:tcW w:w="2160" w:type="dxa"/>
            <w:vAlign w:val="bottom"/>
          </w:tcPr>
          <w:p>
            <w:pPr>
              <w:jc w:val="right"/>
              <w:spacing w:after="0"/>
              <w:rPr>
                <w:sz w:val="20"/>
                <w:szCs w:val="20"/>
                <w:color w:val="auto"/>
              </w:rPr>
            </w:pPr>
            <w:r>
              <w:rPr>
                <w:rFonts w:ascii="Arial" w:cs="Arial" w:eastAsia="Arial" w:hAnsi="Arial"/>
                <w:sz w:val="17"/>
                <w:szCs w:val="17"/>
                <w:color w:val="auto"/>
              </w:rPr>
              <w:t>21,533,572</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2022</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21,533,572</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November 2022</w:t>
            </w:r>
          </w:p>
        </w:tc>
        <w:tc>
          <w:tcPr>
            <w:tcW w:w="2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21,533,572</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2022</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750,407</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750,407</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20,783,165</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Total</w:t>
            </w:r>
          </w:p>
        </w:tc>
        <w:tc>
          <w:tcPr>
            <w:tcW w:w="2160" w:type="dxa"/>
            <w:vAlign w:val="bottom"/>
          </w:tcPr>
          <w:p>
            <w:pPr>
              <w:jc w:val="right"/>
              <w:spacing w:after="0"/>
              <w:rPr>
                <w:sz w:val="20"/>
                <w:szCs w:val="20"/>
                <w:color w:val="auto"/>
              </w:rPr>
            </w:pPr>
            <w:r>
              <w:rPr>
                <w:rFonts w:ascii="Arial" w:cs="Arial" w:eastAsia="Arial" w:hAnsi="Arial"/>
                <w:sz w:val="17"/>
                <w:szCs w:val="17"/>
                <w:color w:val="auto"/>
              </w:rPr>
              <w:t>4,040,903</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4,040,903</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See above paragraph with respect to the publicly announced share repurchase plan</w:t>
      </w:r>
    </w:p>
    <w:p>
      <w:pPr>
        <w:spacing w:after="0" w:line="200" w:lineRule="exact"/>
        <w:rPr>
          <w:sz w:val="20"/>
          <w:szCs w:val="20"/>
          <w:color w:val="auto"/>
        </w:rPr>
      </w:pP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tem 6.</w:t>
        <w:tab/>
        <w:t>[Reserved]</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65405</wp:posOffset>
            </wp:positionV>
            <wp:extent cx="716724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340"/>
          </w:cols>
          <w:pgMar w:left="220" w:top="840" w:right="33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960" w:type="dxa"/>
            <w:vAlign w:val="bottom"/>
            <w:tcBorders>
              <w:bottom w:val="single" w:sz="8" w:color="auto"/>
            </w:tcBorders>
            <w:gridSpan w:val="5"/>
          </w:tcPr>
          <w:p>
            <w:pPr>
              <w:jc w:val="center"/>
              <w:ind w:left="880"/>
              <w:spacing w:after="0"/>
              <w:rPr>
                <w:sz w:val="20"/>
                <w:szCs w:val="20"/>
                <w:color w:val="auto"/>
              </w:rPr>
            </w:pPr>
            <w:r>
              <w:rPr>
                <w:rFonts w:ascii="Arial" w:cs="Arial" w:eastAsia="Arial" w:hAnsi="Arial"/>
                <w:sz w:val="13"/>
                <w:szCs w:val="13"/>
                <w:b w:val="1"/>
                <w:bCs w:val="1"/>
                <w:color w:val="auto"/>
              </w:rPr>
              <w:t>Percentage of Net Sales</w:t>
            </w:r>
          </w:p>
        </w:tc>
        <w:tc>
          <w:tcPr>
            <w:tcW w:w="9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0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rPr>
              <w:t>Percentage Change</w:t>
            </w:r>
          </w:p>
        </w:tc>
      </w:tr>
      <w:tr>
        <w:trPr>
          <w:trHeight w:val="181"/>
        </w:trPr>
        <w:tc>
          <w:tcPr>
            <w:tcW w:w="4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60" w:type="dxa"/>
            <w:vAlign w:val="bottom"/>
          </w:tcPr>
          <w:p>
            <w:pPr>
              <w:ind w:left="480"/>
              <w:spacing w:after="0"/>
              <w:rPr>
                <w:sz w:val="20"/>
                <w:szCs w:val="20"/>
                <w:color w:val="auto"/>
              </w:rPr>
            </w:pPr>
            <w:r>
              <w:rPr>
                <w:rFonts w:ascii="Arial" w:cs="Arial" w:eastAsia="Arial" w:hAnsi="Arial"/>
                <w:sz w:val="13"/>
                <w:szCs w:val="13"/>
                <w:b w:val="1"/>
                <w:bCs w:val="1"/>
                <w:color w:val="auto"/>
              </w:rPr>
              <w:t>2021</w:t>
            </w:r>
          </w:p>
        </w:tc>
      </w:tr>
      <w:tr>
        <w:trPr>
          <w:trHeight w:val="189"/>
        </w:trPr>
        <w:tc>
          <w:tcPr>
            <w:tcW w:w="4100" w:type="dxa"/>
            <w:vAlign w:val="bottom"/>
          </w:tcPr>
          <w:p>
            <w:pPr>
              <w:spacing w:after="0"/>
              <w:rPr>
                <w:sz w:val="16"/>
                <w:szCs w:val="16"/>
                <w:color w:val="auto"/>
              </w:rPr>
            </w:pPr>
          </w:p>
        </w:tc>
        <w:tc>
          <w:tcPr>
            <w:tcW w:w="2960" w:type="dxa"/>
            <w:vAlign w:val="bottom"/>
            <w:tcBorders>
              <w:bottom w:val="single" w:sz="8" w:color="auto"/>
            </w:tcBorders>
            <w:gridSpan w:val="5"/>
          </w:tcPr>
          <w:p>
            <w:pPr>
              <w:jc w:val="center"/>
              <w:ind w:left="880"/>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gridSpan w:val="2"/>
          </w:tcPr>
          <w:p>
            <w:pPr>
              <w:ind w:left="540"/>
              <w:spacing w:after="0"/>
              <w:rPr>
                <w:sz w:val="20"/>
                <w:szCs w:val="20"/>
                <w:color w:val="auto"/>
              </w:rPr>
            </w:pPr>
            <w:r>
              <w:rPr>
                <w:rFonts w:ascii="Arial" w:cs="Arial" w:eastAsia="Arial" w:hAnsi="Arial"/>
                <w:sz w:val="13"/>
                <w:szCs w:val="13"/>
                <w:b w:val="1"/>
                <w:bCs w:val="1"/>
                <w:color w:val="auto"/>
              </w:rPr>
              <w:t>Vs</w:t>
            </w:r>
          </w:p>
        </w:tc>
        <w:tc>
          <w:tcPr>
            <w:tcW w:w="1260" w:type="dxa"/>
            <w:vAlign w:val="bottom"/>
          </w:tcPr>
          <w:p>
            <w:pPr>
              <w:ind w:left="560"/>
              <w:spacing w:after="0"/>
              <w:rPr>
                <w:sz w:val="20"/>
                <w:szCs w:val="20"/>
                <w:color w:val="auto"/>
              </w:rPr>
            </w:pPr>
            <w:r>
              <w:rPr>
                <w:rFonts w:ascii="Arial" w:cs="Arial" w:eastAsia="Arial" w:hAnsi="Arial"/>
                <w:sz w:val="13"/>
                <w:szCs w:val="13"/>
                <w:b w:val="1"/>
                <w:bCs w:val="1"/>
                <w:color w:val="auto"/>
              </w:rPr>
              <w:t>Vs</w:t>
            </w:r>
          </w:p>
        </w:tc>
      </w:tr>
      <w:tr>
        <w:trPr>
          <w:trHeight w:val="181"/>
        </w:trPr>
        <w:tc>
          <w:tcPr>
            <w:tcW w:w="4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2020</w:t>
            </w:r>
          </w:p>
        </w:tc>
      </w:tr>
      <w:tr>
        <w:trPr>
          <w:trHeight w:val="207"/>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8"/>
              </w:rPr>
              <w:t>10.8 %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2.5 %</w:t>
            </w:r>
          </w:p>
        </w:tc>
      </w:tr>
      <w:tr>
        <w:trPr>
          <w:trHeight w:val="214"/>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64.1</w:t>
            </w:r>
          </w:p>
        </w:tc>
        <w:tc>
          <w:tcPr>
            <w:tcW w:w="5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17.8</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2.7</w:t>
            </w:r>
          </w:p>
        </w:tc>
      </w:tr>
      <w:tr>
        <w:trPr>
          <w:trHeight w:val="206"/>
        </w:trPr>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Margin</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35.9</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2.4</w:t>
            </w:r>
          </w:p>
        </w:tc>
      </w:tr>
      <w:tr>
        <w:trPr>
          <w:trHeight w:val="214"/>
        </w:trPr>
        <w:tc>
          <w:tcPr>
            <w:tcW w:w="41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Engineering, Research and Development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6.9</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1.6</w:t>
            </w:r>
          </w:p>
        </w:tc>
      </w:tr>
      <w:tr>
        <w:trPr>
          <w:trHeight w:val="214"/>
        </w:trPr>
        <w:tc>
          <w:tcPr>
            <w:tcW w:w="41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Selling, General and Administrative</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5.3</w:t>
            </w:r>
          </w:p>
        </w:tc>
        <w:tc>
          <w:tcPr>
            <w:tcW w:w="5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ind w:left="700"/>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ind w:left="800"/>
              <w:spacing w:after="0"/>
              <w:rPr>
                <w:sz w:val="20"/>
                <w:szCs w:val="20"/>
                <w:color w:val="auto"/>
              </w:rPr>
            </w:pPr>
            <w:r>
              <w:rPr>
                <w:rFonts w:ascii="Arial" w:cs="Arial" w:eastAsia="Arial" w:hAnsi="Arial"/>
                <w:sz w:val="17"/>
                <w:szCs w:val="17"/>
                <w:color w:val="auto"/>
              </w:rPr>
              <w:t>2.5</w:t>
            </w:r>
          </w:p>
        </w:tc>
      </w:tr>
      <w:tr>
        <w:trPr>
          <w:trHeight w:val="206"/>
        </w:trPr>
        <w:tc>
          <w:tcPr>
            <w:tcW w:w="41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Operating Expenses:</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12.2</w:t>
            </w:r>
          </w:p>
        </w:tc>
        <w:tc>
          <w:tcPr>
            <w:tcW w:w="5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2.0</w:t>
            </w:r>
          </w:p>
        </w:tc>
      </w:tr>
      <w:tr>
        <w:trPr>
          <w:trHeight w:val="206"/>
        </w:trPr>
        <w:tc>
          <w:tcPr>
            <w:tcW w:w="4100" w:type="dxa"/>
            <w:vAlign w:val="bottom"/>
          </w:tcPr>
          <w:p>
            <w:pPr>
              <w:ind w:left="200"/>
              <w:spacing w:after="0"/>
              <w:rPr>
                <w:sz w:val="20"/>
                <w:szCs w:val="20"/>
                <w:color w:val="auto"/>
              </w:rPr>
            </w:pPr>
            <w:r>
              <w:rPr>
                <w:rFonts w:ascii="Arial" w:cs="Arial" w:eastAsia="Arial" w:hAnsi="Arial"/>
                <w:sz w:val="17"/>
                <w:szCs w:val="17"/>
                <w:color w:val="auto"/>
              </w:rPr>
              <w:t>Operating Income</w:t>
            </w:r>
          </w:p>
        </w:tc>
        <w:tc>
          <w:tcPr>
            <w:tcW w:w="1220" w:type="dxa"/>
            <w:vAlign w:val="bottom"/>
          </w:tcPr>
          <w:p>
            <w:pPr>
              <w:jc w:val="right"/>
              <w:ind w:right="14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7"/>
                <w:szCs w:val="17"/>
                <w:color w:val="auto"/>
              </w:rPr>
            </w:pPr>
          </w:p>
        </w:tc>
        <w:tc>
          <w:tcPr>
            <w:tcW w:w="1240" w:type="dxa"/>
            <w:vAlign w:val="bottom"/>
          </w:tcPr>
          <w:p>
            <w:pPr>
              <w:jc w:val="right"/>
              <w:ind w:right="138"/>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38"/>
              <w:spacing w:after="0"/>
              <w:rPr>
                <w:sz w:val="20"/>
                <w:szCs w:val="20"/>
                <w:color w:val="auto"/>
              </w:rPr>
            </w:pPr>
            <w:r>
              <w:rPr>
                <w:rFonts w:ascii="Arial" w:cs="Arial" w:eastAsia="Arial" w:hAnsi="Arial"/>
                <w:sz w:val="17"/>
                <w:szCs w:val="17"/>
                <w:color w:val="auto"/>
              </w:rPr>
              <w:t>23.7</w:t>
            </w:r>
          </w:p>
        </w:tc>
        <w:tc>
          <w:tcPr>
            <w:tcW w:w="500" w:type="dxa"/>
            <w:vAlign w:val="bottom"/>
          </w:tcPr>
          <w:p>
            <w:pPr>
              <w:spacing w:after="0"/>
              <w:rPr>
                <w:sz w:val="17"/>
                <w:szCs w:val="17"/>
                <w:color w:val="auto"/>
              </w:rPr>
            </w:pPr>
          </w:p>
        </w:tc>
        <w:tc>
          <w:tcPr>
            <w:tcW w:w="1240" w:type="dxa"/>
            <w:vAlign w:val="bottom"/>
          </w:tcPr>
          <w:p>
            <w:pPr>
              <w:jc w:val="right"/>
              <w:ind w:right="101"/>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7"/>
                <w:szCs w:val="17"/>
                <w:color w:val="auto"/>
              </w:rPr>
            </w:pPr>
          </w:p>
        </w:tc>
        <w:tc>
          <w:tcPr>
            <w:tcW w:w="1260" w:type="dxa"/>
            <w:vAlign w:val="bottom"/>
          </w:tcPr>
          <w:p>
            <w:pPr>
              <w:ind w:left="800"/>
              <w:spacing w:after="0"/>
              <w:rPr>
                <w:sz w:val="20"/>
                <w:szCs w:val="20"/>
                <w:color w:val="auto"/>
              </w:rPr>
            </w:pPr>
            <w:r>
              <w:rPr>
                <w:rFonts w:ascii="Arial" w:cs="Arial" w:eastAsia="Arial" w:hAnsi="Arial"/>
                <w:sz w:val="17"/>
                <w:szCs w:val="17"/>
                <w:color w:val="auto"/>
              </w:rPr>
              <w:t>2.6</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0.7</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(104.3)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(46.4)</w:t>
            </w:r>
          </w:p>
        </w:tc>
      </w:tr>
      <w:tr>
        <w:trPr>
          <w:trHeight w:val="206"/>
        </w:trPr>
        <w:tc>
          <w:tcPr>
            <w:tcW w:w="4100" w:type="dxa"/>
            <w:vAlign w:val="bottom"/>
          </w:tcPr>
          <w:p>
            <w:pPr>
              <w:ind w:left="200"/>
              <w:spacing w:after="0"/>
              <w:rPr>
                <w:sz w:val="20"/>
                <w:szCs w:val="20"/>
                <w:color w:val="auto"/>
              </w:rPr>
            </w:pPr>
            <w:r>
              <w:rPr>
                <w:rFonts w:ascii="Arial" w:cs="Arial" w:eastAsia="Arial" w:hAnsi="Arial"/>
                <w:sz w:val="17"/>
                <w:szCs w:val="17"/>
                <w:color w:val="auto"/>
              </w:rPr>
              <w:t>Income Before Provision for Income Taxes</w:t>
            </w:r>
          </w:p>
        </w:tc>
        <w:tc>
          <w:tcPr>
            <w:tcW w:w="1220" w:type="dxa"/>
            <w:vAlign w:val="bottom"/>
            <w:tcBorders>
              <w:top w:val="single" w:sz="8" w:color="auto"/>
            </w:tcBorders>
          </w:tcPr>
          <w:p>
            <w:pPr>
              <w:jc w:val="right"/>
              <w:ind w:right="14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24.4</w:t>
            </w:r>
          </w:p>
        </w:tc>
        <w:tc>
          <w:tcPr>
            <w:tcW w:w="500" w:type="dxa"/>
            <w:vAlign w:val="bottom"/>
          </w:tcPr>
          <w:p>
            <w:pPr>
              <w:spacing w:after="0"/>
              <w:rPr>
                <w:sz w:val="17"/>
                <w:szCs w:val="17"/>
                <w:color w:val="auto"/>
              </w:rPr>
            </w:pPr>
          </w:p>
        </w:tc>
        <w:tc>
          <w:tcPr>
            <w:tcW w:w="1240" w:type="dxa"/>
            <w:vAlign w:val="bottom"/>
            <w:tcBorders>
              <w:top w:val="single" w:sz="8" w:color="auto"/>
            </w:tcBorders>
          </w:tcPr>
          <w:p>
            <w:pPr>
              <w:jc w:val="right"/>
              <w:ind w:right="101"/>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7"/>
                <w:szCs w:val="17"/>
                <w:color w:val="auto"/>
              </w:rPr>
            </w:pPr>
          </w:p>
        </w:tc>
        <w:tc>
          <w:tcPr>
            <w:tcW w:w="1260" w:type="dxa"/>
            <w:vAlign w:val="bottom"/>
            <w:tcBorders>
              <w:top w:val="single" w:sz="8" w:color="auto"/>
            </w:tcBorders>
          </w:tcPr>
          <w:p>
            <w:pPr>
              <w:ind w:left="800"/>
              <w:spacing w:after="0"/>
              <w:rPr>
                <w:sz w:val="20"/>
                <w:szCs w:val="20"/>
                <w:color w:val="auto"/>
              </w:rPr>
            </w:pPr>
            <w:r>
              <w:rPr>
                <w:rFonts w:ascii="Arial" w:cs="Arial" w:eastAsia="Arial" w:hAnsi="Arial"/>
                <w:sz w:val="17"/>
                <w:szCs w:val="17"/>
                <w:color w:val="auto"/>
              </w:rPr>
              <w:t>1.1</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3.8</w:t>
            </w:r>
          </w:p>
        </w:tc>
        <w:tc>
          <w:tcPr>
            <w:tcW w:w="5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(13.5)</w:t>
            </w:r>
          </w:p>
        </w:tc>
      </w:tr>
      <w:tr>
        <w:trPr>
          <w:trHeight w:val="206"/>
        </w:trPr>
        <w:tc>
          <w:tcPr>
            <w:tcW w:w="410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16.6 %</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20.6 %</w:t>
            </w:r>
          </w:p>
        </w:tc>
        <w:tc>
          <w:tcPr>
            <w:tcW w:w="5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7"/>
                <w:szCs w:val="17"/>
                <w:color w:val="auto"/>
              </w:rPr>
            </w:pPr>
          </w:p>
        </w:tc>
        <w:tc>
          <w:tcPr>
            <w:tcW w:w="126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3.8 %</w:t>
            </w:r>
          </w:p>
        </w:tc>
      </w:tr>
      <w:tr>
        <w:trPr>
          <w:trHeight w:val="20"/>
        </w:trPr>
        <w:tc>
          <w:tcPr>
            <w:tcW w:w="4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2022 to 2021</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2022, the Company's net sales increased by $187.8 million, or 11% compared to the prior year. Light vehicle production in 2022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by 3% when compared to 2021 in the Company's primary markets, but total revenue for the year outperformed the underlying market by 8% despite the many supply chain challenges and customer order volatility encountered during the year. The increase in the Company's sales was primarily driven by a 6% year over year increase in automatic-dimming mirror shipments, from 41.8 million units in 2021 to 44.2 million units in 2022.</w:t>
      </w:r>
    </w:p>
    <w:p>
      <w:pPr>
        <w:spacing w:after="0" w:line="8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Other net sales for calendar year 2022 were $44.2 million, compared to Other net sales of $ 34.0 million in calendar year 2021. Fire protection sales in 2022 increased by 53% year over year, while dimmable aircraft windows were down 33% in 2022 compared to calendar year 2021. The Company expects that dimmable aircraft window sales will continue to be impacted until there is a meaningful recovery of the aerospace industry and the Boeing 787 production levels improve.</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u w:val="single" w:color="auto"/>
          <w:color w:val="auto"/>
        </w:rPr>
        <w:t>Cost of Goods Sold.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net sales, cost of goods sold increased from 64.2% in 2021 to 68.2% in 2022. The year over year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gross margin was primarily the result of increased raw material costs, increased manufacturing costs, higher freight and logistics costs, and certain previously agreed to annual customer price reductions. On a year over year basis, increased raw material costs had a negative impact of approximately 250 - 300 basis points on gross margin. Manufacturing cost increases, freight and logistics cost increases, and annual customer price reductions each independently had a negative impact of approximately 50 - 100 basis points on gross margin on a year over year basis.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research and development expenses ("E, R &amp; D") increased by $15.5 million or 13% from 2021 to 2022, but</w:t>
      </w:r>
      <w:r>
        <w:rPr>
          <w:rFonts w:ascii="Arial" w:cs="Arial" w:eastAsia="Arial" w:hAnsi="Arial"/>
          <w:sz w:val="17"/>
          <w:szCs w:val="17"/>
          <w:i w:val="1"/>
          <w:iCs w:val="1"/>
          <w:color w:val="auto"/>
        </w:rPr>
        <w:t xml:space="preserve"> </w:t>
      </w:r>
      <w:r>
        <w:rPr>
          <w:rFonts w:ascii="Arial" w:cs="Arial" w:eastAsia="Arial" w:hAnsi="Arial"/>
          <w:sz w:val="17"/>
          <w:szCs w:val="17"/>
          <w:color w:val="auto"/>
        </w:rPr>
        <w:t>remained at 7% of net sales. E, R &amp; D increased primarily due to additional staffing, professional fees, new product development, and the ongoing product re-designs necessary to mitigate electronics part shortages.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Selling, general and administrative ("S, G &amp; A") expenses increased by $14.3 million or 16% from 2021 to 2022, which represents 6% of net sales in 2022 compared to 5% in 2021. The primary reason for the increase in S, G &amp; A from 2021 to 2022 was primarily due to staffing, increases in outbound freight expenses, and the return of in-person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 xml:space="preserve">customer meetings and trade show related expenses. S, G &amp; A expenses were also impacted on a year over year basis by the $4.0 million settlement with the SEC that was accrued for in the second and third quarters of 2022, and the related legal and professional fees. See </w:t>
      </w:r>
      <w:r>
        <w:rPr>
          <w:rFonts w:ascii="Arial" w:cs="Arial" w:eastAsia="Arial" w:hAnsi="Arial"/>
          <w:sz w:val="17"/>
          <w:szCs w:val="17"/>
          <w:u w:val="single" w:color="auto"/>
          <w:color w:val="0000FF"/>
        </w:rPr>
        <w:t>Item 3, Part I</w:t>
      </w:r>
      <w:r>
        <w:rPr>
          <w:rFonts w:ascii="Arial" w:cs="Arial" w:eastAsia="Arial" w:hAnsi="Arial"/>
          <w:sz w:val="17"/>
          <w:szCs w:val="17"/>
          <w:color w:val="auto"/>
        </w:rPr>
        <w:t>.</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Total Other Income/(Expense).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increased $1.2 million to $4.8 million for 2022 compared to $3.6 million for 2021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interest income from fixed income investments. Other income – net decreased $8.1 million in 2022 versus 2021, primarily due to additional losses on sales of debt investments on a year over year basis.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13.8% for the year ended December 31, 2022 compared to 13.3% for the prior year. The effective tax rates in 2022</w:t>
      </w:r>
      <w:r>
        <w:rPr>
          <w:rFonts w:ascii="Arial" w:cs="Arial" w:eastAsia="Arial" w:hAnsi="Arial"/>
          <w:sz w:val="17"/>
          <w:szCs w:val="17"/>
          <w:i w:val="1"/>
          <w:iCs w:val="1"/>
          <w:color w:val="auto"/>
        </w:rPr>
        <w:t xml:space="preserve"> </w:t>
      </w:r>
      <w:r>
        <w:rPr>
          <w:rFonts w:ascii="Arial" w:cs="Arial" w:eastAsia="Arial" w:hAnsi="Arial"/>
          <w:sz w:val="17"/>
          <w:szCs w:val="17"/>
          <w:color w:val="auto"/>
        </w:rPr>
        <w:t>and 2021 differed from the statutory federal income tax rate, primarily due to the Foreign Derived Intangible Income Deduction, as well as additional equity compensation deductions and various tax credits.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decreased by $42.0 million in 2022, or 12% compared to 2021, primarily due to the year over year changes in gross margin</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operating profits.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2021 to 2020</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2021, the Company's net sales increased by $43.0 million, or 3% compared to the prior year. Net sales for 2021 were negatively impacted</w:t>
      </w:r>
      <w:r>
        <w:rPr>
          <w:rFonts w:ascii="Arial" w:cs="Arial" w:eastAsia="Arial" w:hAnsi="Arial"/>
          <w:sz w:val="17"/>
          <w:szCs w:val="17"/>
          <w:i w:val="1"/>
          <w:iCs w:val="1"/>
          <w:color w:val="auto"/>
        </w:rPr>
        <w:t xml:space="preserve"> </w:t>
      </w:r>
      <w:r>
        <w:rPr>
          <w:rFonts w:ascii="Arial" w:cs="Arial" w:eastAsia="Arial" w:hAnsi="Arial"/>
          <w:sz w:val="17"/>
          <w:szCs w:val="17"/>
          <w:color w:val="auto"/>
        </w:rPr>
        <w:t>by lower than forecasted global vehicle production rates for calendar year 2021, which declined 3% on a year over year basis. The increase in the Company's sales was primarily driven by a 9% year over year increase in automatic-dimming mirror shipments, from 38.2 million units in 2020 to 41.8 million units in 2021, despite the electronics components shortages impacting the Company's ability to meet customer demand for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(FDM), Integrated Toll Module (ITM), and other advanced feature shipments.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Other net sales for calendar year 2021 were $34.0 million, compared to Other net sales of $40.0 million in calendar year 2020. Fire protection sales</w:t>
      </w:r>
    </w:p>
    <w:p>
      <w:pPr>
        <w:spacing w:after="0" w:line="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increased by 10% year over year, while dimmable aircraft windows were down 48% in 2021 compared to calendar year 2020. The Company expects that dimmable aircraft window sales will continue to be impacted until there is a more meaningful recovery of the aerospace industry and the Boeing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787 production levels improve.</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i w:val="1"/>
          <w:iCs w:val="1"/>
          <w:u w:val="single" w:color="auto"/>
          <w:color w:val="auto"/>
        </w:rPr>
        <w:t>Cost of Goods Sold.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net sales, cost of goods sold increased from 64.1% in 2020 to 64.2% in 2021. The year over year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gross margin was primarily the result of annual customer price reductions and freight related cost increases, which were mostly offset by purchasing cost reductions and product mix improvement over 2020. On a year over year basis, annual customer price reductions and freight related cost increases each had a negative impact of approximately 100 - 150 basis points on gross margin. Purchasing cost reductions and product mix improvements in 2021 versus 2020 each independently had a positive impact on gross margin on a year over year basis of approximately 50 - 100 basis points.</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Operating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research and development expenses ("E, R &amp; D") increased by $1.8 million or 2% from 2020 to 2021, but remained</w:t>
      </w:r>
      <w:r>
        <w:rPr>
          <w:rFonts w:ascii="Arial" w:cs="Arial" w:eastAsia="Arial" w:hAnsi="Arial"/>
          <w:sz w:val="16"/>
          <w:szCs w:val="16"/>
          <w:i w:val="1"/>
          <w:iCs w:val="1"/>
          <w:color w:val="auto"/>
        </w:rPr>
        <w:t xml:space="preserve"> </w:t>
      </w:r>
      <w:r>
        <w:rPr>
          <w:rFonts w:ascii="Arial" w:cs="Arial" w:eastAsia="Arial" w:hAnsi="Arial"/>
          <w:sz w:val="16"/>
          <w:szCs w:val="16"/>
          <w:color w:val="auto"/>
        </w:rPr>
        <w:t>at 7% of net sales. E, R &amp; D increased, primarily due to increased staffing levels, which continue to support growth and development of new business.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Selling, general and administrative ("S, G &amp; A") expenses increased by $2.2 million or 2% from 2020 to 2021, but remained at 5% of net sales. The primary reason for the increase in S, G &amp; A from 2020 to 2021 was due to wages and benefits, other resources associated with mitigation of the impacts of the global COVID-19 pandemic, and increased legal and professional fees.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Total Other Income/(Expense).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decreased $ 3.4 million to $ 3.6 million for 2021 compared to $7.0 million for 2020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in interest income from fixed income investments. Other income – net decreased $2.3 million in 2021 versus 2020, primarily due to decreases in gains on sales of debt investments on a year over year basis, as well as gains recognized in 2020 on initial investments that were fully acquired during 2020.</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13.3% for the year ended December 31, 2021 compared to 15.6% for the prior year. The effective tax rates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and 2020 differed from the statutory federal income tax rate, primarily due to the Foreign Derived Intangible Income Deduction, research and development tax credits and discrete benefits from stock based compensation.</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increased by $13.2 million, or 4% year over year, primarily due to the 3% increase in revenue on a year over year basis,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the decrease in the effective tax rate.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5" w:name="page26"/>
    <w:bookmarkEnd w:id="25"/>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financial condition throughout the periods presented has remained very strong, despite lower than forecasted global vehicle production rates and supply chain disruptions in 2022 and a 3% decline in light vehicle production in the Company's primary markets from 2020 to 2021.</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cash and cash equivalents were $214.8 million, $262.3 million, and $423.4 million as of December 31, 2022, 2021 and 2020, respectively. The Company's cash and cash equivalents include amounts held by foreign subsidiaries of $12.5 million, $10.7 million and $7.4 million as of December 31, 2022, 2021 and 2020, respectively.</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Cash flow from operating activities was $338.2 million, $362.2 million and $464.5 million for the years ended December 31, 2022, 2021 and 2020, respectively. Cash flow from operating activities decreased $24.0 million for the year ended December 31, 2022 compared to the prior year, primarily due to decreases in net income and changes in working capital, which were partially offset by changes in deferred taxes. Cash flow from operating activities decreased $102.3 million for the year ended December 31, 2021 compared to the same period in 2020, primarily due to changes in working capital and deferred taxes, which were partially offset by the increase in net income.</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Cash flow used for investing activities for the year ended December 31, 2022 increased by $59.6 million to $ 172.7 million, compared with cash flow used for investing activities of $113.1 million for the year ended December 31, 2021, primarily due to increased investment purchases of equity method investments during the year. Cash flow used for investing activities for the year ended December 31, 2021 increased by $139.5 million to $113.1 million, compared to cash flow provided by the year ended December 31, 2020, primarily due to increased investment purchases of fixed income investments during that year.</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Capital expenditures were $146.4 million, $68.8 million, and $51.7 million for the years ended December 31, 2022, 2021, and 2020, respectively. Capital expenditures for the year ended December 31, 2022 increased by $77.6 million compared with the year ended December 31, 2021 primarily due to an increase in expenditures related to building and facility construction projects previously discussed. Capital expenditures for the year ended December 31, 2021 increased by $17.1 million compared to the year ended December 31, 2020 primarily due to an increase in production equipment purchases.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Cash flow used for financing activities for the year ended December 31, 2022, decreased $ 201.1 million to $209.0 million, compared to $410.1 million for the year ended December 31, 2021, primarily due to a decrease in the amount of shares of common stock repurchased which totaled $112.5 million during the calendar year 2022 as compared to $324.6 million during the calendar year 2021.</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Cash flow used for financing activities for the year ended December 31, 2021, increased $46.3 million to $410.1 million compared to the year ended December 31, 2020, primarily due to a reduction in the amount of shares of common stock repurchased which totaled $324.6 million during the calendar year 2021 as compared to $288.5 million during the calendar year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Short-term investments as of December 31, 2022 were $23.0 million, up from $5.4 million as of December 31, 2021 and long-term investments were $153.9 million as of December 31, 2022, down from $207.7 million as of December 31, 2021, due to changes in the Company's overall investment portfolio and increased investment in equity method investments. Equity method investments increased to $48.4 million, primarily as a result of additional investment purchases during 2022, including the investment in GreenMarbles in the second quarter of 2022. This investment in GreenMarbles was made with $20.0 million in cash and the issuance of $5.0 million of the Company's common stock.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as of December 31, 2022 increased $26.7 million compared to December 31, 2021, primarily due to the timing of sales within those years.</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as of December 31, 2022, increased $88.1 million compared to December 31, 2021, primarily due to increased raw material inventory levels to manage risk related to potential supply chain disruptions and volatility in customer orders.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 xml:space="preserve">Intangible Assets, net as of December 31, 2022 decreased $19.8 million compared to December 31, 2021, due to the amortization of definite lived intangible assets and patents, which is discussed further in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of the Consolidated Financial Statements.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payable as of December 31, 2022, increased $53.4 million compared to December 31, 2021, primarily due increases in, and timing of, inventory and capital expenditure payments.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Management considers the Company’s current working capital and long-term investments, as well as its existing credit financing arrangement (notwithstanding covenants prohibiting additional indebtedness), discussed further in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of the Consolidated Financial Statements, in addition to internally generated cash flow, to be sufficient to cover anticipated cash needs for the foreseeable future considering its contractual obligations and commitments.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working capital and long-term investments: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6"/>
              <w:spacing w:after="0"/>
              <w:rPr>
                <w:sz w:val="20"/>
                <w:szCs w:val="20"/>
                <w:color w:val="auto"/>
              </w:rPr>
            </w:pPr>
            <w:r>
              <w:rPr>
                <w:rFonts w:ascii="Arial" w:cs="Arial" w:eastAsia="Arial" w:hAnsi="Arial"/>
                <w:sz w:val="17"/>
                <w:szCs w:val="17"/>
                <w:b w:val="1"/>
                <w:bCs w:val="1"/>
                <w:color w:val="auto"/>
              </w:rPr>
              <w:t>2020</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698,099,624</w:t>
            </w:r>
          </w:p>
        </w:tc>
        <w:tc>
          <w:tcPr>
            <w:tcW w:w="5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691,319,649</w:t>
            </w:r>
          </w:p>
        </w:tc>
        <w:tc>
          <w:tcPr>
            <w:tcW w:w="5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801,593,707</w:t>
            </w:r>
          </w:p>
        </w:tc>
      </w:tr>
      <w:tr>
        <w:trPr>
          <w:trHeight w:val="214"/>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 Term Investments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153,906,005</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207,693,147</w:t>
            </w: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162,028,068</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852,005,629</w:t>
            </w:r>
          </w:p>
        </w:tc>
        <w:tc>
          <w:tcPr>
            <w:tcW w:w="5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899,012,796</w:t>
            </w:r>
          </w:p>
        </w:tc>
        <w:tc>
          <w:tcPr>
            <w:tcW w:w="5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963,621,775</w:t>
            </w:r>
          </w:p>
        </w:tc>
      </w:tr>
    </w:tbl>
    <w:p>
      <w:pPr>
        <w:spacing w:after="0" w:line="36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increase in working capital as of December 31, 2022 compared to December 31, 2021 is primarily due to increases in inventory and accounts receivable, which was partially offset by decreases in cash and prepaid expenses and other. The decrease in working capital as of December 31, 2021 compared to 2020 is primarily due to decreases in cash flow from operations, as well as additional share repurchases.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refer to </w:t>
      </w:r>
      <w:r>
        <w:rPr>
          <w:rFonts w:ascii="Arial" w:cs="Arial" w:eastAsia="Arial" w:hAnsi="Arial"/>
          <w:sz w:val="17"/>
          <w:szCs w:val="17"/>
          <w:u w:val="single" w:color="auto"/>
          <w:color w:val="0000FF"/>
        </w:rPr>
        <w:t>Part II, Item 5</w:t>
      </w:r>
      <w:r>
        <w:rPr>
          <w:rFonts w:ascii="Arial" w:cs="Arial" w:eastAsia="Arial" w:hAnsi="Arial"/>
          <w:sz w:val="17"/>
          <w:szCs w:val="17"/>
          <w:color w:val="auto"/>
        </w:rPr>
        <w:t>, with regard to the Company's previously announced share repurchase plan.</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utilizes the light vehicle production forecasting services of S&amp;P Global Mobility. The S&amp;P Global Mobility mid-January 2023 forecast for light vehicle production for calendar year 2023 are approximately 15.1 million units for North America, 16.5 million units for Europe, 11.7 million units for Japan and Korea, and 26.6 million units for China.</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Based on the foregoing, the Company estimates that top line revenue for calendar year 2023 will be approximately $2.2 billion. All estimates are based on light vehicle production forecasts in the primary regions to which the Company ships product, as well as the estimated option rates for its mirrors and electronics on prospective vehicle models and anticipated product mix. The Company continues to see order rates and booked business that allow for these estimates with an expected vehicle production increase in 2023, as well as an increase in 2024 compared to 2023. Continuing uncertainties, such as: volatilities in customer orders; light vehicle production volumes; supplier part or material shortages, including electronics supply chain constraints; the Ukraine-Russia conflict; labor shortages; automotive plant shutdowns; sales rates in Europe, Asia and North America; challenging macroeconomic and geopolitical environments, including inflation, tariffs and potential tax law changes; OEM strategies and cost pressures; customer inventory management and the impact of potential automotive customer (including their Tier 1 suppliers) and supplier bankruptcies; work stoppages, strikes, etc.; could disrupt shipments to customers and make forecasting difficult.</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estimating that the gross margin will be between 32% and 33% for calendar year 2023. Historically, annual customer price reductions have placed significant pressure on gross margin on an annual basis. Given the current revenue forecast and projected product mix for 2023, the Company hopes it may be able to offset certain raw material cost increases, as well as labor related cost increases with pricing adjustments and improved operational efficiencies, but there is no certainty of being able to do so.</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also currently estimates that its operating expenses, which include E, R &amp; D and S, G &amp; A, are expected to be between $260 and $270 million for calendar year 2023, due in part to continued investments that support growth and launch of new business as well as development of new products, which are primarily staffing related. The Company continues to invest heavily in technology directed at funding the development of its current product portfolio and creating iterations of those products that help keep its products new and attractive to our customers, as well as new products.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7"/>
          <w:szCs w:val="17"/>
          <w:color w:val="auto"/>
        </w:rPr>
        <w:t>The Company is a technology leader in the automotive industry, with a focus on developing uniquely designed solutions that are proprietary. The Company continues to make investments intended to maintain a competitive advantage in its current markets, as well as to use its core competencies to develop products that are applicable in other markets.</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Based on current light vehicle production forecasts, and the resultant forecast our automatic-dimming mirrors and electronics, the Company currently anticipates that 2023 capital expenditures will be between $200 and $225 million, a majority of which will be related to production equipment purchases but also includes an estimated $70 - 90 million in construction costs related to the construction of a new 345,000 square foot manufacturing facility, which began in January 2022, as well as the other two expansion projects on currently existing facilities. Capital expenditures for calendar year 2023 are currently anticipated to be financed from current cash and cash equivalents on hand and cash flows from operating activities.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estimates that depreciation and amortization expense for calendar year 2023 will be between $100 and $110 million.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further estimating that its tax rate will be between 15.0% and 17.0% for calendar year 2023 based on the current statutory rates.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accordance with its previously announced share repurchase plan and capital allocation strategy, the Company intends to continue to repurchase additional shares of its common stock in 2023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is also providing top line revenue guidance for calendar year 2024, taking into account anticipated increases in light vehicle production in 2024 compared to 2023. S&amp;P Global Mobility current forecasts for light vehicle production for calendar year 2024 are approximately 15.8 million units for North America, 17.5 million units for Europe, 11.4 million units for Japan and Korea, and 28.1 million units for China. Based on these forecasts, the Company is estimating that revenue for calendar year 2023 will increase approximately 10% over current estimates provided for 2023 revenue. As noted above, continuing uncertainties make forecasting difficult.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 Risk Disclosure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and/or realized losses due to an impairment adjustment on investment securities. The Company does not currently believe such risks are necessarily material.</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Most of the Company’s non-U.S. sales are invoiced and paid in U.S. dollars. During calendar year 2022, approximately 7% of the Company’s net sales were invoiced and paid in foreign currencies (compared to 8% for calendar year 2021 and 7% for calendar year 2020). The Company currently expects that approximately 7-8% of the Company’s net sales in calendar year 2023 will be invoiced and paid in foreign currencies. The Company does not currently engage in hedging activities of foreign currencies.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does not have any significant off-balance sheet arrangements or commitments that have not been recorded in its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Significant Accounting Policies and Critical Accounting Estimates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management evaluates these estimates and assumptions. Management also continually reviews its accounting policies and financial information disclosures.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Company’s significant accounting policies are described in </w:t>
      </w:r>
      <w:r>
        <w:rPr>
          <w:rFonts w:ascii="Arial" w:cs="Arial" w:eastAsia="Arial" w:hAnsi="Arial"/>
          <w:sz w:val="17"/>
          <w:szCs w:val="17"/>
          <w:u w:val="single" w:color="auto"/>
          <w:color w:val="0000FF"/>
        </w:rPr>
        <w:t>Note 1</w:t>
      </w:r>
      <w:r>
        <w:rPr>
          <w:rFonts w:ascii="Arial" w:cs="Arial" w:eastAsia="Arial" w:hAnsi="Arial"/>
          <w:sz w:val="17"/>
          <w:szCs w:val="17"/>
          <w:color w:val="auto"/>
        </w:rPr>
        <w:t xml:space="preserve"> of the Consolidated Financial Statements.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an accounting estimate to be critical if:</w:t>
      </w:r>
    </w:p>
    <w:p>
      <w:pPr>
        <w:spacing w:after="0" w:line="22" w:lineRule="exact"/>
        <w:rPr>
          <w:sz w:val="20"/>
          <w:szCs w:val="20"/>
          <w:color w:val="auto"/>
        </w:rPr>
      </w:pPr>
    </w:p>
    <w:p>
      <w:pPr>
        <w:ind w:left="700" w:hanging="96"/>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It requires management to make assumptions about matters that were uncertain at the time of the estimate, and</w:t>
      </w:r>
    </w:p>
    <w:p>
      <w:pPr>
        <w:spacing w:after="0" w:line="5" w:lineRule="exact"/>
        <w:rPr>
          <w:rFonts w:ascii="Arial" w:cs="Arial" w:eastAsia="Arial" w:hAnsi="Arial"/>
          <w:sz w:val="17"/>
          <w:szCs w:val="17"/>
          <w:color w:val="auto"/>
        </w:rPr>
      </w:pPr>
    </w:p>
    <w:p>
      <w:pPr>
        <w:ind w:left="600" w:firstLine="4"/>
        <w:spacing w:after="0" w:line="259" w:lineRule="auto"/>
        <w:tabs>
          <w:tab w:leader="none" w:pos="7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the estimate or different estimates that could have been selected would have had a material impact on our financial condition or results of operations.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recognizes revenue in accordance with Accounting Standards Codification (ASC)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Accordingly, revenue is recognized in an amount that reflects the consideration to which the Company expects to be entitled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u w:val="single" w:color="auto"/>
          <w:color w:val="0000FF"/>
        </w:rPr>
        <w:t>Item 13 of Part III</w:t>
      </w:r>
      <w:r>
        <w:rPr>
          <w:rFonts w:ascii="Arial" w:cs="Arial" w:eastAsia="Arial" w:hAnsi="Arial"/>
          <w:sz w:val="17"/>
          <w:szCs w:val="17"/>
          <w:color w:val="auto"/>
        </w:rPr>
        <w:t xml:space="preserve"> with respect to "Certain Transactions", which is incorporated herein.</w:t>
      </w:r>
    </w:p>
    <w:p>
      <w:pPr>
        <w:spacing w:after="0" w:line="23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u w:val="single" w:color="auto"/>
          <w:color w:val="0000FF"/>
        </w:rPr>
        <w:t>Market Risk Disclosure</w:t>
      </w:r>
      <w:r>
        <w:rPr>
          <w:rFonts w:ascii="Arial" w:cs="Arial" w:eastAsia="Arial" w:hAnsi="Arial"/>
          <w:sz w:val="17"/>
          <w:szCs w:val="17"/>
          <w:color w:val="auto"/>
        </w:rPr>
        <w:t xml:space="preserve">" in Management’s Discussion and Analysis of Financial Condition and Results of Operations. See </w:t>
      </w:r>
      <w:r>
        <w:rPr>
          <w:rFonts w:ascii="Arial" w:cs="Arial" w:eastAsia="Arial" w:hAnsi="Arial"/>
          <w:sz w:val="17"/>
          <w:szCs w:val="17"/>
          <w:u w:val="single" w:color="auto"/>
          <w:color w:val="0000FF"/>
        </w:rPr>
        <w:t>Item 7, Part II</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9" w:name="page30"/>
    <w:bookmarkEnd w:id="29"/>
    <w:p>
      <w:pPr>
        <w:spacing w:after="0"/>
        <w:tabs>
          <w:tab w:leader="none" w:pos="8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financial statements and reports of independent registered public accounting firm are filed with this report following the signature page: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0" w:type="dxa"/>
            <w:vAlign w:val="bottom"/>
            <w:gridSpan w:val="6"/>
          </w:tcPr>
          <w:p>
            <w:pPr>
              <w:ind w:left="320"/>
              <w:spacing w:after="0"/>
              <w:rPr>
                <w:sz w:val="20"/>
                <w:szCs w:val="20"/>
                <w:color w:val="auto"/>
              </w:rPr>
            </w:pPr>
            <w:r>
              <w:rPr>
                <w:rFonts w:ascii="Arial" w:cs="Arial" w:eastAsia="Arial" w:hAnsi="Arial"/>
                <w:sz w:val="15"/>
                <w:szCs w:val="15"/>
                <w:b w:val="1"/>
                <w:bCs w:val="1"/>
                <w:color w:val="auto"/>
              </w:rPr>
              <w:t>Document</w:t>
            </w:r>
          </w:p>
        </w:tc>
        <w:tc>
          <w:tcPr>
            <w:tcW w:w="1880" w:type="dxa"/>
            <w:vAlign w:val="bottom"/>
            <w:gridSpan w:val="3"/>
          </w:tcPr>
          <w:p>
            <w:pPr>
              <w:jc w:val="center"/>
              <w:ind w:left="1445"/>
              <w:spacing w:after="0"/>
              <w:rPr>
                <w:sz w:val="20"/>
                <w:szCs w:val="20"/>
                <w:color w:val="auto"/>
              </w:rPr>
            </w:pPr>
            <w:r>
              <w:rPr>
                <w:rFonts w:ascii="Arial" w:cs="Arial" w:eastAsia="Arial" w:hAnsi="Arial"/>
                <w:sz w:val="15"/>
                <w:szCs w:val="15"/>
                <w:b w:val="1"/>
                <w:bCs w:val="1"/>
                <w:color w:val="auto"/>
              </w:rPr>
              <w:t>Page</w:t>
            </w:r>
          </w:p>
        </w:tc>
      </w:tr>
      <w:tr>
        <w:trPr>
          <w:trHeight w:val="296"/>
        </w:trPr>
        <w:tc>
          <w:tcPr>
            <w:tcW w:w="8980" w:type="dxa"/>
            <w:vAlign w:val="bottom"/>
            <w:gridSpan w:val="9"/>
          </w:tcPr>
          <w:p>
            <w:pPr>
              <w:spacing w:after="0"/>
              <w:rPr>
                <w:sz w:val="20"/>
                <w:szCs w:val="20"/>
                <w:color w:val="auto"/>
              </w:rPr>
            </w:pPr>
            <w:r>
              <w:rPr>
                <w:rFonts w:ascii="Arial" w:cs="Arial" w:eastAsia="Arial" w:hAnsi="Arial"/>
                <w:sz w:val="15"/>
                <w:szCs w:val="15"/>
                <w:color w:val="0000FF"/>
              </w:rPr>
              <w:t xml:space="preserve">Report of Independent Registered Public Accounting Firm </w:t>
            </w:r>
            <w:r>
              <w:rPr>
                <w:rFonts w:ascii="Arial" w:cs="Arial" w:eastAsia="Arial" w:hAnsi="Arial"/>
                <w:sz w:val="15"/>
                <w:szCs w:val="15"/>
                <w:color w:val="000000"/>
              </w:rPr>
              <w:t>(PCAOB ID:42)</w:t>
            </w:r>
          </w:p>
        </w:tc>
        <w:tc>
          <w:tcPr>
            <w:tcW w:w="1880" w:type="dxa"/>
            <w:vAlign w:val="bottom"/>
            <w:gridSpan w:val="3"/>
          </w:tcPr>
          <w:p>
            <w:pPr>
              <w:jc w:val="center"/>
              <w:ind w:left="1425"/>
              <w:spacing w:after="0"/>
              <w:rPr>
                <w:sz w:val="20"/>
                <w:szCs w:val="20"/>
                <w:color w:val="auto"/>
              </w:rPr>
            </w:pPr>
            <w:r>
              <w:rPr>
                <w:rFonts w:ascii="Arial" w:cs="Arial" w:eastAsia="Arial" w:hAnsi="Arial"/>
                <w:sz w:val="15"/>
                <w:szCs w:val="15"/>
                <w:color w:val="0000FF"/>
              </w:rPr>
              <w:t>41</w:t>
            </w:r>
          </w:p>
        </w:tc>
      </w:tr>
      <w:tr>
        <w:trPr>
          <w:trHeight w:val="20"/>
        </w:trPr>
        <w:tc>
          <w:tcPr>
            <w:tcW w:w="2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820" w:type="dxa"/>
            <w:vAlign w:val="bottom"/>
            <w:tcBorders>
              <w:bottom w:val="single" w:sz="8" w:color="0000FF"/>
            </w:tcBorders>
            <w:gridSpan w:val="6"/>
          </w:tcPr>
          <w:p>
            <w:pPr>
              <w:spacing w:after="0"/>
              <w:rPr>
                <w:sz w:val="20"/>
                <w:szCs w:val="20"/>
                <w:color w:val="auto"/>
              </w:rPr>
            </w:pPr>
            <w:r>
              <w:rPr>
                <w:rFonts w:ascii="Arial" w:cs="Arial" w:eastAsia="Arial" w:hAnsi="Arial"/>
                <w:sz w:val="15"/>
                <w:szCs w:val="15"/>
                <w:color w:val="0000FF"/>
              </w:rPr>
              <w:t>Report of Independent Registered Public Accounting Firm on Internal Control over Financial Reporting</w:t>
            </w:r>
          </w:p>
        </w:tc>
        <w:tc>
          <w:tcPr>
            <w:tcW w:w="2160" w:type="dxa"/>
            <w:vAlign w:val="bottom"/>
            <w:gridSpan w:val="3"/>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43</w:t>
            </w:r>
          </w:p>
        </w:tc>
        <w:tc>
          <w:tcPr>
            <w:tcW w:w="100" w:type="dxa"/>
            <w:vAlign w:val="bottom"/>
          </w:tcPr>
          <w:p>
            <w:pPr>
              <w:spacing w:after="0"/>
              <w:rPr>
                <w:sz w:val="15"/>
                <w:szCs w:val="15"/>
                <w:color w:val="auto"/>
              </w:rPr>
            </w:pPr>
          </w:p>
        </w:tc>
      </w:tr>
      <w:tr>
        <w:trPr>
          <w:trHeight w:val="181"/>
        </w:trPr>
        <w:tc>
          <w:tcPr>
            <w:tcW w:w="8980" w:type="dxa"/>
            <w:vAlign w:val="bottom"/>
            <w:gridSpan w:val="9"/>
          </w:tcPr>
          <w:p>
            <w:pPr>
              <w:spacing w:after="0"/>
              <w:rPr>
                <w:sz w:val="20"/>
                <w:szCs w:val="20"/>
                <w:color w:val="auto"/>
              </w:rPr>
            </w:pPr>
            <w:r>
              <w:rPr>
                <w:rFonts w:ascii="Arial" w:cs="Arial" w:eastAsia="Arial" w:hAnsi="Arial"/>
                <w:sz w:val="15"/>
                <w:szCs w:val="15"/>
                <w:color w:val="0000FF"/>
              </w:rPr>
              <w:t>Consolidated Balance Sheets as of December 31, 2022 and 2021</w:t>
            </w:r>
          </w:p>
        </w:tc>
        <w:tc>
          <w:tcPr>
            <w:tcW w:w="1880" w:type="dxa"/>
            <w:vAlign w:val="bottom"/>
            <w:gridSpan w:val="3"/>
          </w:tcPr>
          <w:p>
            <w:pPr>
              <w:jc w:val="center"/>
              <w:ind w:left="1425"/>
              <w:spacing w:after="0"/>
              <w:rPr>
                <w:sz w:val="20"/>
                <w:szCs w:val="20"/>
                <w:color w:val="auto"/>
              </w:rPr>
            </w:pPr>
            <w:r>
              <w:rPr>
                <w:rFonts w:ascii="Arial" w:cs="Arial" w:eastAsia="Arial" w:hAnsi="Arial"/>
                <w:sz w:val="15"/>
                <w:szCs w:val="15"/>
                <w:color w:val="0000FF"/>
              </w:rPr>
              <w:t>44</w:t>
            </w:r>
          </w:p>
        </w:tc>
      </w:tr>
      <w:tr>
        <w:trPr>
          <w:trHeight w:val="20"/>
        </w:trPr>
        <w:tc>
          <w:tcPr>
            <w:tcW w:w="29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24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rPr>
              <w:t>Consolidated Statements of Income for the years ended December 31, 2022, 2021, and 2020</w:t>
            </w:r>
          </w:p>
        </w:tc>
        <w:tc>
          <w:tcPr>
            <w:tcW w:w="2740" w:type="dxa"/>
            <w:vAlign w:val="bottom"/>
            <w:gridSpan w:val="5"/>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45</w:t>
            </w:r>
          </w:p>
        </w:tc>
        <w:tc>
          <w:tcPr>
            <w:tcW w:w="100" w:type="dxa"/>
            <w:vAlign w:val="bottom"/>
          </w:tcPr>
          <w:p>
            <w:pPr>
              <w:spacing w:after="0"/>
              <w:rPr>
                <w:sz w:val="15"/>
                <w:szCs w:val="15"/>
                <w:color w:val="auto"/>
              </w:rPr>
            </w:pPr>
          </w:p>
        </w:tc>
      </w:tr>
      <w:tr>
        <w:trPr>
          <w:trHeight w:val="181"/>
        </w:trPr>
        <w:tc>
          <w:tcPr>
            <w:tcW w:w="7340" w:type="dxa"/>
            <w:vAlign w:val="bottom"/>
            <w:tcBorders>
              <w:bottom w:val="single" w:sz="8" w:color="0000FF"/>
            </w:tcBorders>
            <w:gridSpan w:val="7"/>
          </w:tcPr>
          <w:p>
            <w:pPr>
              <w:spacing w:after="0"/>
              <w:rPr>
                <w:sz w:val="20"/>
                <w:szCs w:val="20"/>
                <w:color w:val="auto"/>
              </w:rPr>
            </w:pPr>
            <w:r>
              <w:rPr>
                <w:rFonts w:ascii="Arial" w:cs="Arial" w:eastAsia="Arial" w:hAnsi="Arial"/>
                <w:sz w:val="15"/>
                <w:szCs w:val="15"/>
                <w:color w:val="0000FF"/>
              </w:rPr>
              <w:t>Consolidated Statements of Comprehensive Income for the years ended December 31, 2022, 2021, and 2020</w:t>
            </w:r>
          </w:p>
        </w:tc>
        <w:tc>
          <w:tcPr>
            <w:tcW w:w="164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46</w:t>
            </w:r>
          </w:p>
        </w:tc>
        <w:tc>
          <w:tcPr>
            <w:tcW w:w="100" w:type="dxa"/>
            <w:vAlign w:val="bottom"/>
          </w:tcPr>
          <w:p>
            <w:pPr>
              <w:spacing w:after="0"/>
              <w:rPr>
                <w:sz w:val="15"/>
                <w:szCs w:val="15"/>
                <w:color w:val="auto"/>
              </w:rPr>
            </w:pPr>
          </w:p>
        </w:tc>
      </w:tr>
      <w:tr>
        <w:trPr>
          <w:trHeight w:val="181"/>
        </w:trPr>
        <w:tc>
          <w:tcPr>
            <w:tcW w:w="8980" w:type="dxa"/>
            <w:vAlign w:val="bottom"/>
            <w:tcBorders>
              <w:bottom w:val="single" w:sz="8" w:color="0000FF"/>
            </w:tcBorders>
            <w:gridSpan w:val="9"/>
          </w:tcPr>
          <w:p>
            <w:pPr>
              <w:spacing w:after="0"/>
              <w:rPr>
                <w:sz w:val="20"/>
                <w:szCs w:val="20"/>
                <w:color w:val="auto"/>
              </w:rPr>
            </w:pPr>
            <w:r>
              <w:rPr>
                <w:rFonts w:ascii="Arial" w:cs="Arial" w:eastAsia="Arial" w:hAnsi="Arial"/>
                <w:sz w:val="15"/>
                <w:szCs w:val="15"/>
                <w:color w:val="0000FF"/>
              </w:rPr>
              <w:t>Consolidated Statements of Shareholders’ Investment for the years ended December 31, 2022, 2021, and 2020</w:t>
            </w:r>
          </w:p>
        </w:tc>
        <w:tc>
          <w:tcPr>
            <w:tcW w:w="160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47</w:t>
            </w:r>
          </w:p>
        </w:tc>
        <w:tc>
          <w:tcPr>
            <w:tcW w:w="100" w:type="dxa"/>
            <w:vAlign w:val="bottom"/>
          </w:tcPr>
          <w:p>
            <w:pPr>
              <w:spacing w:after="0"/>
              <w:rPr>
                <w:sz w:val="15"/>
                <w:szCs w:val="15"/>
                <w:color w:val="auto"/>
              </w:rPr>
            </w:pPr>
          </w:p>
        </w:tc>
      </w:tr>
      <w:tr>
        <w:trPr>
          <w:trHeight w:val="181"/>
        </w:trPr>
        <w:tc>
          <w:tcPr>
            <w:tcW w:w="8980" w:type="dxa"/>
            <w:vAlign w:val="bottom"/>
            <w:gridSpan w:val="9"/>
          </w:tcPr>
          <w:p>
            <w:pPr>
              <w:spacing w:after="0"/>
              <w:rPr>
                <w:sz w:val="20"/>
                <w:szCs w:val="20"/>
                <w:color w:val="auto"/>
              </w:rPr>
            </w:pPr>
            <w:r>
              <w:rPr>
                <w:rFonts w:ascii="Arial" w:cs="Arial" w:eastAsia="Arial" w:hAnsi="Arial"/>
                <w:sz w:val="15"/>
                <w:szCs w:val="15"/>
                <w:color w:val="0000FF"/>
              </w:rPr>
              <w:t>Consolidated Statements of Cash Flows for the years ended December 31, 2022, 2021, and 2020</w:t>
            </w:r>
          </w:p>
        </w:tc>
        <w:tc>
          <w:tcPr>
            <w:tcW w:w="1880" w:type="dxa"/>
            <w:vAlign w:val="bottom"/>
            <w:gridSpan w:val="3"/>
          </w:tcPr>
          <w:p>
            <w:pPr>
              <w:jc w:val="center"/>
              <w:ind w:left="1425"/>
              <w:spacing w:after="0"/>
              <w:rPr>
                <w:sz w:val="20"/>
                <w:szCs w:val="20"/>
                <w:color w:val="auto"/>
              </w:rPr>
            </w:pPr>
            <w:r>
              <w:rPr>
                <w:rFonts w:ascii="Arial" w:cs="Arial" w:eastAsia="Arial" w:hAnsi="Arial"/>
                <w:sz w:val="15"/>
                <w:szCs w:val="15"/>
                <w:color w:val="0000FF"/>
              </w:rPr>
              <w:t>48</w:t>
            </w:r>
          </w:p>
        </w:tc>
      </w:tr>
      <w:tr>
        <w:trPr>
          <w:trHeight w:val="181"/>
        </w:trPr>
        <w:tc>
          <w:tcPr>
            <w:tcW w:w="29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5"/>
                <w:szCs w:val="15"/>
                <w:color w:val="0000FF"/>
              </w:rPr>
              <w:t>Notes to Consolidated Financial Statements</w:t>
            </w:r>
          </w:p>
        </w:tc>
        <w:tc>
          <w:tcPr>
            <w:tcW w:w="3580" w:type="dxa"/>
            <w:vAlign w:val="bottom"/>
            <w:tcBorders>
              <w:top w:val="single" w:sz="8" w:color="0000FF"/>
            </w:tcBorders>
            <w:gridSpan w:val="4"/>
          </w:tcPr>
          <w:p>
            <w:pPr>
              <w:spacing w:after="0"/>
              <w:rPr>
                <w:sz w:val="15"/>
                <w:szCs w:val="15"/>
                <w:color w:val="auto"/>
              </w:rPr>
            </w:pPr>
          </w:p>
        </w:tc>
        <w:tc>
          <w:tcPr>
            <w:tcW w:w="2460" w:type="dxa"/>
            <w:vAlign w:val="bottom"/>
            <w:gridSpan w:val="4"/>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rPr>
              <w:t>50</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defined in Item 304 of Regulation S-K, there have been no changes in, or disagreements with, accountants during the 24-month period ended December 31, 2022.</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Disclosure Controls and Procedures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2022, and have concluded that the Company’s disclosure controls and procedures are adequate and effective.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 xml:space="preserve">The effectiveness of the Company’s internal control over financial reporting as of December 31, 2022, has been audited by Ernst &amp; Young LLP, an independent registered public accounting firm, as stated in their report which is included in </w:t>
      </w:r>
      <w:r>
        <w:rPr>
          <w:rFonts w:ascii="Arial" w:cs="Arial" w:eastAsia="Arial" w:hAnsi="Arial"/>
          <w:sz w:val="17"/>
          <w:szCs w:val="17"/>
          <w:u w:val="single" w:color="auto"/>
          <w:color w:val="0000FF"/>
        </w:rPr>
        <w:t>Part IV</w:t>
      </w:r>
      <w:r>
        <w:rPr>
          <w:rFonts w:ascii="Arial" w:cs="Arial" w:eastAsia="Arial" w:hAnsi="Arial"/>
          <w:sz w:val="17"/>
          <w:szCs w:val="17"/>
          <w:color w:val="auto"/>
        </w:rPr>
        <w:t xml:space="preserve"> of this Form 10K.</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2022.</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7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1" w:name="page32"/>
    <w:bookmarkEnd w:id="31"/>
    <w:p>
      <w:pPr>
        <w:ind w:left="5300"/>
        <w:spacing w:after="0"/>
        <w:rPr>
          <w:sz w:val="20"/>
          <w:szCs w:val="20"/>
          <w:color w:val="auto"/>
        </w:rPr>
      </w:pPr>
      <w:r>
        <w:rPr>
          <w:rFonts w:ascii="Arial" w:cs="Arial" w:eastAsia="Arial" w:hAnsi="Arial"/>
          <w:sz w:val="17"/>
          <w:szCs w:val="17"/>
          <w:b w:val="1"/>
          <w:bCs w:val="1"/>
          <w:color w:val="auto"/>
        </w:rPr>
        <w:t>PART III</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Information about Our Executive Officers</w:t>
      </w:r>
    </w:p>
    <w:p>
      <w:pPr>
        <w:spacing w:after="0" w:line="22"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The following table lists the names, ages, and positions of all of the Company’s executive officers at the time of this report. Officers are generally elected at the meeting of the Board of Directors following the annual meeting of shareholders.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9"/>
              </w:rPr>
              <w:t>AGE</w:t>
            </w:r>
          </w:p>
        </w:tc>
        <w:tc>
          <w:tcPr>
            <w:tcW w:w="6460" w:type="dxa"/>
            <w:vAlign w:val="bottom"/>
            <w:gridSpan w:val="2"/>
            <w:shd w:val="clear" w:color="auto" w:fill="CCEEFF"/>
          </w:tcPr>
          <w:p>
            <w:pPr>
              <w:ind w:left="2860"/>
              <w:spacing w:after="0"/>
              <w:rPr>
                <w:sz w:val="20"/>
                <w:szCs w:val="20"/>
                <w:color w:val="auto"/>
              </w:rPr>
            </w:pPr>
            <w:r>
              <w:rPr>
                <w:rFonts w:ascii="Arial" w:cs="Arial" w:eastAsia="Arial" w:hAnsi="Arial"/>
                <w:sz w:val="13"/>
                <w:szCs w:val="13"/>
                <w:b w:val="1"/>
                <w:bCs w:val="1"/>
                <w:color w:val="auto"/>
              </w:rPr>
              <w:t>POSITION</w:t>
            </w: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CURRENT POSITION HELD SINCE</w:t>
            </w:r>
          </w:p>
        </w:tc>
      </w:tr>
      <w:tr>
        <w:trPr>
          <w:trHeight w:val="206"/>
        </w:trPr>
        <w:tc>
          <w:tcPr>
            <w:tcW w:w="1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Steve Downing</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45</w:t>
            </w:r>
          </w:p>
        </w:tc>
        <w:tc>
          <w:tcPr>
            <w:tcW w:w="100" w:type="dxa"/>
            <w:vAlign w:val="bottom"/>
          </w:tcPr>
          <w:p>
            <w:pPr>
              <w:spacing w:after="0"/>
              <w:rPr>
                <w:sz w:val="17"/>
                <w:szCs w:val="17"/>
                <w:color w:val="auto"/>
              </w:rPr>
            </w:pPr>
          </w:p>
        </w:tc>
        <w:tc>
          <w:tcPr>
            <w:tcW w:w="63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President and Chief Executive Officer</w:t>
            </w:r>
          </w:p>
        </w:tc>
        <w:tc>
          <w:tcPr>
            <w:tcW w:w="100" w:type="dxa"/>
            <w:vAlign w:val="bottom"/>
          </w:tcPr>
          <w:p>
            <w:pPr>
              <w:spacing w:after="0"/>
              <w:rPr>
                <w:sz w:val="17"/>
                <w:szCs w:val="17"/>
                <w:color w:val="auto"/>
              </w:rPr>
            </w:pP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January 2018</w:t>
            </w:r>
          </w:p>
        </w:tc>
      </w:tr>
      <w:tr>
        <w:trPr>
          <w:trHeight w:val="214"/>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Neil Boehm</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51</w:t>
            </w:r>
          </w:p>
        </w:tc>
        <w:tc>
          <w:tcPr>
            <w:tcW w:w="1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Technology Officer and Vice President, Engineering</w:t>
            </w:r>
          </w:p>
        </w:tc>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2018</w:t>
            </w:r>
          </w:p>
        </w:tc>
      </w:tr>
      <w:tr>
        <w:trPr>
          <w:trHeight w:val="214"/>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Kevin Nash</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10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Vice President, Finance, Chief Financial Officer and Treasurer</w:t>
            </w:r>
          </w:p>
        </w:tc>
        <w:tc>
          <w:tcPr>
            <w:tcW w:w="2300" w:type="dxa"/>
            <w:vAlign w:val="bottom"/>
          </w:tcPr>
          <w:p>
            <w:pPr>
              <w:ind w:left="20"/>
              <w:spacing w:after="0"/>
              <w:rPr>
                <w:sz w:val="20"/>
                <w:szCs w:val="20"/>
                <w:color w:val="auto"/>
              </w:rPr>
            </w:pPr>
            <w:r>
              <w:rPr>
                <w:rFonts w:ascii="Arial" w:cs="Arial" w:eastAsia="Arial" w:hAnsi="Arial"/>
                <w:sz w:val="17"/>
                <w:szCs w:val="17"/>
                <w:color w:val="auto"/>
              </w:rPr>
              <w:t>February 2018</w:t>
            </w:r>
          </w:p>
        </w:tc>
      </w:tr>
      <w:tr>
        <w:trPr>
          <w:trHeight w:val="214"/>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Matthew Chiodo</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c>
          <w:tcPr>
            <w:tcW w:w="1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Sales Officer and Senior Vice President, Sales</w:t>
            </w:r>
          </w:p>
        </w:tc>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2022</w:t>
            </w:r>
          </w:p>
        </w:tc>
      </w:tr>
      <w:tr>
        <w:trPr>
          <w:trHeight w:val="222"/>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Scott Ryan</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42</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Vice President, General Counsel and Corporate Secretary</w:t>
            </w:r>
          </w:p>
        </w:tc>
        <w:tc>
          <w:tcPr>
            <w:tcW w:w="2300" w:type="dxa"/>
            <w:vAlign w:val="bottom"/>
          </w:tcPr>
          <w:p>
            <w:pPr>
              <w:ind w:left="20"/>
              <w:spacing w:after="0"/>
              <w:rPr>
                <w:sz w:val="20"/>
                <w:szCs w:val="20"/>
                <w:color w:val="auto"/>
              </w:rPr>
            </w:pPr>
            <w:r>
              <w:rPr>
                <w:rFonts w:ascii="Arial" w:cs="Arial" w:eastAsia="Arial" w:hAnsi="Arial"/>
                <w:sz w:val="17"/>
                <w:szCs w:val="17"/>
                <w:color w:val="auto"/>
              </w:rPr>
              <w:t>August 2018</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among the officers listed in the preceding table.</w:t>
      </w:r>
    </w:p>
    <w:p>
      <w:pPr>
        <w:spacing w:after="0" w:line="144"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color w:val="auto"/>
        </w:rPr>
        <w:t xml:space="preserve">Steve Downing was elected Chief Executive Officer effective as of January 1, 2018. Mr. Downing has been employed by the Company since 2002. Prior to being elected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w:t>
      </w:r>
      <w:r>
        <w:rPr>
          <w:rFonts w:ascii="Arial" w:cs="Arial" w:eastAsia="Arial" w:hAnsi="Arial"/>
          <w:sz w:val="17"/>
          <w:szCs w:val="17"/>
          <w:u w:val="single" w:color="auto"/>
          <w:color w:val="0000FF"/>
        </w:rPr>
        <w:t>Part III,</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Item 11</w:t>
      </w:r>
      <w:r>
        <w:rPr>
          <w:rFonts w:ascii="Arial" w:cs="Arial" w:eastAsia="Arial" w:hAnsi="Arial"/>
          <w:sz w:val="17"/>
          <w:szCs w:val="17"/>
          <w:color w:val="0000FF"/>
        </w:rPr>
        <w:t xml:space="preserve"> </w:t>
      </w:r>
      <w:r>
        <w:rPr>
          <w:rFonts w:ascii="Arial" w:cs="Arial" w:eastAsia="Arial" w:hAnsi="Arial"/>
          <w:sz w:val="17"/>
          <w:szCs w:val="17"/>
          <w:color w:val="000000"/>
        </w:rPr>
        <w:t>to this Form 10</w:t>
      </w:r>
      <w:r>
        <w:rPr>
          <w:rFonts w:ascii="MS PGothic" w:cs="MS PGothic" w:eastAsia="MS PGothic" w:hAnsi="MS PGothic"/>
          <w:sz w:val="17"/>
          <w:szCs w:val="17"/>
          <w:color w:val="000000"/>
        </w:rPr>
        <w:t>‑</w:t>
      </w:r>
      <w:r>
        <w:rPr>
          <w:rFonts w:ascii="Arial" w:cs="Arial" w:eastAsia="Arial" w:hAnsi="Arial"/>
          <w:sz w:val="17"/>
          <w:szCs w:val="17"/>
          <w:color w:val="000000"/>
        </w:rPr>
        <w:t>K.</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Neil Boehm was appointed as the Company's Vice President, Engineering and Chief Technology Officer as of February 15, 2018 and was also appointed an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Kevin Nash was appointed as the Company's Vice President, Finance, Chief Financial Officer, and Treasurer, effective as of February 15, 2018. He is also the Company's Chief Accounting Officer. Mr. Nash has been employed by the Company since 1999. Prior to his current position, he served as the Company's Vice President of Accounting and Chief Accounting Officer, beginning in 2014 and before that served as Director of Accounting and Chief Accounting Officer. Certain terms of Mr. Nash's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Matthew Chiodo's title changed to Chief Sales Officer and Senior Vice President of Sales on January 17, 2022, though he was already and continues to be a named executive officer. Mr. Chiodo has been employed by the Company since 2001. Prior to his current title, his title was the Company's Vice President of Sales, beginning in 2017 and before that served as Director of Sales for several years. Certain terms of Mr. Chiodo's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Scott Ryan was appointed as the Company's Vice President, General Counsel and Corporate Secretary on August 16, 2018. Mr. Ryan has 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Information relating to directors appearing under the caption “Election of Directors” in the definitive Proxy Statement for 2023 Annual Meeting of Shareholders and filed with the Commission within 120 days after the Company’s fiscal year end, December 31, 2022 (the “Proxy Statement”), is hereby incorporated herein by reference. No changes were made to the procedures by which shareholders may recommend nominees for the Board of Directors.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Regulation S-K appearing under the caption “Corporate Governance – Audit Committee” in the definitive Proxy Statement is hereby incorporated herein by reference.</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3" w:name="page34"/>
    <w:bookmarkEnd w:id="33"/>
    <w:p>
      <w:pPr>
        <w:spacing w:after="0"/>
        <w:tabs>
          <w:tab w:leader="none" w:pos="7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under the caption "Compensation Committee Report," "Compensation Discussion and Analysis," "Executive Compensation,"</w:t>
      </w:r>
    </w:p>
    <w:p>
      <w:pPr>
        <w:spacing w:after="0" w:line="2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"Director Compensation," and "Compensation Committee Interlocks and Insider Participation" contained in the definitive Proxy Statement is hereby incorporated herein by reference. The "Compensation Committee Report" shall not be deemed to be soliciting material or to be filed with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commission.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previously disclosed, the Compensation Committee has a goal that base salaries for officers, including named executive officers, are at or near the market median for base salaries when compared to the Company's established peer group.</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In light of that, the Compensation Committee has periodically reviewed base salaries for officers, including where officers rank compared to the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Company's established peer group. It was determined by the Compensation Committee that certain officer base salaries continue to trail the announced goal of base salaries at market median, in some instances base salaries significantly trailed the stated goal. As such, in light of an improving outlook for</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Company the ever-increasing competition for talent, the need to attract and retain management to fulfil the Company's strategic goals, desire for base salaries to approach market median, and the high level individual performances of officers, the Compensation Committee recommended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Board and the Board approved certain changes in base salaries for 2023. The Board, therefore, on February 16, 2023, approved the following base salaries for the CEO and named executive officers for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Executive Officer</w:t>
            </w:r>
          </w:p>
        </w:tc>
        <w:tc>
          <w:tcPr>
            <w:tcW w:w="5440" w:type="dxa"/>
            <w:vAlign w:val="bottom"/>
            <w:tcBorders>
              <w:bottom w:val="single" w:sz="8" w:color="auto"/>
            </w:tcBorders>
          </w:tcPr>
          <w:p>
            <w:pPr>
              <w:ind w:left="3340"/>
              <w:spacing w:after="0"/>
              <w:rPr>
                <w:sz w:val="20"/>
                <w:szCs w:val="20"/>
                <w:color w:val="auto"/>
              </w:rPr>
            </w:pPr>
            <w:r>
              <w:rPr>
                <w:rFonts w:ascii="Arial" w:cs="Arial" w:eastAsia="Arial" w:hAnsi="Arial"/>
                <w:sz w:val="13"/>
                <w:szCs w:val="13"/>
                <w:b w:val="1"/>
                <w:bCs w:val="1"/>
                <w:color w:val="auto"/>
              </w:rPr>
              <w:t>Position</w:t>
            </w: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2023 Base Salary</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2022 Base Salary</w:t>
            </w:r>
          </w:p>
        </w:tc>
      </w:tr>
      <w:tr>
        <w:trPr>
          <w:trHeight w:val="207"/>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President and CEO</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r>
      <w:tr>
        <w:trPr>
          <w:trHeight w:val="214"/>
        </w:trPr>
        <w:tc>
          <w:tcPr>
            <w:tcW w:w="18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440" w:type="dxa"/>
            <w:vAlign w:val="bottom"/>
          </w:tcPr>
          <w:p>
            <w:pPr>
              <w:ind w:left="240"/>
              <w:spacing w:after="0"/>
              <w:rPr>
                <w:sz w:val="20"/>
                <w:szCs w:val="20"/>
                <w:color w:val="auto"/>
              </w:rPr>
            </w:pPr>
            <w:r>
              <w:rPr>
                <w:rFonts w:ascii="Arial" w:cs="Arial" w:eastAsia="Arial" w:hAnsi="Arial"/>
                <w:sz w:val="17"/>
                <w:szCs w:val="17"/>
                <w:color w:val="auto"/>
              </w:rPr>
              <w:t>VP, Engineering and CTO</w:t>
            </w:r>
          </w:p>
        </w:tc>
        <w:tc>
          <w:tcPr>
            <w:tcW w:w="188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515,000</w:t>
            </w:r>
          </w:p>
        </w:tc>
        <w:tc>
          <w:tcPr>
            <w:tcW w:w="34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475,000</w:t>
            </w:r>
          </w:p>
        </w:tc>
      </w:tr>
      <w:tr>
        <w:trPr>
          <w:trHeight w:val="214"/>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VP, Finance, CFO and Treasurer</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475,000</w:t>
            </w:r>
          </w:p>
        </w:tc>
      </w:tr>
      <w:tr>
        <w:trPr>
          <w:trHeight w:val="214"/>
        </w:trPr>
        <w:tc>
          <w:tcPr>
            <w:tcW w:w="18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440" w:type="dxa"/>
            <w:vAlign w:val="bottom"/>
          </w:tcPr>
          <w:p>
            <w:pPr>
              <w:ind w:left="240"/>
              <w:spacing w:after="0"/>
              <w:rPr>
                <w:sz w:val="20"/>
                <w:szCs w:val="20"/>
                <w:color w:val="auto"/>
              </w:rPr>
            </w:pPr>
            <w:r>
              <w:rPr>
                <w:rFonts w:ascii="Arial" w:cs="Arial" w:eastAsia="Arial" w:hAnsi="Arial"/>
                <w:sz w:val="17"/>
                <w:szCs w:val="17"/>
                <w:color w:val="auto"/>
              </w:rPr>
              <w:t>Senior VP, Sales and CSO</w:t>
            </w:r>
          </w:p>
        </w:tc>
        <w:tc>
          <w:tcPr>
            <w:tcW w:w="188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455,000</w:t>
            </w:r>
          </w:p>
        </w:tc>
        <w:tc>
          <w:tcPr>
            <w:tcW w:w="34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415,000</w:t>
            </w:r>
          </w:p>
        </w:tc>
      </w:tr>
      <w:tr>
        <w:trPr>
          <w:trHeight w:val="214"/>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VP, General Counsel and Corporate Secretary</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Amended and Restated Annual Incentive Performance-Based Bonus Plan</w:t>
      </w:r>
    </w:p>
    <w:p>
      <w:pPr>
        <w:spacing w:after="0" w:line="23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Board of Directors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At the beginning of each year, the Compensation Committee reviews and approves a cash bonus target for each officer, as a percentage of base salary for the year. The CEO may earn from 0% - 200% of base salary. The non-CEO named executive officers may earn from 0% to 150% of their base salaries. All performance-related targets are set by, and achievement of targets are approved by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Compensation Committee and/or the Board of Directors.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executive officers, the 2023 Annual Plan payout opportunities as a percentage of base salary applicable to each performance metric are shown in the table below:</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900" w:type="dxa"/>
            <w:vAlign w:val="bottom"/>
            <w:tcBorders>
              <w:bottom w:val="single" w:sz="8" w:color="auto"/>
            </w:tcBorders>
          </w:tcPr>
          <w:p>
            <w:pPr>
              <w:ind w:left="2500"/>
              <w:spacing w:after="0"/>
              <w:rPr>
                <w:sz w:val="20"/>
                <w:szCs w:val="20"/>
                <w:color w:val="auto"/>
              </w:rPr>
            </w:pPr>
            <w:r>
              <w:rPr>
                <w:rFonts w:ascii="Arial" w:cs="Arial" w:eastAsia="Arial" w:hAnsi="Arial"/>
                <w:sz w:val="13"/>
                <w:szCs w:val="13"/>
                <w:b w:val="1"/>
                <w:bCs w:val="1"/>
                <w:color w:val="auto"/>
              </w:rPr>
              <w:t>Executive Officer</w:t>
            </w:r>
          </w:p>
        </w:tc>
        <w:tc>
          <w:tcPr>
            <w:tcW w:w="298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Annual Plan Threshold</w:t>
            </w: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Annual Plan Target</w:t>
            </w: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Annual Plan Maximum</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50.0 %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200.0 %</w:t>
            </w: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2980" w:type="dxa"/>
            <w:vAlign w:val="bottom"/>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2980" w:type="dxa"/>
            <w:vAlign w:val="bottom"/>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changes were made to the Annual Plan target opportunities for executive officers in 2023, as it is believed the threshold, target, and maximum opportunity levels remain appropriate. The foregoing payout opportunities are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7"/>
          <w:szCs w:val="17"/>
          <w:color w:val="auto"/>
        </w:rPr>
        <w:t>multiplied by the weighting factor of a particular performance metric to determine the amounts of cash bonuses payable to officers to the extent the threshold, target, or maximum for a performance metric is met or exceeded. To the extent performance exceeds the established threshold or target, as applicable, for any performance metric, but does not meet or exceed the established target or maximum, as applicable, linear interpolation is used to determine the pro rata portion of the performance bonus. The Compensation Committee also has discretion to increase (or decrease) such performance-based bonuses using its judgment, provided that bonuses are not in any event to exceed 250% of the applicable base salary.</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Since its inception in 2019, the Annual Plan uses the same three key performance metrics and weighting: Revenue (weighted 33.33%), Operating Income (weighted 33.33%) and Earnings per Diluted Share (33.33%) since such metrics are not only appropriate measures of performance, but also align with the Company's overall business strategy.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2022, target performance and actual results for the performance metrics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Performance Metric</w:t>
            </w:r>
          </w:p>
        </w:tc>
        <w:tc>
          <w:tcPr>
            <w:tcW w:w="17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Weight</w:t>
            </w:r>
          </w:p>
        </w:tc>
        <w:tc>
          <w:tcPr>
            <w:tcW w:w="19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b w:val="1"/>
                <w:bCs w:val="1"/>
                <w:color w:val="auto"/>
              </w:rPr>
              <w:t>Threshold*</w:t>
            </w:r>
          </w:p>
        </w:tc>
        <w:tc>
          <w:tcPr>
            <w:tcW w:w="1800" w:type="dxa"/>
            <w:vAlign w:val="bottom"/>
            <w:tcBorders>
              <w:bottom w:val="single" w:sz="8" w:color="auto"/>
            </w:tcBorders>
          </w:tcPr>
          <w:p>
            <w:pPr>
              <w:jc w:val="right"/>
              <w:ind w:right="880"/>
              <w:spacing w:after="0"/>
              <w:rPr>
                <w:sz w:val="20"/>
                <w:szCs w:val="20"/>
                <w:color w:val="auto"/>
              </w:rPr>
            </w:pPr>
            <w:r>
              <w:rPr>
                <w:rFonts w:ascii="Arial" w:cs="Arial" w:eastAsia="Arial" w:hAnsi="Arial"/>
                <w:sz w:val="13"/>
                <w:szCs w:val="13"/>
                <w:b w:val="1"/>
                <w:bCs w:val="1"/>
                <w:color w:val="auto"/>
              </w:rPr>
              <w:t>Target*</w:t>
            </w:r>
          </w:p>
        </w:tc>
        <w:tc>
          <w:tcPr>
            <w:tcW w:w="14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Maximum*</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Actual Performance*</w:t>
            </w:r>
          </w:p>
        </w:tc>
      </w:tr>
      <w:tr>
        <w:trPr>
          <w:trHeight w:val="207"/>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7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$1,457,429</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$1,943,238</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$2,429,048</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$1,918,958</w:t>
            </w:r>
          </w:p>
        </w:tc>
      </w:tr>
      <w:tr>
        <w:trPr>
          <w:trHeight w:val="214"/>
        </w:trPr>
        <w:tc>
          <w:tcPr>
            <w:tcW w:w="29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720" w:type="dxa"/>
            <w:vAlign w:val="bottom"/>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tcPr>
          <w:p>
            <w:pPr>
              <w:jc w:val="right"/>
              <w:ind w:right="320"/>
              <w:spacing w:after="0"/>
              <w:rPr>
                <w:sz w:val="20"/>
                <w:szCs w:val="20"/>
                <w:color w:val="auto"/>
              </w:rPr>
            </w:pPr>
            <w:r>
              <w:rPr>
                <w:rFonts w:ascii="Arial" w:cs="Arial" w:eastAsia="Arial" w:hAnsi="Arial"/>
                <w:sz w:val="17"/>
                <w:szCs w:val="17"/>
                <w:color w:val="auto"/>
              </w:rPr>
              <w:t>$341,138</w:t>
            </w:r>
          </w:p>
        </w:tc>
        <w:tc>
          <w:tcPr>
            <w:tcW w:w="1800" w:type="dxa"/>
            <w:vAlign w:val="bottom"/>
          </w:tcPr>
          <w:p>
            <w:pPr>
              <w:jc w:val="right"/>
              <w:ind w:right="140"/>
              <w:spacing w:after="0"/>
              <w:rPr>
                <w:sz w:val="20"/>
                <w:szCs w:val="20"/>
                <w:color w:val="auto"/>
              </w:rPr>
            </w:pPr>
            <w:r>
              <w:rPr>
                <w:rFonts w:ascii="Arial" w:cs="Arial" w:eastAsia="Arial" w:hAnsi="Arial"/>
                <w:sz w:val="17"/>
                <w:szCs w:val="17"/>
                <w:color w:val="auto"/>
              </w:rPr>
              <w:t>$454,850</w:t>
            </w:r>
          </w:p>
        </w:tc>
        <w:tc>
          <w:tcPr>
            <w:tcW w:w="1420" w:type="dxa"/>
            <w:vAlign w:val="bottom"/>
          </w:tcPr>
          <w:p>
            <w:pPr>
              <w:jc w:val="right"/>
              <w:spacing w:after="0"/>
              <w:rPr>
                <w:sz w:val="20"/>
                <w:szCs w:val="20"/>
                <w:color w:val="auto"/>
              </w:rPr>
            </w:pPr>
            <w:r>
              <w:rPr>
                <w:rFonts w:ascii="Arial" w:cs="Arial" w:eastAsia="Arial" w:hAnsi="Arial"/>
                <w:sz w:val="17"/>
                <w:szCs w:val="17"/>
                <w:color w:val="auto"/>
              </w:rPr>
              <w:t>$568,563</w:t>
            </w:r>
          </w:p>
        </w:tc>
        <w:tc>
          <w:tcPr>
            <w:tcW w:w="1500" w:type="dxa"/>
            <w:vAlign w:val="bottom"/>
          </w:tcPr>
          <w:p>
            <w:pPr>
              <w:jc w:val="right"/>
              <w:spacing w:after="0"/>
              <w:rPr>
                <w:sz w:val="20"/>
                <w:szCs w:val="20"/>
                <w:color w:val="auto"/>
              </w:rPr>
            </w:pPr>
            <w:r>
              <w:rPr>
                <w:rFonts w:ascii="Arial" w:cs="Arial" w:eastAsia="Arial" w:hAnsi="Arial"/>
                <w:sz w:val="17"/>
                <w:szCs w:val="17"/>
                <w:color w:val="auto"/>
              </w:rPr>
              <w:t>$370,006</w:t>
            </w:r>
          </w:p>
        </w:tc>
      </w:tr>
      <w:tr>
        <w:trPr>
          <w:trHeight w:val="214"/>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Diluted Share</w:t>
            </w:r>
          </w:p>
        </w:tc>
        <w:tc>
          <w:tcPr>
            <w:tcW w:w="17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$1.22</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$1.63</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Amounts in thousands (000) except for per share amounts.</w:t>
      </w:r>
    </w:p>
    <w:p>
      <w:pPr>
        <w:spacing w:after="0" w:line="3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actual Revenue, Operating Income, and Earnings per Diluted Share results compared to the targets and performance of the named executive officers, the payments for 2022 under the Annual Plan are shown in the table below:</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000" w:type="dxa"/>
            <w:vAlign w:val="bottom"/>
            <w:vMerge w:val="restart"/>
          </w:tcPr>
          <w:p>
            <w:pPr>
              <w:ind w:left="3160"/>
              <w:spacing w:after="0"/>
              <w:rPr>
                <w:sz w:val="20"/>
                <w:szCs w:val="20"/>
                <w:color w:val="auto"/>
              </w:rPr>
            </w:pPr>
            <w:r>
              <w:rPr>
                <w:rFonts w:ascii="Arial" w:cs="Arial" w:eastAsia="Arial" w:hAnsi="Arial"/>
                <w:sz w:val="13"/>
                <w:szCs w:val="13"/>
                <w:b w:val="1"/>
                <w:bCs w:val="1"/>
                <w:color w:val="auto"/>
              </w:rPr>
              <w:t>Executive Officer</w:t>
            </w:r>
          </w:p>
        </w:tc>
        <w:tc>
          <w:tcPr>
            <w:tcW w:w="3460" w:type="dxa"/>
            <w:vAlign w:val="bottom"/>
          </w:tcPr>
          <w:p>
            <w:pPr>
              <w:jc w:val="right"/>
              <w:ind w:right="461"/>
              <w:spacing w:after="0"/>
              <w:rPr>
                <w:sz w:val="20"/>
                <w:szCs w:val="20"/>
                <w:color w:val="auto"/>
              </w:rPr>
            </w:pPr>
            <w:r>
              <w:rPr>
                <w:rFonts w:ascii="Arial" w:cs="Arial" w:eastAsia="Arial" w:hAnsi="Arial"/>
                <w:sz w:val="13"/>
                <w:szCs w:val="13"/>
                <w:b w:val="1"/>
                <w:bCs w:val="1"/>
                <w:color w:val="auto"/>
              </w:rPr>
              <w:t>2022 Annual Plan</w:t>
            </w:r>
          </w:p>
        </w:tc>
        <w:tc>
          <w:tcPr>
            <w:tcW w:w="1760" w:type="dxa"/>
            <w:vAlign w:val="bottom"/>
          </w:tcPr>
          <w:p>
            <w:pPr>
              <w:jc w:val="right"/>
              <w:ind w:right="321"/>
              <w:spacing w:after="0"/>
              <w:rPr>
                <w:sz w:val="20"/>
                <w:szCs w:val="20"/>
                <w:color w:val="auto"/>
              </w:rPr>
            </w:pPr>
            <w:r>
              <w:rPr>
                <w:rFonts w:ascii="Arial" w:cs="Arial" w:eastAsia="Arial" w:hAnsi="Arial"/>
                <w:sz w:val="13"/>
                <w:szCs w:val="13"/>
                <w:b w:val="1"/>
                <w:bCs w:val="1"/>
                <w:color w:val="auto"/>
              </w:rPr>
              <w:t>2022 Annual Plan</w:t>
            </w:r>
          </w:p>
        </w:tc>
        <w:tc>
          <w:tcPr>
            <w:tcW w:w="0" w:type="dxa"/>
            <w:vAlign w:val="bottom"/>
          </w:tcPr>
          <w:p>
            <w:pPr>
              <w:spacing w:after="0"/>
              <w:rPr>
                <w:sz w:val="1"/>
                <w:szCs w:val="1"/>
                <w:color w:val="auto"/>
              </w:rPr>
            </w:pPr>
          </w:p>
        </w:tc>
      </w:tr>
      <w:tr>
        <w:trPr>
          <w:trHeight w:val="173"/>
        </w:trPr>
        <w:tc>
          <w:tcPr>
            <w:tcW w:w="6000" w:type="dxa"/>
            <w:vAlign w:val="bottom"/>
            <w:tcBorders>
              <w:bottom w:val="single" w:sz="8" w:color="auto"/>
            </w:tcBorders>
            <w:vMerge w:val="continue"/>
          </w:tcPr>
          <w:p>
            <w:pPr>
              <w:spacing w:after="0"/>
              <w:rPr>
                <w:sz w:val="15"/>
                <w:szCs w:val="15"/>
                <w:color w:val="auto"/>
              </w:rPr>
            </w:pPr>
          </w:p>
        </w:tc>
        <w:tc>
          <w:tcPr>
            <w:tcW w:w="34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Performance Bonus</w:t>
            </w:r>
          </w:p>
        </w:tc>
        <w:tc>
          <w:tcPr>
            <w:tcW w:w="17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Discretionary Bonus</w:t>
            </w: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$604,720</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460" w:type="dxa"/>
            <w:vAlign w:val="bottom"/>
          </w:tcPr>
          <w:p>
            <w:pPr>
              <w:jc w:val="right"/>
              <w:ind w:right="81"/>
              <w:spacing w:after="0"/>
              <w:rPr>
                <w:sz w:val="20"/>
                <w:szCs w:val="20"/>
                <w:color w:val="auto"/>
              </w:rPr>
            </w:pPr>
            <w:r>
              <w:rPr>
                <w:rFonts w:ascii="Arial" w:cs="Arial" w:eastAsia="Arial" w:hAnsi="Arial"/>
                <w:sz w:val="17"/>
                <w:szCs w:val="17"/>
                <w:color w:val="auto"/>
              </w:rPr>
              <w:t>$269,289</w:t>
            </w:r>
          </w:p>
        </w:tc>
        <w:tc>
          <w:tcPr>
            <w:tcW w:w="1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$269,289</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460" w:type="dxa"/>
            <w:vAlign w:val="bottom"/>
          </w:tcPr>
          <w:p>
            <w:pPr>
              <w:jc w:val="right"/>
              <w:ind w:right="81"/>
              <w:spacing w:after="0"/>
              <w:rPr>
                <w:sz w:val="20"/>
                <w:szCs w:val="20"/>
                <w:color w:val="auto"/>
              </w:rPr>
            </w:pPr>
            <w:r>
              <w:rPr>
                <w:rFonts w:ascii="Arial" w:cs="Arial" w:eastAsia="Arial" w:hAnsi="Arial"/>
                <w:sz w:val="17"/>
                <w:szCs w:val="17"/>
                <w:color w:val="auto"/>
              </w:rPr>
              <w:t>$235,274</w:t>
            </w:r>
          </w:p>
        </w:tc>
        <w:tc>
          <w:tcPr>
            <w:tcW w:w="1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$212,597</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These Annual Plan results appropriately reflect management's excellent work in addressing the ongoing impacts stemming from the ongoing pandemic supply chain shortages, especially electronics components, as well as labor disruptions and significant volatility within customer orders. Were it not for management's leadership in redesigning products to allow more customer demand to be met notwithstanding the parts shortages and labor market constraints, more revenue would have been lost in 2022. For 2023, the Compensation Committee has established targets for Revenue, Operating Income, and Earnings per Diluted Share for the Annual Plan performance metrics as it has done in the past, and consistent with 2022 is using ± 25% of target in 2023for determining thresholds and maximums and is not making any adjustments for tariffs.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2019 Omnibus Incentive Plan and Long-Term Incentive Program</w:t>
      </w: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2019 Omnibus Incentive Plan ("OIP") has been approved by shareholders. Pursuant to the 2019 OIP, the Company implemented the Long-Term Incentive Plan (the "Long-Term Plan"). The Long-Term Plan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5" w:name="page36"/>
    <w:bookmarkEnd w:id="35"/>
    <w:p>
      <w:pPr>
        <w:jc w:val="both"/>
        <w:spacing w:after="0" w:line="278" w:lineRule="auto"/>
        <w:rPr>
          <w:sz w:val="20"/>
          <w:szCs w:val="20"/>
          <w:color w:val="auto"/>
        </w:rPr>
      </w:pPr>
      <w:r>
        <w:rPr>
          <w:rFonts w:ascii="Arial" w:cs="Arial" w:eastAsia="Arial" w:hAnsi="Arial"/>
          <w:sz w:val="17"/>
          <w:szCs w:val="17"/>
          <w:color w:val="auto"/>
        </w:rPr>
        <w:t>provides officers, including our named executive officers, with incentive awards that serve an important role by balancing other applicable short-term goals with longer term shareholder value creation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while minimizing risk-taking behaviors that could negatively affect long-term results.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of Directors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2023-2025 performance period under the Long-Term Incentive Plan:</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3980" w:type="dxa"/>
            <w:vAlign w:val="bottom"/>
          </w:tcPr>
          <w:p>
            <w:pPr>
              <w:jc w:val="center"/>
              <w:ind w:left="1862"/>
              <w:spacing w:after="0"/>
              <w:rPr>
                <w:sz w:val="20"/>
                <w:szCs w:val="20"/>
                <w:color w:val="auto"/>
              </w:rPr>
            </w:pPr>
            <w:r>
              <w:rPr>
                <w:rFonts w:ascii="Arial" w:cs="Arial" w:eastAsia="Arial" w:hAnsi="Arial"/>
                <w:sz w:val="13"/>
                <w:szCs w:val="13"/>
                <w:b w:val="1"/>
                <w:bCs w:val="1"/>
                <w:color w:val="auto"/>
              </w:rPr>
              <w:t>Long-Term Plan Target</w:t>
            </w:r>
          </w:p>
        </w:tc>
        <w:tc>
          <w:tcPr>
            <w:tcW w:w="0" w:type="dxa"/>
            <w:vAlign w:val="bottom"/>
          </w:tcPr>
          <w:p>
            <w:pPr>
              <w:spacing w:after="0"/>
              <w:rPr>
                <w:sz w:val="1"/>
                <w:szCs w:val="1"/>
                <w:color w:val="auto"/>
              </w:rPr>
            </w:pPr>
          </w:p>
        </w:tc>
      </w:tr>
      <w:tr>
        <w:trPr>
          <w:trHeight w:val="135"/>
        </w:trPr>
        <w:tc>
          <w:tcPr>
            <w:tcW w:w="7240" w:type="dxa"/>
            <w:vAlign w:val="bottom"/>
            <w:vMerge w:val="restart"/>
          </w:tcPr>
          <w:p>
            <w:pPr>
              <w:ind w:left="4040"/>
              <w:spacing w:after="0"/>
              <w:rPr>
                <w:sz w:val="20"/>
                <w:szCs w:val="20"/>
                <w:color w:val="auto"/>
              </w:rPr>
            </w:pPr>
            <w:r>
              <w:rPr>
                <w:rFonts w:ascii="Arial" w:cs="Arial" w:eastAsia="Arial" w:hAnsi="Arial"/>
                <w:sz w:val="13"/>
                <w:szCs w:val="13"/>
                <w:b w:val="1"/>
                <w:bCs w:val="1"/>
                <w:color w:val="auto"/>
              </w:rPr>
              <w:t>Executive Officer</w:t>
            </w:r>
          </w:p>
        </w:tc>
        <w:tc>
          <w:tcPr>
            <w:tcW w:w="3980" w:type="dxa"/>
            <w:vAlign w:val="bottom"/>
          </w:tcPr>
          <w:p>
            <w:pPr>
              <w:jc w:val="center"/>
              <w:ind w:left="1862"/>
              <w:spacing w:after="0" w:line="136" w:lineRule="exact"/>
              <w:rPr>
                <w:sz w:val="20"/>
                <w:szCs w:val="20"/>
                <w:color w:val="auto"/>
              </w:rPr>
            </w:pPr>
            <w:r>
              <w:rPr>
                <w:rFonts w:ascii="Arial" w:cs="Arial" w:eastAsia="Arial" w:hAnsi="Arial"/>
                <w:sz w:val="13"/>
                <w:szCs w:val="13"/>
                <w:b w:val="1"/>
                <w:bCs w:val="1"/>
                <w:color w:val="auto"/>
              </w:rPr>
              <w:t>Opportunity Percentage of</w:t>
            </w:r>
          </w:p>
        </w:tc>
        <w:tc>
          <w:tcPr>
            <w:tcW w:w="0" w:type="dxa"/>
            <w:vAlign w:val="bottom"/>
          </w:tcPr>
          <w:p>
            <w:pPr>
              <w:spacing w:after="0"/>
              <w:rPr>
                <w:sz w:val="1"/>
                <w:szCs w:val="1"/>
                <w:color w:val="auto"/>
              </w:rPr>
            </w:pPr>
          </w:p>
        </w:tc>
      </w:tr>
      <w:tr>
        <w:trPr>
          <w:trHeight w:val="176"/>
        </w:trPr>
        <w:tc>
          <w:tcPr>
            <w:tcW w:w="7240" w:type="dxa"/>
            <w:vAlign w:val="bottom"/>
            <w:tcBorders>
              <w:bottom w:val="single" w:sz="8" w:color="auto"/>
            </w:tcBorders>
            <w:vMerge w:val="continue"/>
          </w:tcPr>
          <w:p>
            <w:pPr>
              <w:spacing w:after="0"/>
              <w:rPr>
                <w:sz w:val="15"/>
                <w:szCs w:val="15"/>
                <w:color w:val="auto"/>
              </w:rPr>
            </w:pPr>
          </w:p>
        </w:tc>
        <w:tc>
          <w:tcPr>
            <w:tcW w:w="3980" w:type="dxa"/>
            <w:vAlign w:val="bottom"/>
            <w:tcBorders>
              <w:bottom w:val="single" w:sz="8" w:color="auto"/>
            </w:tcBorders>
          </w:tcPr>
          <w:p>
            <w:pPr>
              <w:jc w:val="center"/>
              <w:ind w:left="1862"/>
              <w:spacing w:after="0"/>
              <w:rPr>
                <w:sz w:val="20"/>
                <w:szCs w:val="20"/>
                <w:color w:val="auto"/>
              </w:rPr>
            </w:pPr>
            <w:r>
              <w:rPr>
                <w:rFonts w:ascii="Arial" w:cs="Arial" w:eastAsia="Arial" w:hAnsi="Arial"/>
                <w:sz w:val="13"/>
                <w:szCs w:val="13"/>
                <w:b w:val="1"/>
                <w:bCs w:val="1"/>
                <w:color w:val="auto"/>
              </w:rPr>
              <w:t>Base Salary for 2023-2025</w:t>
            </w:r>
          </w:p>
        </w:tc>
        <w:tc>
          <w:tcPr>
            <w:tcW w:w="0" w:type="dxa"/>
            <w:vAlign w:val="bottom"/>
          </w:tcPr>
          <w:p>
            <w:pPr>
              <w:spacing w:after="0"/>
              <w:rPr>
                <w:sz w:val="1"/>
                <w:szCs w:val="1"/>
                <w:color w:val="auto"/>
              </w:rPr>
            </w:pPr>
          </w:p>
        </w:tc>
      </w:tr>
      <w:tr>
        <w:trPr>
          <w:trHeight w:val="206"/>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365 %</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980" w:type="dxa"/>
            <w:vAlign w:val="bottom"/>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980" w:type="dxa"/>
            <w:vAlign w:val="bottom"/>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These Long-Term Plan Target Opportunity Percentages of Base Salary for 2023 - 2025 remain the same as those applicable for 2022 - 2024.</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Achievement at threshold performance yields 50% of the target award and achievement of the maximum performance yields another 100% of the target award. To the extent performance exceeds the established threshold or target, as applicable, for an applicable performance objective, but does not meet or exceed the established target or maximum, as applicable, linear interpolation is used to determine the pro rata portion of such award.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Shares for 2023-2025 Performance Period</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and calculated as determined by the Compensation Committee. Each performance objective is based on a three-year performance period (2023-2025) with a performance range that can result in PSAs of 0% for failure to achieve threshold, 50% of target for achieving threshold, to 200% of the target opportunity for achieving maximum. The targets for EBITDA and ROIC for 2022-2024 were established by the Compensation Committee as it has done in the past. For the 2023-2025 performance period, ± 25% of target is being used for determining thresholds and maximums, which is consistent with 2022.</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shareholders. The target opportunities of PSAs awarded in 2023 for the named executive officers are shown in the table below:</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980" w:type="dxa"/>
            <w:vAlign w:val="bottom"/>
          </w:tcPr>
          <w:p>
            <w:pPr>
              <w:jc w:val="right"/>
              <w:spacing w:after="0"/>
              <w:rPr>
                <w:sz w:val="20"/>
                <w:szCs w:val="20"/>
                <w:color w:val="auto"/>
              </w:rPr>
            </w:pPr>
            <w:r>
              <w:rPr>
                <w:rFonts w:ascii="Arial" w:cs="Arial" w:eastAsia="Arial" w:hAnsi="Arial"/>
                <w:sz w:val="13"/>
                <w:szCs w:val="13"/>
                <w:b w:val="1"/>
                <w:bCs w:val="1"/>
                <w:color w:val="auto"/>
              </w:rPr>
              <w:t>Number of PSAs Awarded in</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auto"/>
            </w:tcBorders>
            <w:vMerge w:val="continue"/>
          </w:tcPr>
          <w:p>
            <w:pPr>
              <w:spacing w:after="0"/>
              <w:rPr>
                <w:sz w:val="15"/>
                <w:szCs w:val="15"/>
                <w:color w:val="auto"/>
              </w:rPr>
            </w:pPr>
          </w:p>
        </w:tc>
        <w:tc>
          <w:tcPr>
            <w:tcW w:w="59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2023 (Target) for 2023-2025</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75,018</w:t>
            </w:r>
          </w:p>
        </w:tc>
        <w:tc>
          <w:tcPr>
            <w:tcW w:w="0" w:type="dxa"/>
            <w:vAlign w:val="bottom"/>
          </w:tcPr>
          <w:p>
            <w:pPr>
              <w:spacing w:after="0"/>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980" w:type="dxa"/>
            <w:vAlign w:val="bottom"/>
          </w:tcPr>
          <w:p>
            <w:pPr>
              <w:jc w:val="right"/>
              <w:ind w:right="1"/>
              <w:spacing w:after="0"/>
              <w:rPr>
                <w:sz w:val="20"/>
                <w:szCs w:val="20"/>
                <w:color w:val="auto"/>
              </w:rPr>
            </w:pPr>
            <w:r>
              <w:rPr>
                <w:rFonts w:ascii="Arial" w:cs="Arial" w:eastAsia="Arial" w:hAnsi="Arial"/>
                <w:sz w:val="17"/>
                <w:szCs w:val="17"/>
                <w:color w:val="auto"/>
              </w:rPr>
              <w:t>19,302</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23,038</w:t>
            </w:r>
          </w:p>
        </w:tc>
        <w:tc>
          <w:tcPr>
            <w:tcW w:w="0" w:type="dxa"/>
            <w:vAlign w:val="bottom"/>
          </w:tcPr>
          <w:p>
            <w:pPr>
              <w:spacing w:after="0"/>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980" w:type="dxa"/>
            <w:vAlign w:val="bottom"/>
          </w:tcPr>
          <w:p>
            <w:pPr>
              <w:jc w:val="right"/>
              <w:ind w:right="1"/>
              <w:spacing w:after="0"/>
              <w:rPr>
                <w:sz w:val="20"/>
                <w:szCs w:val="20"/>
                <w:color w:val="auto"/>
              </w:rPr>
            </w:pPr>
            <w:r>
              <w:rPr>
                <w:rFonts w:ascii="Arial" w:cs="Arial" w:eastAsia="Arial" w:hAnsi="Arial"/>
                <w:sz w:val="17"/>
                <w:szCs w:val="17"/>
                <w:color w:val="auto"/>
              </w:rPr>
              <w:t>17,053</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15,554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 Awards for 2023-2025 Performance Period</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2023, based on the target opportunities, for the named executive officers are shown in the table below:</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880" w:type="dxa"/>
            <w:vAlign w:val="bottom"/>
          </w:tcPr>
          <w:p>
            <w:pPr>
              <w:jc w:val="right"/>
              <w:ind w:right="21"/>
              <w:spacing w:after="0"/>
              <w:rPr>
                <w:sz w:val="20"/>
                <w:szCs w:val="20"/>
                <w:color w:val="auto"/>
              </w:rPr>
            </w:pPr>
            <w:r>
              <w:rPr>
                <w:rFonts w:ascii="Arial" w:cs="Arial" w:eastAsia="Arial" w:hAnsi="Arial"/>
                <w:sz w:val="13"/>
                <w:szCs w:val="13"/>
                <w:b w:val="1"/>
                <w:bCs w:val="1"/>
                <w:color w:val="auto"/>
              </w:rPr>
              <w:t>Number of RS Awarded in</w:t>
            </w:r>
          </w:p>
        </w:tc>
        <w:tc>
          <w:tcPr>
            <w:tcW w:w="0" w:type="dxa"/>
            <w:vAlign w:val="bottom"/>
          </w:tcPr>
          <w:p>
            <w:pPr>
              <w:spacing w:after="0"/>
              <w:rPr>
                <w:sz w:val="1"/>
                <w:szCs w:val="1"/>
                <w:color w:val="auto"/>
              </w:rPr>
            </w:pPr>
          </w:p>
        </w:tc>
      </w:tr>
      <w:tr>
        <w:trPr>
          <w:trHeight w:val="176"/>
        </w:trPr>
        <w:tc>
          <w:tcPr>
            <w:tcW w:w="5280" w:type="dxa"/>
            <w:vAlign w:val="bottom"/>
            <w:tcBorders>
              <w:bottom w:val="single" w:sz="8" w:color="auto"/>
            </w:tcBorders>
            <w:vMerge w:val="continue"/>
          </w:tcPr>
          <w:p>
            <w:pPr>
              <w:spacing w:after="0"/>
              <w:rPr>
                <w:sz w:val="15"/>
                <w:szCs w:val="15"/>
                <w:color w:val="auto"/>
              </w:rPr>
            </w:pPr>
          </w:p>
        </w:tc>
        <w:tc>
          <w:tcPr>
            <w:tcW w:w="588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2022 for 2023-2025</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32,151</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880" w:type="dxa"/>
            <w:vAlign w:val="bottom"/>
          </w:tcPr>
          <w:p>
            <w:pPr>
              <w:jc w:val="right"/>
              <w:spacing w:after="0"/>
              <w:rPr>
                <w:sz w:val="20"/>
                <w:szCs w:val="20"/>
                <w:color w:val="auto"/>
              </w:rPr>
            </w:pPr>
            <w:r>
              <w:rPr>
                <w:rFonts w:ascii="Arial" w:cs="Arial" w:eastAsia="Arial" w:hAnsi="Arial"/>
                <w:sz w:val="17"/>
                <w:szCs w:val="17"/>
                <w:color w:val="auto"/>
              </w:rPr>
              <w:t>8,273</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9,874</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880" w:type="dxa"/>
            <w:vAlign w:val="bottom"/>
          </w:tcPr>
          <w:p>
            <w:pPr>
              <w:jc w:val="right"/>
              <w:spacing w:after="0"/>
              <w:rPr>
                <w:sz w:val="20"/>
                <w:szCs w:val="20"/>
                <w:color w:val="auto"/>
              </w:rPr>
            </w:pPr>
            <w:r>
              <w:rPr>
                <w:rFonts w:ascii="Arial" w:cs="Arial" w:eastAsia="Arial" w:hAnsi="Arial"/>
                <w:sz w:val="17"/>
                <w:szCs w:val="17"/>
                <w:color w:val="auto"/>
              </w:rPr>
              <w:t>7,309</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6,666</w:t>
            </w:r>
          </w:p>
        </w:tc>
        <w:tc>
          <w:tcPr>
            <w:tcW w:w="0" w:type="dxa"/>
            <w:vAlign w:val="bottom"/>
          </w:tcPr>
          <w:p>
            <w:pPr>
              <w:spacing w:after="0"/>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Retention Grant</w:t>
      </w:r>
    </w:p>
    <w:p>
      <w:pPr>
        <w:spacing w:after="0" w:line="22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part of its objective of attracting and retaining management to fulfil the Company's strategic goals, the Compensation Committee recommended and the Board approved on February 16, 2023, a retention grant of PSAs. In addition to the retention of management, the PSA's have been granted to</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peer group. Achievement levels vary from 50% to 200% of granted PSA's, for relative TSR between 0 and the 100th Percentile of relative TSR as disclosed in the below table. In addition to requiring achievement of performance objectives in respect of PSAs, this grant also requires the executive</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officers to remain employed with the Company for four years from the grant date (unless the executive officer attains retirement age, departs for good reason, dies, or becomes disabled or a change in control occurs whereby an award may be paid or partially paid).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Relative TSR Criteria</w:t>
            </w:r>
          </w:p>
        </w:tc>
        <w:tc>
          <w:tcPr>
            <w:tcW w:w="57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Achievement Level of Award</w:t>
            </w: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0 - 25th percentile</w:t>
            </w:r>
          </w:p>
        </w:tc>
        <w:tc>
          <w:tcPr>
            <w:tcW w:w="5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r>
      <w:tr>
        <w:trPr>
          <w:trHeight w:val="214"/>
        </w:trPr>
        <w:tc>
          <w:tcPr>
            <w:tcW w:w="5440" w:type="dxa"/>
            <w:vAlign w:val="bottom"/>
          </w:tcPr>
          <w:p>
            <w:pPr>
              <w:ind w:left="20"/>
              <w:spacing w:after="0"/>
              <w:rPr>
                <w:sz w:val="20"/>
                <w:szCs w:val="20"/>
                <w:color w:val="auto"/>
              </w:rPr>
            </w:pPr>
            <w:r>
              <w:rPr>
                <w:rFonts w:ascii="Arial" w:cs="Arial" w:eastAsia="Arial" w:hAnsi="Arial"/>
                <w:sz w:val="17"/>
                <w:szCs w:val="17"/>
                <w:color w:val="auto"/>
              </w:rPr>
              <w:t>25 - 50th percentile</w:t>
            </w:r>
          </w:p>
        </w:tc>
        <w:tc>
          <w:tcPr>
            <w:tcW w:w="574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14"/>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50 - 75th percentile</w:t>
            </w:r>
          </w:p>
        </w:tc>
        <w:tc>
          <w:tcPr>
            <w:tcW w:w="5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150 %</w:t>
            </w:r>
          </w:p>
        </w:tc>
      </w:tr>
      <w:tr>
        <w:trPr>
          <w:trHeight w:val="222"/>
        </w:trPr>
        <w:tc>
          <w:tcPr>
            <w:tcW w:w="5440" w:type="dxa"/>
            <w:vAlign w:val="bottom"/>
          </w:tcPr>
          <w:p>
            <w:pPr>
              <w:ind w:left="20"/>
              <w:spacing w:after="0"/>
              <w:rPr>
                <w:sz w:val="20"/>
                <w:szCs w:val="20"/>
                <w:color w:val="auto"/>
              </w:rPr>
            </w:pPr>
            <w:r>
              <w:rPr>
                <w:rFonts w:ascii="Arial" w:cs="Arial" w:eastAsia="Arial" w:hAnsi="Arial"/>
                <w:sz w:val="17"/>
                <w:szCs w:val="17"/>
                <w:color w:val="auto"/>
              </w:rPr>
              <w:t>Above 75th percentile</w:t>
            </w:r>
          </w:p>
        </w:tc>
        <w:tc>
          <w:tcPr>
            <w:tcW w:w="5740" w:type="dxa"/>
            <w:vAlign w:val="bottom"/>
          </w:tcPr>
          <w:p>
            <w:pPr>
              <w:jc w:val="right"/>
              <w:spacing w:after="0"/>
              <w:rPr>
                <w:sz w:val="20"/>
                <w:szCs w:val="20"/>
                <w:color w:val="auto"/>
              </w:rPr>
            </w:pPr>
            <w:r>
              <w:rPr>
                <w:rFonts w:ascii="Arial" w:cs="Arial" w:eastAsia="Arial" w:hAnsi="Arial"/>
                <w:sz w:val="17"/>
                <w:szCs w:val="17"/>
                <w:color w:val="auto"/>
              </w:rPr>
              <w:t>200 %</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Retention grant of PSA's for the named officers are shown in the table below: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5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920" w:type="dxa"/>
            <w:vAlign w:val="bottom"/>
          </w:tcPr>
          <w:p>
            <w:pPr>
              <w:jc w:val="right"/>
              <w:ind w:right="21"/>
              <w:spacing w:after="0"/>
              <w:rPr>
                <w:sz w:val="20"/>
                <w:szCs w:val="20"/>
                <w:color w:val="auto"/>
              </w:rPr>
            </w:pPr>
            <w:r>
              <w:rPr>
                <w:rFonts w:ascii="Arial" w:cs="Arial" w:eastAsia="Arial" w:hAnsi="Arial"/>
                <w:sz w:val="13"/>
                <w:szCs w:val="13"/>
                <w:b w:val="1"/>
                <w:bCs w:val="1"/>
                <w:color w:val="auto"/>
              </w:rPr>
              <w:t>Retention PSA Awarded in</w:t>
            </w:r>
          </w:p>
        </w:tc>
        <w:tc>
          <w:tcPr>
            <w:tcW w:w="0" w:type="dxa"/>
            <w:vAlign w:val="bottom"/>
          </w:tcPr>
          <w:p>
            <w:pPr>
              <w:spacing w:after="0"/>
              <w:rPr>
                <w:sz w:val="1"/>
                <w:szCs w:val="1"/>
                <w:color w:val="auto"/>
              </w:rPr>
            </w:pPr>
          </w:p>
        </w:tc>
      </w:tr>
      <w:tr>
        <w:trPr>
          <w:trHeight w:val="173"/>
        </w:trPr>
        <w:tc>
          <w:tcPr>
            <w:tcW w:w="5260" w:type="dxa"/>
            <w:vAlign w:val="bottom"/>
            <w:tcBorders>
              <w:bottom w:val="single" w:sz="8" w:color="auto"/>
            </w:tcBorders>
            <w:vMerge w:val="continue"/>
          </w:tcPr>
          <w:p>
            <w:pPr>
              <w:spacing w:after="0"/>
              <w:rPr>
                <w:sz w:val="15"/>
                <w:szCs w:val="15"/>
                <w:color w:val="auto"/>
              </w:rPr>
            </w:pPr>
          </w:p>
        </w:tc>
        <w:tc>
          <w:tcPr>
            <w:tcW w:w="5920" w:type="dxa"/>
            <w:vAlign w:val="bottom"/>
            <w:tcBorders>
              <w:bottom w:val="single" w:sz="8" w:color="auto"/>
            </w:tcBorders>
          </w:tcPr>
          <w:p>
            <w:pPr>
              <w:jc w:val="right"/>
              <w:ind w:right="721"/>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9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29,361</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920" w:type="dxa"/>
            <w:vAlign w:val="bottom"/>
          </w:tcPr>
          <w:p>
            <w:pPr>
              <w:jc w:val="right"/>
              <w:ind w:right="1"/>
              <w:spacing w:after="0"/>
              <w:rPr>
                <w:sz w:val="20"/>
                <w:szCs w:val="20"/>
                <w:color w:val="auto"/>
              </w:rPr>
            </w:pPr>
            <w:r>
              <w:rPr>
                <w:rFonts w:ascii="Arial" w:cs="Arial" w:eastAsia="Arial" w:hAnsi="Arial"/>
                <w:sz w:val="17"/>
                <w:szCs w:val="17"/>
                <w:color w:val="auto"/>
              </w:rPr>
              <w:t>17,790</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9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17,790</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920" w:type="dxa"/>
            <w:vAlign w:val="bottom"/>
          </w:tcPr>
          <w:p>
            <w:pPr>
              <w:jc w:val="right"/>
              <w:ind w:right="1"/>
              <w:spacing w:after="0"/>
              <w:rPr>
                <w:sz w:val="20"/>
                <w:szCs w:val="20"/>
                <w:color w:val="auto"/>
              </w:rPr>
            </w:pPr>
            <w:r>
              <w:rPr>
                <w:rFonts w:ascii="Arial" w:cs="Arial" w:eastAsia="Arial" w:hAnsi="Arial"/>
                <w:sz w:val="17"/>
                <w:szCs w:val="17"/>
                <w:color w:val="auto"/>
              </w:rPr>
              <w:t>15,717</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9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14,336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2020-2022 Long-Term Plan Performance (three-year performance period ending December 31, 2022)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marked the end of the three-year performance period for PSA and RS Long-Term Plan awards made in February 2020.</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Share Awards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performance metrics, targets and performance payout ranges for these awards were set and approved by the Compensation Committee and the Board in February 2020. Consistent with the Long-Term Plan, incentive could be earned by the officers based on performance associated with two equally weighted metrics, EBITDA and ROIC, in each case adjusted as determined by the Compensation Committee, both measured cumulatively over the three-year performance period. The target levels of achievement for the EBITDA and the ROIC were established to align with financial goals set at the beginning of the three-year performance period for the years 2020 through 2022, The table below summarizes the results of the 2020-2022 performance period relative to target and the achievement level of the 2020-2022 PSAs:.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Performance Metric</w:t>
            </w: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Weight</w:t>
            </w:r>
          </w:p>
        </w:tc>
        <w:tc>
          <w:tcPr>
            <w:tcW w:w="13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Threshold*</w:t>
            </w: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Target*</w:t>
            </w: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Maximum*</w:t>
            </w: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Actual Performance*</w:t>
            </w:r>
          </w:p>
        </w:tc>
        <w:tc>
          <w:tcPr>
            <w:tcW w:w="160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Performance to Target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Weighted Performance</w:t>
            </w:r>
          </w:p>
        </w:tc>
      </w:tr>
      <w:tr>
        <w:trPr>
          <w:trHeight w:val="207"/>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106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50 %</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$1,512,514</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$1,890,643</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$2,268,772</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$1,535,931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53.10 %</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26.55 %</w:t>
            </w:r>
          </w:p>
        </w:tc>
      </w:tr>
      <w:tr>
        <w:trPr>
          <w:trHeight w:val="222"/>
        </w:trPr>
        <w:tc>
          <w:tcPr>
            <w:tcW w:w="1500" w:type="dxa"/>
            <w:vAlign w:val="bottom"/>
          </w:tcPr>
          <w:p>
            <w:pPr>
              <w:ind w:left="20"/>
              <w:spacing w:after="0"/>
              <w:rPr>
                <w:sz w:val="20"/>
                <w:szCs w:val="20"/>
                <w:color w:val="auto"/>
              </w:rPr>
            </w:pPr>
            <w:r>
              <w:rPr>
                <w:rFonts w:ascii="Arial" w:cs="Arial" w:eastAsia="Arial" w:hAnsi="Arial"/>
                <w:sz w:val="17"/>
                <w:szCs w:val="17"/>
                <w:color w:val="auto"/>
              </w:rPr>
              <w:t>ROIC</w:t>
            </w:r>
          </w:p>
        </w:tc>
        <w:tc>
          <w:tcPr>
            <w:tcW w:w="1060" w:type="dxa"/>
            <w:vAlign w:val="bottom"/>
          </w:tcPr>
          <w:p>
            <w:pPr>
              <w:jc w:val="right"/>
              <w:ind w:right="102"/>
              <w:spacing w:after="0"/>
              <w:rPr>
                <w:sz w:val="20"/>
                <w:szCs w:val="20"/>
                <w:color w:val="auto"/>
              </w:rPr>
            </w:pPr>
            <w:r>
              <w:rPr>
                <w:rFonts w:ascii="Arial" w:cs="Arial" w:eastAsia="Arial" w:hAnsi="Arial"/>
                <w:sz w:val="17"/>
                <w:szCs w:val="17"/>
                <w:color w:val="auto"/>
              </w:rPr>
              <w:t>50 %</w:t>
            </w:r>
          </w:p>
        </w:tc>
        <w:tc>
          <w:tcPr>
            <w:tcW w:w="1380" w:type="dxa"/>
            <w:vAlign w:val="bottom"/>
          </w:tcPr>
          <w:p>
            <w:pPr>
              <w:jc w:val="right"/>
              <w:ind w:right="162"/>
              <w:spacing w:after="0"/>
              <w:rPr>
                <w:sz w:val="20"/>
                <w:szCs w:val="20"/>
                <w:color w:val="auto"/>
              </w:rPr>
            </w:pPr>
            <w:r>
              <w:rPr>
                <w:rFonts w:ascii="Arial" w:cs="Arial" w:eastAsia="Arial" w:hAnsi="Arial"/>
                <w:sz w:val="17"/>
                <w:szCs w:val="17"/>
                <w:color w:val="auto"/>
              </w:rPr>
              <w:t>36.80 %</w:t>
            </w:r>
          </w:p>
        </w:tc>
        <w:tc>
          <w:tcPr>
            <w:tcW w:w="1280" w:type="dxa"/>
            <w:vAlign w:val="bottom"/>
          </w:tcPr>
          <w:p>
            <w:pPr>
              <w:jc w:val="right"/>
              <w:ind w:right="102"/>
              <w:spacing w:after="0"/>
              <w:rPr>
                <w:sz w:val="20"/>
                <w:szCs w:val="20"/>
                <w:color w:val="auto"/>
              </w:rPr>
            </w:pPr>
            <w:r>
              <w:rPr>
                <w:rFonts w:ascii="Arial" w:cs="Arial" w:eastAsia="Arial" w:hAnsi="Arial"/>
                <w:sz w:val="17"/>
                <w:szCs w:val="17"/>
                <w:color w:val="auto"/>
              </w:rPr>
              <w:t>46.00 %</w:t>
            </w:r>
          </w:p>
        </w:tc>
        <w:tc>
          <w:tcPr>
            <w:tcW w:w="1240" w:type="dxa"/>
            <w:vAlign w:val="bottom"/>
          </w:tcPr>
          <w:p>
            <w:pPr>
              <w:jc w:val="right"/>
              <w:ind w:right="2"/>
              <w:spacing w:after="0"/>
              <w:rPr>
                <w:sz w:val="20"/>
                <w:szCs w:val="20"/>
                <w:color w:val="auto"/>
              </w:rPr>
            </w:pPr>
            <w:r>
              <w:rPr>
                <w:rFonts w:ascii="Arial" w:cs="Arial" w:eastAsia="Arial" w:hAnsi="Arial"/>
                <w:sz w:val="17"/>
                <w:szCs w:val="17"/>
                <w:color w:val="auto"/>
              </w:rPr>
              <w:t>55.20 %</w:t>
            </w:r>
          </w:p>
        </w:tc>
        <w:tc>
          <w:tcPr>
            <w:tcW w:w="1580" w:type="dxa"/>
            <w:vAlign w:val="bottom"/>
          </w:tcPr>
          <w:p>
            <w:pPr>
              <w:jc w:val="right"/>
              <w:spacing w:after="0"/>
              <w:rPr>
                <w:sz w:val="20"/>
                <w:szCs w:val="20"/>
                <w:color w:val="auto"/>
              </w:rPr>
            </w:pPr>
            <w:r>
              <w:rPr>
                <w:rFonts w:ascii="Arial" w:cs="Arial" w:eastAsia="Arial" w:hAnsi="Arial"/>
                <w:sz w:val="17"/>
                <w:szCs w:val="17"/>
                <w:color w:val="auto"/>
              </w:rPr>
              <w:t>37.12 %</w:t>
            </w:r>
          </w:p>
        </w:tc>
        <w:tc>
          <w:tcPr>
            <w:tcW w:w="1600" w:type="dxa"/>
            <w:vAlign w:val="bottom"/>
          </w:tcPr>
          <w:p>
            <w:pPr>
              <w:jc w:val="right"/>
              <w:spacing w:after="0"/>
              <w:rPr>
                <w:sz w:val="20"/>
                <w:szCs w:val="20"/>
                <w:color w:val="auto"/>
              </w:rPr>
            </w:pPr>
            <w:r>
              <w:rPr>
                <w:rFonts w:ascii="Arial" w:cs="Arial" w:eastAsia="Arial" w:hAnsi="Arial"/>
                <w:sz w:val="17"/>
                <w:szCs w:val="17"/>
                <w:color w:val="auto"/>
              </w:rPr>
              <w:t>51.74 %</w:t>
            </w:r>
          </w:p>
        </w:tc>
        <w:tc>
          <w:tcPr>
            <w:tcW w:w="1600" w:type="dxa"/>
            <w:vAlign w:val="bottom"/>
          </w:tcPr>
          <w:p>
            <w:pPr>
              <w:jc w:val="right"/>
              <w:spacing w:after="0"/>
              <w:rPr>
                <w:sz w:val="20"/>
                <w:szCs w:val="20"/>
                <w:color w:val="auto"/>
              </w:rPr>
            </w:pPr>
            <w:r>
              <w:rPr>
                <w:rFonts w:ascii="Arial" w:cs="Arial" w:eastAsia="Arial" w:hAnsi="Arial"/>
                <w:sz w:val="17"/>
                <w:szCs w:val="17"/>
                <w:color w:val="auto"/>
              </w:rPr>
              <w:t>25.87 %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845" cy="200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845" cy="200025"/>
                    </a:xfrm>
                    <a:prstGeom prst="rect">
                      <a:avLst/>
                    </a:prstGeom>
                    <a:noFill/>
                  </pic:spPr>
                </pic:pic>
              </a:graphicData>
            </a:graphic>
          </wp:anchor>
        </w:drawing>
      </w:r>
    </w:p>
    <w:p>
      <w:pPr>
        <w:ind w:left="20" w:right="60"/>
        <w:spacing w:after="0" w:line="239" w:lineRule="auto"/>
        <w:rPr>
          <w:sz w:val="20"/>
          <w:szCs w:val="20"/>
          <w:color w:val="auto"/>
        </w:rPr>
      </w:pPr>
      <w:r>
        <w:rPr>
          <w:rFonts w:ascii="Arial" w:cs="Arial" w:eastAsia="Arial" w:hAnsi="Arial"/>
          <w:sz w:val="13"/>
          <w:szCs w:val="13"/>
          <w:color w:val="auto"/>
        </w:rPr>
        <w:t>*amounts in thousands (000) percentages. Threshold, Target, and Maximum for EBITDA and ROIC were adjusted to address the estimated impact of tariffs and the Actual Performance was similarly adjusted with respect to the actual impact of tariffs. Additionally, Actual performance was adjusted by $8.8 million of previously disclosed severance related costs incurred in 2020.</w:t>
      </w:r>
    </w:p>
    <w:p>
      <w:pPr>
        <w:spacing w:after="0" w:line="28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PSAs awarded in February 2020, based on target opportunity, along with the actual payout of PSAs to the executive officers, for the 2020-2022 performance period are reflected in the table below and include dividend equivalents assuming reinvestment of dividends.</w:t>
      </w:r>
    </w:p>
    <w:tbl>
      <w:tblPr>
        <w:tblLayout w:type="fixed"/>
        <w:tblInd w:w="0" w:type="dxa"/>
        <w:tblCellMar>
          <w:top w:w="0" w:type="dxa"/>
          <w:left w:w="0" w:type="dxa"/>
          <w:bottom w:w="0" w:type="dxa"/>
          <w:right w:w="0" w:type="dxa"/>
        </w:tblCellMar>
      </w:tblPr>
      <w:tr>
        <w:trPr>
          <w:trHeight w:val="139"/>
        </w:trPr>
        <w:tc>
          <w:tcPr>
            <w:tcW w:w="4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040" w:type="dxa"/>
            <w:vAlign w:val="bottom"/>
          </w:tcPr>
          <w:p>
            <w:pPr>
              <w:jc w:val="right"/>
              <w:ind w:right="41"/>
              <w:spacing w:after="0" w:line="139" w:lineRule="exact"/>
              <w:rPr>
                <w:sz w:val="20"/>
                <w:szCs w:val="20"/>
                <w:color w:val="auto"/>
              </w:rPr>
            </w:pPr>
            <w:r>
              <w:rPr>
                <w:rFonts w:ascii="Arial" w:cs="Arial" w:eastAsia="Arial" w:hAnsi="Arial"/>
                <w:sz w:val="13"/>
                <w:szCs w:val="13"/>
                <w:b w:val="1"/>
                <w:bCs w:val="1"/>
                <w:color w:val="auto"/>
              </w:rPr>
              <w:t>Number of PSAs Awarded in</w:t>
            </w:r>
          </w:p>
        </w:tc>
        <w:tc>
          <w:tcPr>
            <w:tcW w:w="18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2020-2022 PSAs Payout</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50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2020 (Target) for 2020-2022</w:t>
            </w: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41,516</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22,912</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040" w:type="dxa"/>
            <w:vAlign w:val="bottom"/>
          </w:tcPr>
          <w:p>
            <w:pPr>
              <w:jc w:val="right"/>
              <w:ind w:right="81"/>
              <w:spacing w:after="0"/>
              <w:rPr>
                <w:sz w:val="20"/>
                <w:szCs w:val="20"/>
                <w:color w:val="auto"/>
              </w:rPr>
            </w:pPr>
            <w:r>
              <w:rPr>
                <w:rFonts w:ascii="Arial" w:cs="Arial" w:eastAsia="Arial" w:hAnsi="Arial"/>
                <w:sz w:val="17"/>
                <w:szCs w:val="17"/>
                <w:color w:val="auto"/>
              </w:rPr>
              <w:t>14,081</w:t>
            </w:r>
          </w:p>
        </w:tc>
        <w:tc>
          <w:tcPr>
            <w:tcW w:w="1820" w:type="dxa"/>
            <w:vAlign w:val="bottom"/>
          </w:tcPr>
          <w:p>
            <w:pPr>
              <w:jc w:val="right"/>
              <w:spacing w:after="0"/>
              <w:rPr>
                <w:sz w:val="20"/>
                <w:szCs w:val="20"/>
                <w:color w:val="auto"/>
              </w:rPr>
            </w:pPr>
            <w:r>
              <w:rPr>
                <w:rFonts w:ascii="Arial" w:cs="Arial" w:eastAsia="Arial" w:hAnsi="Arial"/>
                <w:sz w:val="17"/>
                <w:szCs w:val="17"/>
                <w:color w:val="auto"/>
              </w:rPr>
              <w:t>7,772</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12,916</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7,129</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040" w:type="dxa"/>
            <w:vAlign w:val="bottom"/>
          </w:tcPr>
          <w:p>
            <w:pPr>
              <w:jc w:val="right"/>
              <w:ind w:right="81"/>
              <w:spacing w:after="0"/>
              <w:rPr>
                <w:sz w:val="20"/>
                <w:szCs w:val="20"/>
                <w:color w:val="auto"/>
              </w:rPr>
            </w:pPr>
            <w:r>
              <w:rPr>
                <w:rFonts w:ascii="Arial" w:cs="Arial" w:eastAsia="Arial" w:hAnsi="Arial"/>
                <w:sz w:val="17"/>
                <w:szCs w:val="17"/>
                <w:color w:val="auto"/>
              </w:rPr>
              <w:t>11,394</w:t>
            </w:r>
          </w:p>
        </w:tc>
        <w:tc>
          <w:tcPr>
            <w:tcW w:w="1820" w:type="dxa"/>
            <w:vAlign w:val="bottom"/>
          </w:tcPr>
          <w:p>
            <w:pPr>
              <w:jc w:val="right"/>
              <w:spacing w:after="0"/>
              <w:rPr>
                <w:sz w:val="20"/>
                <w:szCs w:val="20"/>
                <w:color w:val="auto"/>
              </w:rPr>
            </w:pPr>
            <w:r>
              <w:rPr>
                <w:rFonts w:ascii="Arial" w:cs="Arial" w:eastAsia="Arial" w:hAnsi="Arial"/>
                <w:sz w:val="17"/>
                <w:szCs w:val="17"/>
                <w:color w:val="auto"/>
              </w:rPr>
              <w:t>6,289</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10,091</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w:t>
      </w:r>
    </w:p>
    <w:p>
      <w:pPr>
        <w:spacing w:after="0" w:line="22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RS awarded in February 2020, based on target opportunities, along with the actual payment of RS to executive officers, awarded for the 2020-2022 period are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560" w:type="dxa"/>
            <w:vAlign w:val="bottom"/>
          </w:tcPr>
          <w:p>
            <w:pPr>
              <w:jc w:val="right"/>
              <w:ind w:right="661"/>
              <w:spacing w:after="0"/>
              <w:rPr>
                <w:sz w:val="20"/>
                <w:szCs w:val="20"/>
                <w:color w:val="auto"/>
              </w:rPr>
            </w:pPr>
            <w:r>
              <w:rPr>
                <w:rFonts w:ascii="Arial" w:cs="Arial" w:eastAsia="Arial" w:hAnsi="Arial"/>
                <w:sz w:val="13"/>
                <w:szCs w:val="13"/>
                <w:b w:val="1"/>
                <w:bCs w:val="1"/>
                <w:color w:val="auto"/>
              </w:rPr>
              <w:t>Number of RS Awarded in</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tcBorders>
              <w:bottom w:val="single" w:sz="8" w:color="auto"/>
            </w:tcBorders>
            <w:vMerge w:val="continue"/>
          </w:tcPr>
          <w:p>
            <w:pPr>
              <w:spacing w:after="0"/>
              <w:rPr>
                <w:sz w:val="15"/>
                <w:szCs w:val="15"/>
                <w:color w:val="auto"/>
              </w:rPr>
            </w:pPr>
          </w:p>
        </w:tc>
        <w:tc>
          <w:tcPr>
            <w:tcW w:w="6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 (Target) for 2020-2022  2020-2022 RS Payout/Vesting</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17,792</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17,792</w:t>
            </w: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560" w:type="dxa"/>
            <w:vAlign w:val="bottom"/>
          </w:tcPr>
          <w:p>
            <w:pPr>
              <w:jc w:val="right"/>
              <w:ind w:right="621"/>
              <w:spacing w:after="0"/>
              <w:rPr>
                <w:sz w:val="20"/>
                <w:szCs w:val="20"/>
                <w:color w:val="auto"/>
              </w:rPr>
            </w:pPr>
            <w:r>
              <w:rPr>
                <w:rFonts w:ascii="Arial" w:cs="Arial" w:eastAsia="Arial" w:hAnsi="Arial"/>
                <w:sz w:val="17"/>
                <w:szCs w:val="17"/>
                <w:color w:val="auto"/>
              </w:rPr>
              <w:t>6,035</w:t>
            </w:r>
          </w:p>
        </w:tc>
        <w:tc>
          <w:tcPr>
            <w:tcW w:w="1280" w:type="dxa"/>
            <w:vAlign w:val="bottom"/>
          </w:tcPr>
          <w:p>
            <w:pPr>
              <w:jc w:val="right"/>
              <w:spacing w:after="0"/>
              <w:rPr>
                <w:sz w:val="20"/>
                <w:szCs w:val="20"/>
                <w:color w:val="auto"/>
              </w:rPr>
            </w:pPr>
            <w:r>
              <w:rPr>
                <w:rFonts w:ascii="Arial" w:cs="Arial" w:eastAsia="Arial" w:hAnsi="Arial"/>
                <w:sz w:val="17"/>
                <w:szCs w:val="17"/>
                <w:color w:val="auto"/>
              </w:rPr>
              <w:t>6,035</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5,535</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5,535</w:t>
            </w: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560" w:type="dxa"/>
            <w:vAlign w:val="bottom"/>
          </w:tcPr>
          <w:p>
            <w:pPr>
              <w:jc w:val="right"/>
              <w:ind w:right="621"/>
              <w:spacing w:after="0"/>
              <w:rPr>
                <w:sz w:val="20"/>
                <w:szCs w:val="20"/>
                <w:color w:val="auto"/>
              </w:rPr>
            </w:pPr>
            <w:r>
              <w:rPr>
                <w:rFonts w:ascii="Arial" w:cs="Arial" w:eastAsia="Arial" w:hAnsi="Arial"/>
                <w:sz w:val="17"/>
                <w:szCs w:val="17"/>
                <w:color w:val="auto"/>
              </w:rPr>
              <w:t>4,883</w:t>
            </w:r>
          </w:p>
        </w:tc>
        <w:tc>
          <w:tcPr>
            <w:tcW w:w="1280" w:type="dxa"/>
            <w:vAlign w:val="bottom"/>
          </w:tcPr>
          <w:p>
            <w:pPr>
              <w:jc w:val="right"/>
              <w:spacing w:after="0"/>
              <w:rPr>
                <w:sz w:val="20"/>
                <w:szCs w:val="20"/>
                <w:color w:val="auto"/>
              </w:rPr>
            </w:pPr>
            <w:r>
              <w:rPr>
                <w:rFonts w:ascii="Arial" w:cs="Arial" w:eastAsia="Arial" w:hAnsi="Arial"/>
                <w:sz w:val="17"/>
                <w:szCs w:val="17"/>
                <w:color w:val="auto"/>
              </w:rPr>
              <w:t>4,883</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4,325</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4,325</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Since each executive officer awarded restricted stock in 2020 remained employed by the Company for three years from the grant date, each restricted stock awarded vested with such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35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35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Accounting Fee and Services.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9" w:name="page40"/>
    <w:bookmarkEnd w:id="39"/>
    <w:p>
      <w:pPr>
        <w:ind w:left="5300"/>
        <w:spacing w:after="0"/>
        <w:rPr>
          <w:sz w:val="20"/>
          <w:szCs w:val="20"/>
          <w:color w:val="auto"/>
        </w:rPr>
      </w:pPr>
      <w:r>
        <w:rPr>
          <w:rFonts w:ascii="Arial" w:cs="Arial" w:eastAsia="Arial" w:hAnsi="Arial"/>
          <w:sz w:val="17"/>
          <w:szCs w:val="17"/>
          <w:b w:val="1"/>
          <w:bCs w:val="1"/>
          <w:color w:val="auto"/>
        </w:rPr>
        <w:t>PART IV</w:t>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69" w:lineRule="exact"/>
        <w:rPr>
          <w:sz w:val="20"/>
          <w:szCs w:val="20"/>
          <w:color w:val="auto"/>
        </w:rPr>
      </w:pPr>
    </w:p>
    <w:p>
      <w:pPr>
        <w:ind w:left="1800" w:hanging="894"/>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0000FF"/>
        </w:rPr>
        <w:t>Financial Statements. See Part II, Item 8.</w:t>
      </w:r>
    </w:p>
    <w:p>
      <w:pPr>
        <w:spacing w:after="0" w:line="131" w:lineRule="exact"/>
        <w:rPr>
          <w:rFonts w:ascii="Arial" w:cs="Arial" w:eastAsia="Arial" w:hAnsi="Arial"/>
          <w:sz w:val="17"/>
          <w:szCs w:val="17"/>
          <w:color w:val="auto"/>
        </w:rPr>
      </w:pPr>
    </w:p>
    <w:p>
      <w:pPr>
        <w:ind w:left="1800" w:right="3339" w:hanging="63"/>
        <w:spacing w:after="0" w:line="449" w:lineRule="auto"/>
        <w:tabs>
          <w:tab w:leader="none" w:pos="1923"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Financial Statements Schedules. None required or not applicable. 3. Exhibits. See Exhibit Index on Page </w:t>
      </w:r>
      <w:r>
        <w:rPr>
          <w:rFonts w:ascii="Arial" w:cs="Arial" w:eastAsia="Arial" w:hAnsi="Arial"/>
          <w:sz w:val="17"/>
          <w:szCs w:val="17"/>
          <w:u w:val="single" w:color="auto"/>
          <w:color w:val="0000FF"/>
        </w:rPr>
        <w:t>75</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1800" w:hanging="894"/>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(a) above.</w:t>
      </w:r>
    </w:p>
    <w:p>
      <w:pPr>
        <w:spacing w:after="0" w:line="21" w:lineRule="exact"/>
        <w:rPr>
          <w:rFonts w:ascii="Arial" w:cs="Arial" w:eastAsia="Arial" w:hAnsi="Arial"/>
          <w:sz w:val="17"/>
          <w:szCs w:val="17"/>
          <w:color w:val="auto"/>
        </w:rPr>
      </w:pPr>
    </w:p>
    <w:p>
      <w:pPr>
        <w:ind w:left="1800" w:hanging="894"/>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(a) above.</w:t>
      </w:r>
    </w:p>
    <w:p>
      <w:pPr>
        <w:spacing w:after="0" w:line="31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40" w:name="page41"/>
    <w:bookmarkEnd w:id="40"/>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4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Pursuant to the requirements of Section 13 of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GENTEX CORPORATION</w:t>
      </w:r>
    </w:p>
    <w:p>
      <w:pPr>
        <w:spacing w:after="0" w:line="270" w:lineRule="exact"/>
        <w:rPr>
          <w:sz w:val="20"/>
          <w:szCs w:val="20"/>
          <w:color w:val="auto"/>
        </w:rPr>
      </w:pPr>
    </w:p>
    <w:tbl>
      <w:tblPr>
        <w:tblLayout w:type="fixed"/>
        <w:tblInd w:w="3880" w:type="dxa"/>
        <w:tblCellMar>
          <w:top w:w="0" w:type="dxa"/>
          <w:left w:w="0" w:type="dxa"/>
          <w:bottom w:w="0" w:type="dxa"/>
          <w:right w:w="0" w:type="dxa"/>
        </w:tblCellMar>
      </w:tblP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By:</w:t>
            </w:r>
          </w:p>
        </w:tc>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Steven R. Downing</w:t>
            </w:r>
          </w:p>
        </w:tc>
      </w:tr>
      <w:tr>
        <w:trPr>
          <w:trHeight w:val="202"/>
        </w:trPr>
        <w:tc>
          <w:tcPr>
            <w:tcW w:w="1020" w:type="dxa"/>
            <w:vAlign w:val="bottom"/>
          </w:tcPr>
          <w:p>
            <w:pPr>
              <w:spacing w:after="0"/>
              <w:rPr>
                <w:sz w:val="17"/>
                <w:szCs w:val="17"/>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Steven R. Downing, President and Chief Executive Officer</w:t>
            </w:r>
          </w:p>
        </w:tc>
      </w:tr>
      <w:tr>
        <w:trPr>
          <w:trHeight w:val="222"/>
        </w:trPr>
        <w:tc>
          <w:tcPr>
            <w:tcW w:w="1020" w:type="dxa"/>
            <w:vAlign w:val="bottom"/>
          </w:tcPr>
          <w:p>
            <w:pPr>
              <w:spacing w:after="0"/>
              <w:rPr>
                <w:sz w:val="20"/>
                <w:szCs w:val="20"/>
                <w:color w:val="auto"/>
              </w:rPr>
            </w:pPr>
            <w:r>
              <w:rPr>
                <w:rFonts w:ascii="Arial" w:cs="Arial" w:eastAsia="Arial" w:hAnsi="Arial"/>
                <w:sz w:val="17"/>
                <w:szCs w:val="17"/>
                <w:color w:val="auto"/>
              </w:rPr>
              <w:t>Date:</w:t>
            </w:r>
          </w:p>
        </w:tc>
        <w:tc>
          <w:tcPr>
            <w:tcW w:w="6440" w:type="dxa"/>
            <w:vAlign w:val="bottom"/>
          </w:tcPr>
          <w:p>
            <w:pPr>
              <w:ind w:left="20"/>
              <w:spacing w:after="0"/>
              <w:rPr>
                <w:sz w:val="20"/>
                <w:szCs w:val="20"/>
                <w:color w:val="auto"/>
              </w:rPr>
            </w:pPr>
            <w:r>
              <w:rPr>
                <w:rFonts w:ascii="Arial" w:cs="Arial" w:eastAsia="Arial" w:hAnsi="Arial"/>
                <w:sz w:val="17"/>
                <w:szCs w:val="17"/>
                <w:color w:val="auto"/>
              </w:rPr>
              <w:t>February 22, 2023</w:t>
            </w:r>
          </w:p>
        </w:tc>
      </w:tr>
    </w:tbl>
    <w:p>
      <w:pPr>
        <w:spacing w:after="0" w:line="177" w:lineRule="exact"/>
        <w:rPr>
          <w:sz w:val="20"/>
          <w:szCs w:val="20"/>
          <w:color w:val="auto"/>
        </w:rPr>
      </w:pPr>
    </w:p>
    <w:p>
      <w:pPr>
        <w:ind w:right="520"/>
        <w:spacing w:after="0" w:line="23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this 22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day of February, 2023, by the following persons on behalf of the registrant and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ind w:left="298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Arial" w:cs="Arial" w:eastAsia="Arial" w:hAnsi="Arial"/>
                <w:sz w:val="17"/>
                <w:szCs w:val="17"/>
                <w:color w:val="auto"/>
              </w:rPr>
              <w:t>/s/ Steven R. Downing</w:t>
            </w:r>
          </w:p>
        </w:tc>
      </w:tr>
      <w:tr>
        <w:trPr>
          <w:trHeight w:val="202"/>
        </w:trPr>
        <w:tc>
          <w:tcPr>
            <w:tcW w:w="40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Steven R. Downing, President and Chief Executive Officer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gridSpan w:val="3"/>
          </w:tcPr>
          <w:p>
            <w:pPr>
              <w:spacing w:after="0"/>
              <w:rPr>
                <w:sz w:val="20"/>
                <w:szCs w:val="20"/>
                <w:color w:val="auto"/>
              </w:rPr>
            </w:pPr>
            <w:r>
              <w:rPr>
                <w:rFonts w:ascii="Arial" w:cs="Arial" w:eastAsia="Arial" w:hAnsi="Arial"/>
                <w:sz w:val="17"/>
                <w:szCs w:val="17"/>
                <w:color w:val="auto"/>
              </w:rPr>
              <w:t>(Principal Executive Officer) on behalf of Gentex Corporation</w:t>
            </w:r>
          </w:p>
        </w:tc>
      </w:tr>
      <w:tr>
        <w:trPr>
          <w:trHeight w:val="437"/>
        </w:trPr>
        <w:tc>
          <w:tcPr>
            <w:tcW w:w="4000" w:type="dxa"/>
            <w:vAlign w:val="bottom"/>
          </w:tcPr>
          <w:p>
            <w:pPr>
              <w:ind w:left="298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240" w:type="dxa"/>
            <w:vAlign w:val="bottom"/>
            <w:gridSpan w:val="3"/>
          </w:tcPr>
          <w:p>
            <w:pPr>
              <w:ind w:left="20"/>
              <w:spacing w:after="0"/>
              <w:rPr>
                <w:sz w:val="20"/>
                <w:szCs w:val="20"/>
                <w:color w:val="auto"/>
              </w:rPr>
            </w:pPr>
            <w:r>
              <w:rPr>
                <w:rFonts w:ascii="Arial" w:cs="Arial" w:eastAsia="Arial" w:hAnsi="Arial"/>
                <w:sz w:val="17"/>
                <w:szCs w:val="17"/>
                <w:color w:val="auto"/>
              </w:rPr>
              <w:t>/s/ Kevin C. Nash</w:t>
            </w:r>
          </w:p>
        </w:tc>
      </w:tr>
      <w:tr>
        <w:trPr>
          <w:trHeight w:val="202"/>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Kevin C. Nash, Vice President, Finance, Chief Financial Officer and Treasurer</w:t>
            </w:r>
          </w:p>
        </w:tc>
        <w:tc>
          <w:tcPr>
            <w:tcW w:w="20" w:type="dxa"/>
            <w:vAlign w:val="bottom"/>
          </w:tcPr>
          <w:p>
            <w:pPr>
              <w:spacing w:after="0"/>
              <w:rPr>
                <w:sz w:val="17"/>
                <w:szCs w:val="17"/>
                <w:color w:val="auto"/>
              </w:rPr>
            </w:pPr>
          </w:p>
        </w:tc>
      </w:tr>
      <w:tr>
        <w:trPr>
          <w:trHeight w:val="222"/>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Arial" w:cs="Arial" w:eastAsia="Arial" w:hAnsi="Arial"/>
                <w:sz w:val="17"/>
                <w:szCs w:val="17"/>
                <w:color w:val="auto"/>
              </w:rPr>
              <w:t>(Principal Financial Officer and Principal Accounting Officer) on behalf of Gentex Corporation</w:t>
            </w:r>
          </w:p>
        </w:tc>
      </w:tr>
      <w:tr>
        <w:trPr>
          <w:trHeight w:val="818"/>
        </w:trPr>
        <w:tc>
          <w:tcPr>
            <w:tcW w:w="4000" w:type="dxa"/>
            <w:vAlign w:val="bottom"/>
          </w:tcPr>
          <w:p>
            <w:pPr>
              <w:spacing w:after="0"/>
              <w:rPr>
                <w:sz w:val="24"/>
                <w:szCs w:val="24"/>
                <w:color w:val="auto"/>
              </w:rPr>
            </w:pPr>
          </w:p>
        </w:tc>
        <w:tc>
          <w:tcPr>
            <w:tcW w:w="7220" w:type="dxa"/>
            <w:vAlign w:val="bottom"/>
            <w:gridSpan w:val="2"/>
          </w:tcPr>
          <w:p>
            <w:pPr>
              <w:jc w:val="right"/>
              <w:ind w:right="5416"/>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840" w:right="239" w:bottom="1440" w:gutter="0" w:footer="0" w:header="0"/>
        </w:sectPr>
      </w:pPr>
    </w:p>
    <w:bookmarkStart w:id="41" w:name="page42"/>
    <w:bookmarkEnd w:id="41"/>
    <w:p>
      <w:pPr>
        <w:ind w:firstLine="906"/>
        <w:spacing w:after="0" w:line="263" w:lineRule="auto"/>
        <w:rPr>
          <w:sz w:val="20"/>
          <w:szCs w:val="20"/>
          <w:color w:val="auto"/>
        </w:rPr>
      </w:pPr>
      <w:r>
        <w:rPr>
          <w:rFonts w:ascii="Arial" w:cs="Arial" w:eastAsia="Arial" w:hAnsi="Arial"/>
          <w:sz w:val="17"/>
          <w:szCs w:val="17"/>
          <w:color w:val="auto"/>
        </w:rPr>
        <w:t>Each Director of the registrant whose signature appears below hereby appoints Steve Downing or Kevin Nash, as his or her attorney-in-fact to sign in his or her name and on his or her behalf, and to file with the Commission any and all amendments to this report on Form 10-K to the same extent and with the same effect as if done personally.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Anderson</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Joseph Anderson</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Leslie Brown</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Leslie Brown</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Downing</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Steven Downing</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Goode</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Gary Goode</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Hollars</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James Hollars</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Schaum</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Richard Schaum</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Kathleen Starkoff</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Kathleen Starkoff</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Walker</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Brian Walker</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Ling Zang</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Ling Zang</w:t>
            </w: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2" w:name="page43"/>
    <w:bookmarkEnd w:id="42"/>
    <w:p>
      <w:pPr>
        <w:ind w:left="2380"/>
        <w:spacing w:after="0"/>
        <w:rPr>
          <w:sz w:val="20"/>
          <w:szCs w:val="20"/>
          <w:color w:val="auto"/>
        </w:rPr>
      </w:pPr>
      <w:r>
        <w:rPr>
          <w:rFonts w:ascii="Arial" w:cs="Arial" w:eastAsia="Arial" w:hAnsi="Arial"/>
          <w:sz w:val="23"/>
          <w:szCs w:val="23"/>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Shareholders and the Board of Directors of 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Opinion on the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accompanying consolidated balance sheets of Gentex Corporation and subsidiaries (the Company) as of December 31, 2022 and</w:t>
      </w:r>
    </w:p>
    <w:p>
      <w:pPr>
        <w:spacing w:after="0" w:line="21"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2021, the related consolidated statements of income, comprehensive income, shareholders' investment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w:t>
      </w:r>
    </w:p>
    <w:p>
      <w:pPr>
        <w:spacing w:after="0"/>
        <w:rPr>
          <w:sz w:val="20"/>
          <w:szCs w:val="20"/>
          <w:color w:val="auto"/>
        </w:rPr>
      </w:pPr>
      <w:r>
        <w:rPr>
          <w:rFonts w:ascii="Arial" w:cs="Arial" w:eastAsia="Arial" w:hAnsi="Arial"/>
          <w:sz w:val="17"/>
          <w:szCs w:val="17"/>
          <w:color w:val="auto"/>
        </w:rPr>
        <w:t>accepted accounting principles.</w:t>
      </w:r>
    </w:p>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w:t>
      </w:r>
    </w:p>
    <w:p>
      <w:pPr>
        <w:spacing w:after="0" w:line="1" w:lineRule="exact"/>
        <w:rPr>
          <w:sz w:val="20"/>
          <w:szCs w:val="20"/>
          <w:color w:val="auto"/>
        </w:rPr>
      </w:pPr>
    </w:p>
    <w:p>
      <w:pPr>
        <w:ind w:right="620"/>
        <w:spacing w:after="0" w:line="234" w:lineRule="auto"/>
        <w:rPr>
          <w:sz w:val="20"/>
          <w:szCs w:val="20"/>
          <w:color w:val="auto"/>
        </w:rPr>
      </w:pPr>
      <w:r>
        <w:rPr>
          <w:rFonts w:ascii="Arial" w:cs="Arial" w:eastAsia="Arial" w:hAnsi="Arial"/>
          <w:sz w:val="17"/>
          <w:szCs w:val="17"/>
          <w:color w:val="auto"/>
        </w:rPr>
        <w:t>Committee of Sponsoring Organizations of the Treadway Commission (2013 framework) and our report dated February 22, 2023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Basis for Opinion</w:t>
      </w:r>
    </w:p>
    <w:p>
      <w:pPr>
        <w:spacing w:after="0" w:line="22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w:t>
      </w:r>
    </w:p>
    <w:p>
      <w:pPr>
        <w:spacing w:after="0" w:line="1" w:lineRule="exact"/>
        <w:rPr>
          <w:sz w:val="20"/>
          <w:szCs w:val="20"/>
          <w:color w:val="auto"/>
        </w:rPr>
      </w:pPr>
    </w:p>
    <w:p>
      <w:pPr>
        <w:ind w:right="180"/>
        <w:spacing w:after="0" w:line="225" w:lineRule="auto"/>
        <w:rPr>
          <w:sz w:val="20"/>
          <w:szCs w:val="20"/>
          <w:color w:val="auto"/>
        </w:rPr>
      </w:pPr>
      <w:r>
        <w:rPr>
          <w:rFonts w:ascii="Arial" w:cs="Arial" w:eastAsia="Arial" w:hAnsi="Arial"/>
          <w:sz w:val="17"/>
          <w:szCs w:val="17"/>
          <w:color w:val="auto"/>
        </w:rPr>
        <w:t>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20"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w:t>
      </w:r>
    </w:p>
    <w:p>
      <w:pPr>
        <w:ind w:right="500"/>
        <w:spacing w:after="0" w:line="234" w:lineRule="auto"/>
        <w:rPr>
          <w:sz w:val="20"/>
          <w:szCs w:val="20"/>
          <w:color w:val="auto"/>
        </w:rPr>
      </w:pPr>
      <w:r>
        <w:rPr>
          <w:rFonts w:ascii="Arial" w:cs="Arial" w:eastAsia="Arial" w:hAnsi="Arial"/>
          <w:sz w:val="17"/>
          <w:szCs w:val="17"/>
          <w:color w:val="auto"/>
        </w:rPr>
        <w:t>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060" w:right="379" w:bottom="1440" w:gutter="0" w:footer="0" w:header="0"/>
        </w:sectPr>
      </w:pPr>
    </w:p>
    <w:bookmarkStart w:id="43" w:name="page44"/>
    <w:bookmarkEnd w:id="43"/>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right="160"/>
        <w:spacing w:after="0" w:line="262"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 Estimate of Variable Consideration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Notes 1 and 11 to the Company’s consolidated financial statements, the Company</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occasionally enters into sales contracts with its customers that provide for annual price reductions over the production life of a particular part. Prices may also be adjusted on an ongoing basis to reflect changes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product content, product cost and other commercial factors.</w:t>
      </w:r>
    </w:p>
    <w:p>
      <w:pPr>
        <w:spacing w:after="0" w:line="191" w:lineRule="exact"/>
        <w:rPr>
          <w:sz w:val="20"/>
          <w:szCs w:val="20"/>
          <w:color w:val="auto"/>
        </w:rPr>
      </w:pPr>
    </w:p>
    <w:p>
      <w:pPr>
        <w:ind w:right="60"/>
        <w:spacing w:after="0" w:line="218" w:lineRule="auto"/>
        <w:rPr>
          <w:sz w:val="20"/>
          <w:szCs w:val="20"/>
          <w:color w:val="auto"/>
        </w:rPr>
      </w:pPr>
      <w:r>
        <w:rPr>
          <w:rFonts w:ascii="Arial" w:cs="Arial" w:eastAsia="Arial" w:hAnsi="Arial"/>
          <w:sz w:val="17"/>
          <w:szCs w:val="17"/>
          <w:color w:val="auto"/>
        </w:rPr>
        <w:t>Auditing the accounting for and the completeness of the amount of revenue that the Company expects to be entitled to in exchange for its products (for arrangements containing annual price reductions) is</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7"/>
          <w:szCs w:val="17"/>
          <w:color w:val="auto"/>
        </w:rPr>
        <w:t>judgmental due to the unique facts and circumstances involved with each revenue arrangement, as well as on-going commercial negotiations with customers.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obtained an understanding, evaluated the design and tested the operating effectiveness of controls</w:t>
      </w:r>
    </w:p>
    <w:p>
      <w:pPr>
        <w:spacing w:after="0" w:line="9" w:lineRule="exact"/>
        <w:rPr>
          <w:sz w:val="20"/>
          <w:szCs w:val="20"/>
          <w:color w:val="auto"/>
        </w:rPr>
      </w:pPr>
    </w:p>
    <w:p>
      <w:pPr>
        <w:ind w:right="220"/>
        <w:spacing w:after="0" w:line="237" w:lineRule="auto"/>
        <w:rPr>
          <w:sz w:val="20"/>
          <w:szCs w:val="20"/>
          <w:color w:val="auto"/>
        </w:rPr>
      </w:pPr>
      <w:r>
        <w:rPr>
          <w:rFonts w:ascii="Arial" w:cs="Arial" w:eastAsia="Arial" w:hAnsi="Arial"/>
          <w:sz w:val="16"/>
          <w:szCs w:val="16"/>
          <w:color w:val="auto"/>
        </w:rPr>
        <w:t>over annual price reductions. This included testing controls over the Company’s process to identify and evaluate customer contracts that contain matters that impact revenue recognition, as well as testing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controls relating to the completeness and measurement of revenue related to those sales contracts.</w:t>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audit procedures included, among others, testing the completeness and valuation of the Company’s price reductions, including interviews of executive and commercial management personnel responsible for negotiations with customers, inspecting communications between the Company and its customers related to the price reductions, and testing manual price reduction entries recorded using lower materiality thresholds for our testing purposes.</w:t>
      </w:r>
    </w:p>
    <w:p>
      <w:pPr>
        <w:spacing w:after="0" w:line="1167" w:lineRule="exact"/>
        <w:rPr>
          <w:sz w:val="20"/>
          <w:szCs w:val="20"/>
          <w:color w:val="auto"/>
        </w:rPr>
      </w:pPr>
    </w:p>
    <w:p>
      <w:pPr>
        <w:sectPr>
          <w:pgSz w:w="11900" w:h="16838" w:orient="portrait"/>
          <w:cols w:equalWidth="0" w:num="2">
            <w:col w:w="2240" w:space="640"/>
            <w:col w:w="7840"/>
          </w:cols>
          <w:pgMar w:left="320" w:top="874" w:right="85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1999.</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2023</w:t>
      </w:r>
    </w:p>
    <w:p>
      <w:pPr>
        <w:spacing w:after="0" w:line="200" w:lineRule="exact"/>
        <w:rPr>
          <w:sz w:val="20"/>
          <w:szCs w:val="20"/>
          <w:color w:val="auto"/>
        </w:rPr>
      </w:pPr>
    </w:p>
    <w:p>
      <w:pPr>
        <w:spacing w:after="0" w:line="306"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73025</wp:posOffset>
            </wp:positionV>
            <wp:extent cx="716724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720"/>
          </w:cols>
          <w:pgMar w:left="320" w:top="874" w:right="859" w:bottom="1440" w:gutter="0" w:footer="0" w:header="0"/>
          <w:type w:val="continuous"/>
        </w:sectPr>
      </w:pPr>
    </w:p>
    <w:bookmarkStart w:id="44" w:name="page45"/>
    <w:bookmarkEnd w:id="44"/>
    <w:p>
      <w:pPr>
        <w:ind w:left="33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Gentex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Gentex Corporation and subsidiaries’ internal control over financial reporting as of December 31, 2022 based on criteria established in</w:t>
      </w:r>
    </w:p>
    <w:p>
      <w:pPr>
        <w:spacing w:after="0" w:line="21" w:lineRule="exact"/>
        <w:rPr>
          <w:sz w:val="20"/>
          <w:szCs w:val="20"/>
          <w:color w:val="auto"/>
        </w:rPr>
      </w:pPr>
    </w:p>
    <w:p>
      <w:pPr>
        <w:ind w:right="200"/>
        <w:spacing w:after="0" w:line="228" w:lineRule="auto"/>
        <w:rPr>
          <w:sz w:val="20"/>
          <w:szCs w:val="20"/>
          <w:color w:val="auto"/>
        </w:rPr>
      </w:pPr>
      <w:r>
        <w:rPr>
          <w:rFonts w:ascii="Arial" w:cs="Arial" w:eastAsia="Arial" w:hAnsi="Arial"/>
          <w:sz w:val="17"/>
          <w:szCs w:val="17"/>
          <w:color w:val="auto"/>
        </w:rPr>
        <w:t>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2022, based on the COSO criteria.</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w:t>
      </w:r>
    </w:p>
    <w:p>
      <w:pPr>
        <w:spacing w:after="0" w:line="21" w:lineRule="exact"/>
        <w:rPr>
          <w:sz w:val="20"/>
          <w:szCs w:val="20"/>
          <w:color w:val="auto"/>
        </w:rPr>
      </w:pPr>
    </w:p>
    <w:p>
      <w:pPr>
        <w:ind w:right="200"/>
        <w:spacing w:after="0" w:line="228" w:lineRule="auto"/>
        <w:rPr>
          <w:sz w:val="20"/>
          <w:szCs w:val="20"/>
          <w:color w:val="auto"/>
        </w:rPr>
      </w:pPr>
      <w:r>
        <w:rPr>
          <w:rFonts w:ascii="Arial" w:cs="Arial" w:eastAsia="Arial" w:hAnsi="Arial"/>
          <w:sz w:val="17"/>
          <w:szCs w:val="17"/>
          <w:color w:val="auto"/>
        </w:rPr>
        <w:t>balance sheets of Gentex Corporation and subsidiaries as of December 31, 2022 and 2021, the related consolidated statements of income, comprehensive income, shareholders' investment and cash flows for each of the three years in the period ended December 31, 2022, and the related notes and our report dated February 22, 2023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3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680"/>
        <w:spacing w:after="0" w:line="26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32"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w:t>
      </w:r>
    </w:p>
    <w:p>
      <w:pPr>
        <w:spacing w:after="0" w:line="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compliance with the policies or procedures may deteriorate.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2023</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2"/>
          <w:szCs w:val="12"/>
          <w:color w:val="auto"/>
        </w:rPr>
        <w:t>GENTEX CORPORATION AND SUBSIDIARIES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BALANCE SHEETS</w:t>
      </w:r>
    </w:p>
    <w:p>
      <w:pPr>
        <w:jc w:val="center"/>
        <w:ind w:right="20"/>
        <w:spacing w:after="0"/>
        <w:rPr>
          <w:sz w:val="20"/>
          <w:szCs w:val="20"/>
          <w:color w:val="auto"/>
        </w:rPr>
      </w:pPr>
      <w:r>
        <w:rPr>
          <w:rFonts w:ascii="Arial" w:cs="Arial" w:eastAsia="Arial" w:hAnsi="Arial"/>
          <w:sz w:val="12"/>
          <w:szCs w:val="12"/>
          <w:color w:val="auto"/>
        </w:rPr>
        <w:t>AS OF DECEMBER 31, 2022 AND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Borders>
              <w:bottom w:val="single" w:sz="8" w:color="CCEEFF"/>
            </w:tcBorders>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ASSETS</w:t>
            </w:r>
          </w:p>
        </w:tc>
        <w:tc>
          <w:tcPr>
            <w:tcW w:w="6880" w:type="dxa"/>
            <w:vAlign w:val="bottom"/>
            <w:tcBorders>
              <w:bottom w:val="single" w:sz="8" w:color="CCEEFF"/>
            </w:tcBorders>
            <w:gridSpan w:val="2"/>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spacing w:after="0"/>
              <w:rPr>
                <w:sz w:val="20"/>
                <w:szCs w:val="20"/>
                <w:color w:val="auto"/>
              </w:rPr>
            </w:pPr>
            <w:r>
              <w:rPr>
                <w:rFonts w:ascii="Arial" w:cs="Arial" w:eastAsia="Arial" w:hAnsi="Arial"/>
                <w:sz w:val="13"/>
                <w:szCs w:val="13"/>
                <w:color w:val="auto"/>
              </w:rPr>
              <w:t>CURRENT ASSETS: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Cash and cash equivalents</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214,754,638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262,311,670</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Restricted cash</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Short-term investments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23,007,385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5,423,612</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Accounts receivable, net</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276,493,752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249,794,906</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Inventories, net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404,360,270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316,267,442</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3"/>
                <w:szCs w:val="13"/>
                <w:color w:val="auto"/>
              </w:rPr>
              <w:t>Prepaid expenses and other</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26,036,331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39,178,119</w:t>
            </w:r>
          </w:p>
        </w:tc>
        <w:tc>
          <w:tcPr>
            <w:tcW w:w="0" w:type="dxa"/>
            <w:vAlign w:val="bottom"/>
          </w:tcPr>
          <w:p>
            <w:pPr>
              <w:spacing w:after="0"/>
              <w:rPr>
                <w:sz w:val="1"/>
                <w:szCs w:val="1"/>
                <w:color w:val="auto"/>
              </w:rPr>
            </w:pPr>
          </w:p>
        </w:tc>
      </w:tr>
      <w:tr>
        <w:trPr>
          <w:trHeight w:val="185"/>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current assets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948,652,376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872,975,749</w:t>
            </w:r>
          </w:p>
        </w:tc>
        <w:tc>
          <w:tcPr>
            <w:tcW w:w="0" w:type="dxa"/>
            <w:vAlign w:val="bottom"/>
          </w:tcPr>
          <w:p>
            <w:pPr>
              <w:spacing w:after="0"/>
              <w:rPr>
                <w:sz w:val="1"/>
                <w:szCs w:val="1"/>
                <w:color w:val="auto"/>
              </w:rPr>
            </w:pPr>
          </w:p>
        </w:tc>
      </w:tr>
      <w:tr>
        <w:trPr>
          <w:trHeight w:val="185"/>
        </w:trPr>
        <w:tc>
          <w:tcPr>
            <w:tcW w:w="7420" w:type="dxa"/>
            <w:vAlign w:val="bottom"/>
            <w:gridSpan w:val="3"/>
          </w:tcPr>
          <w:p>
            <w:pPr>
              <w:spacing w:after="0"/>
              <w:rPr>
                <w:sz w:val="20"/>
                <w:szCs w:val="20"/>
                <w:color w:val="auto"/>
              </w:rPr>
            </w:pPr>
            <w:r>
              <w:rPr>
                <w:rFonts w:ascii="Arial" w:cs="Arial" w:eastAsia="Arial" w:hAnsi="Arial"/>
                <w:sz w:val="13"/>
                <w:szCs w:val="13"/>
                <w:color w:val="auto"/>
              </w:rPr>
              <w:t>PLANT AND EQUIPMENT:</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Land, buildings and improvements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376,934,354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363,646,380</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Machinery and equipment</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935,848,288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883,240,100</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Construction-in-process</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165,574,867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77,592,152</w:t>
            </w: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Total Plant and Equipment</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1,478,357,509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1,324,478,632</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Less- Accumulated depreciation</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(928,324,473)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(860,356,956)</w:t>
            </w: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Net Plant and Equipment</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550,033,036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464,121,676</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ASSETS: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Goodwill</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313,807,494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313,960,209</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Long-term investments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153,906,005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207,693,147</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Equity method investments</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48,425,978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Intangible assets, net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219,360,910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239,189,627</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Deferred tax asset</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25,528,700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4,795,678</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Patents and other assets, net</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67,515,425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28,655,080</w:t>
            </w:r>
          </w:p>
        </w:tc>
        <w:tc>
          <w:tcPr>
            <w:tcW w:w="0" w:type="dxa"/>
            <w:vAlign w:val="bottom"/>
          </w:tcPr>
          <w:p>
            <w:pPr>
              <w:spacing w:after="0"/>
              <w:rPr>
                <w:sz w:val="1"/>
                <w:szCs w:val="1"/>
                <w:color w:val="auto"/>
              </w:rPr>
            </w:pPr>
          </w:p>
        </w:tc>
      </w:tr>
      <w:tr>
        <w:trPr>
          <w:trHeight w:val="177"/>
        </w:trPr>
        <w:tc>
          <w:tcPr>
            <w:tcW w:w="540" w:type="dxa"/>
            <w:vAlign w:val="bottom"/>
            <w:tcBorders>
              <w:bottom w:val="single" w:sz="8" w:color="CCEEFF"/>
            </w:tcBorders>
          </w:tcPr>
          <w:p>
            <w:pPr>
              <w:spacing w:after="0"/>
              <w:rPr>
                <w:sz w:val="15"/>
                <w:szCs w:val="15"/>
                <w:color w:val="auto"/>
              </w:rPr>
            </w:pPr>
          </w:p>
        </w:tc>
        <w:tc>
          <w:tcPr>
            <w:tcW w:w="6880" w:type="dxa"/>
            <w:vAlign w:val="bottom"/>
            <w:tcBorders>
              <w:bottom w:val="single" w:sz="8" w:color="CCEEFF"/>
            </w:tcBorders>
            <w:gridSpan w:val="2"/>
          </w:tcPr>
          <w:p>
            <w:pPr>
              <w:ind w:left="60"/>
              <w:spacing w:after="0"/>
              <w:rPr>
                <w:sz w:val="20"/>
                <w:szCs w:val="20"/>
                <w:color w:val="auto"/>
              </w:rPr>
            </w:pPr>
            <w:r>
              <w:rPr>
                <w:rFonts w:ascii="Arial" w:cs="Arial" w:eastAsia="Arial" w:hAnsi="Arial"/>
                <w:sz w:val="13"/>
                <w:szCs w:val="13"/>
                <w:color w:val="auto"/>
              </w:rPr>
              <w:t>Total Other Assets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828,544,512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794,293,741</w:t>
            </w:r>
          </w:p>
        </w:tc>
        <w:tc>
          <w:tcPr>
            <w:tcW w:w="0" w:type="dxa"/>
            <w:vAlign w:val="bottom"/>
          </w:tcPr>
          <w:p>
            <w:pPr>
              <w:spacing w:after="0"/>
              <w:rPr>
                <w:sz w:val="1"/>
                <w:szCs w:val="1"/>
                <w:color w:val="auto"/>
              </w:rPr>
            </w:pPr>
          </w:p>
        </w:tc>
      </w:tr>
      <w:tr>
        <w:trPr>
          <w:trHeight w:val="206"/>
        </w:trPr>
        <w:tc>
          <w:tcPr>
            <w:tcW w:w="7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ASSETS</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2,327,229,924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2,131,391,166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2"/>
            <w:vMerge w:val="restart"/>
          </w:tcPr>
          <w:p>
            <w:pPr>
              <w:spacing w:after="0" w:line="141" w:lineRule="exact"/>
              <w:rPr>
                <w:sz w:val="20"/>
                <w:szCs w:val="20"/>
                <w:color w:val="auto"/>
              </w:rPr>
            </w:pPr>
            <w:r>
              <w:rPr>
                <w:rFonts w:ascii="Arial" w:cs="Arial" w:eastAsia="Arial" w:hAnsi="Arial"/>
                <w:sz w:val="13"/>
                <w:szCs w:val="13"/>
                <w:color w:val="auto"/>
              </w:rPr>
              <w:t>LIABILITIES AND SHAREHOLDERS’ INVESTMENT</w:t>
            </w:r>
          </w:p>
        </w:tc>
        <w:tc>
          <w:tcPr>
            <w:tcW w:w="4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40" w:type="dxa"/>
            <w:vAlign w:val="bottom"/>
            <w:tcBorders>
              <w:bottom w:val="single" w:sz="8" w:color="auto"/>
            </w:tcBorders>
            <w:gridSpan w:val="2"/>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Accounts payable</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151,740,046</w:t>
            </w:r>
          </w:p>
        </w:tc>
        <w:tc>
          <w:tcPr>
            <w:tcW w:w="100" w:type="dxa"/>
            <w:vAlign w:val="bottom"/>
          </w:tcPr>
          <w:p>
            <w:pPr>
              <w:spacing w:after="0"/>
              <w:rPr>
                <w:sz w:val="16"/>
                <w:szCs w:val="16"/>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98,342,928</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Accrued liabilities: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ind w:left="500"/>
              <w:spacing w:after="0"/>
              <w:rPr>
                <w:sz w:val="20"/>
                <w:szCs w:val="20"/>
                <w:color w:val="auto"/>
              </w:rPr>
            </w:pPr>
            <w:r>
              <w:rPr>
                <w:rFonts w:ascii="Arial" w:cs="Arial" w:eastAsia="Arial" w:hAnsi="Arial"/>
                <w:sz w:val="13"/>
                <w:szCs w:val="13"/>
                <w:color w:val="auto"/>
              </w:rPr>
              <w:t>Salaries, wages and vacation</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17,517,580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14,019,643</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Income taxes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18,726,857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196,863</w:t>
            </w:r>
          </w:p>
        </w:tc>
        <w:tc>
          <w:tcPr>
            <w:tcW w:w="0" w:type="dxa"/>
            <w:vAlign w:val="bottom"/>
          </w:tcPr>
          <w:p>
            <w:pPr>
              <w:spacing w:after="0"/>
              <w:rPr>
                <w:sz w:val="1"/>
                <w:szCs w:val="1"/>
                <w:color w:val="auto"/>
              </w:rPr>
            </w:pPr>
          </w:p>
        </w:tc>
      </w:tr>
      <w:tr>
        <w:trPr>
          <w:trHeight w:val="185"/>
        </w:trPr>
        <w:tc>
          <w:tcPr>
            <w:tcW w:w="7420" w:type="dxa"/>
            <w:vAlign w:val="bottom"/>
            <w:gridSpan w:val="3"/>
          </w:tcPr>
          <w:p>
            <w:pPr>
              <w:ind w:left="500"/>
              <w:spacing w:after="0"/>
              <w:rPr>
                <w:sz w:val="20"/>
                <w:szCs w:val="20"/>
                <w:color w:val="auto"/>
              </w:rPr>
            </w:pPr>
            <w:r>
              <w:rPr>
                <w:rFonts w:ascii="Arial" w:cs="Arial" w:eastAsia="Arial" w:hAnsi="Arial"/>
                <w:sz w:val="13"/>
                <w:szCs w:val="13"/>
                <w:color w:val="auto"/>
              </w:rPr>
              <w:t>Royalties</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19,208,411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19,140,907</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Dividends payable</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28,100,320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28,372,901</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ind w:left="50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15,259,538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21,582,858</w:t>
            </w:r>
          </w:p>
        </w:tc>
        <w:tc>
          <w:tcPr>
            <w:tcW w:w="0" w:type="dxa"/>
            <w:vAlign w:val="bottom"/>
          </w:tcPr>
          <w:p>
            <w:pPr>
              <w:spacing w:after="0"/>
              <w:rPr>
                <w:sz w:val="1"/>
                <w:szCs w:val="1"/>
                <w:color w:val="auto"/>
              </w:rPr>
            </w:pPr>
          </w:p>
        </w:tc>
      </w:tr>
      <w:tr>
        <w:trPr>
          <w:trHeight w:val="185"/>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current liabilities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250,552,752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181,656,100</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OTHER NON-CURRENT LIABILITIES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10,884,351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11,746,599</w:t>
            </w:r>
          </w:p>
        </w:tc>
        <w:tc>
          <w:tcPr>
            <w:tcW w:w="0" w:type="dxa"/>
            <w:vAlign w:val="bottom"/>
          </w:tcPr>
          <w:p>
            <w:pPr>
              <w:spacing w:after="0"/>
              <w:rPr>
                <w:sz w:val="1"/>
                <w:szCs w:val="1"/>
                <w:color w:val="auto"/>
              </w:rPr>
            </w:pPr>
          </w:p>
        </w:tc>
      </w:tr>
      <w:tr>
        <w:trPr>
          <w:trHeight w:val="185"/>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261,437,103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193,402,699</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0460"/>
          </w:cols>
          <w:pgMar w:left="720" w:top="652" w:right="719" w:bottom="1440" w:gutter="0" w:footer="0" w:header="0"/>
        </w:sectPr>
      </w:pPr>
    </w:p>
    <w:p>
      <w:pPr>
        <w:spacing w:after="0"/>
        <w:rPr>
          <w:sz w:val="20"/>
          <w:szCs w:val="20"/>
          <w:color w:val="auto"/>
        </w:rPr>
      </w:pPr>
      <w:r>
        <w:rPr>
          <w:rFonts w:ascii="Arial" w:cs="Arial" w:eastAsia="Arial" w:hAnsi="Arial"/>
          <w:sz w:val="13"/>
          <w:szCs w:val="13"/>
          <w:color w:val="auto"/>
        </w:rPr>
        <w:t>SHAREHOLDERS’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654165" cy="200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54165" cy="200025"/>
                    </a:xfrm>
                    <a:prstGeom prst="rect">
                      <a:avLst/>
                    </a:prstGeom>
                    <a:noFill/>
                  </pic:spPr>
                </pic:pic>
              </a:graphicData>
            </a:graphic>
          </wp:anchor>
        </w:drawing>
      </w:r>
    </w:p>
    <w:p>
      <w:pPr>
        <w:spacing w:after="0" w:line="19" w:lineRule="exact"/>
        <w:rPr>
          <w:sz w:val="20"/>
          <w:szCs w:val="20"/>
          <w:color w:val="auto"/>
        </w:rPr>
      </w:pPr>
    </w:p>
    <w:p>
      <w:pPr>
        <w:ind w:left="300"/>
        <w:spacing w:after="0" w:line="243" w:lineRule="auto"/>
        <w:rPr>
          <w:sz w:val="20"/>
          <w:szCs w:val="20"/>
          <w:color w:val="auto"/>
        </w:rPr>
      </w:pPr>
      <w:r>
        <w:rPr>
          <w:rFonts w:ascii="Arial" w:cs="Arial" w:eastAsia="Arial" w:hAnsi="Arial"/>
          <w:sz w:val="13"/>
          <w:szCs w:val="13"/>
          <w:color w:val="auto"/>
        </w:rPr>
        <w:t>Common stock, par value 0.06 per share; 400,000,000 shares authorized; 234,169,335 and 236,440,840 shares issued and outstanding in 2022 and 2021 respectively.</w:t>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65416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54165" cy="120015"/>
                    </a:xfrm>
                    <a:prstGeom prst="rect">
                      <a:avLst/>
                    </a:prstGeom>
                    <a:noFill/>
                  </pic:spPr>
                </pic:pic>
              </a:graphicData>
            </a:graphic>
          </wp:anchor>
        </w:drawing>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Retained earnings</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Accumulated other comprehensive (loss) income: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80"/>
        <w:spacing w:after="0"/>
        <w:tabs>
          <w:tab w:leader="none" w:pos="1740" w:val="left"/>
        </w:tabs>
        <w:rPr>
          <w:sz w:val="20"/>
          <w:szCs w:val="20"/>
          <w:color w:val="auto"/>
        </w:rPr>
      </w:pPr>
      <w:r>
        <w:rPr>
          <w:rFonts w:ascii="Arial" w:cs="Arial" w:eastAsia="Arial" w:hAnsi="Arial"/>
          <w:sz w:val="13"/>
          <w:szCs w:val="13"/>
          <w:color w:val="auto"/>
        </w:rPr>
        <w:t>14,050,160</w:t>
      </w:r>
      <w:r>
        <w:rPr>
          <w:sz w:val="20"/>
          <w:szCs w:val="20"/>
          <w:color w:val="auto"/>
        </w:rPr>
        <w:tab/>
      </w:r>
      <w:r>
        <w:rPr>
          <w:rFonts w:ascii="Arial" w:cs="Arial" w:eastAsia="Arial" w:hAnsi="Arial"/>
          <w:sz w:val="13"/>
          <w:szCs w:val="13"/>
          <w:color w:val="auto"/>
        </w:rPr>
        <w:t>14,186,450</w:t>
      </w:r>
    </w:p>
    <w:p>
      <w:pPr>
        <w:spacing w:after="0" w:line="102"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3"/>
          <w:szCs w:val="13"/>
          <w:color w:val="auto"/>
        </w:rPr>
        <w:t>917,499,323</w:t>
      </w:r>
      <w:r>
        <w:rPr>
          <w:sz w:val="20"/>
          <w:szCs w:val="20"/>
          <w:color w:val="auto"/>
        </w:rPr>
        <w:tab/>
      </w:r>
      <w:r>
        <w:rPr>
          <w:rFonts w:ascii="Arial" w:cs="Arial" w:eastAsia="Arial" w:hAnsi="Arial"/>
          <w:sz w:val="13"/>
          <w:szCs w:val="13"/>
          <w:color w:val="auto"/>
        </w:rPr>
        <w:t>879,413,385</w:t>
      </w:r>
    </w:p>
    <w:p>
      <w:pPr>
        <w:spacing w:after="0" w:line="39" w:lineRule="exact"/>
        <w:rPr>
          <w:sz w:val="20"/>
          <w:szCs w:val="20"/>
          <w:color w:val="auto"/>
        </w:rPr>
      </w:pPr>
    </w:p>
    <w:p>
      <w:pPr>
        <w:spacing w:after="0"/>
        <w:tabs>
          <w:tab w:leader="none" w:pos="1540" w:val="left"/>
        </w:tabs>
        <w:rPr>
          <w:sz w:val="20"/>
          <w:szCs w:val="20"/>
          <w:color w:val="auto"/>
        </w:rPr>
      </w:pPr>
      <w:r>
        <w:rPr>
          <w:rFonts w:ascii="Arial" w:cs="Arial" w:eastAsia="Arial" w:hAnsi="Arial"/>
          <w:sz w:val="13"/>
          <w:szCs w:val="13"/>
          <w:color w:val="auto"/>
        </w:rPr>
        <w:t>1,148,386,272</w:t>
      </w:r>
      <w:r>
        <w:rPr>
          <w:sz w:val="20"/>
          <w:szCs w:val="20"/>
          <w:color w:val="auto"/>
        </w:rPr>
        <w:tab/>
      </w:r>
      <w:r>
        <w:rPr>
          <w:rFonts w:ascii="Arial" w:cs="Arial" w:eastAsia="Arial" w:hAnsi="Arial"/>
          <w:sz w:val="13"/>
          <w:szCs w:val="13"/>
          <w:color w:val="auto"/>
        </w:rPr>
        <w:t>1,042,461,388</w:t>
      </w:r>
    </w:p>
    <w:p>
      <w:pPr>
        <w:spacing w:after="0" w:line="234" w:lineRule="exact"/>
        <w:rPr>
          <w:sz w:val="20"/>
          <w:szCs w:val="20"/>
          <w:color w:val="auto"/>
        </w:rPr>
      </w:pPr>
    </w:p>
    <w:p>
      <w:pPr>
        <w:sectPr>
          <w:pgSz w:w="11900" w:h="16838" w:orient="portrait"/>
          <w:cols w:equalWidth="0" w:num="2">
            <w:col w:w="7380" w:space="600"/>
            <w:col w:w="2480"/>
          </w:cols>
          <w:pgMar w:left="720" w:top="652" w:right="71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74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Unrealized (loss) gain on investments, net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(10,110,695)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1,006,655</w:t>
            </w:r>
          </w:p>
        </w:tc>
      </w:tr>
      <w:tr>
        <w:trPr>
          <w:trHeight w:val="185"/>
        </w:trPr>
        <w:tc>
          <w:tcPr>
            <w:tcW w:w="7420" w:type="dxa"/>
            <w:vAlign w:val="bottom"/>
            <w:tcBorders>
              <w:bottom w:val="single" w:sz="8" w:color="CCEEFF"/>
            </w:tcBorders>
          </w:tcPr>
          <w:p>
            <w:pPr>
              <w:ind w:left="600"/>
              <w:spacing w:after="0"/>
              <w:rPr>
                <w:sz w:val="20"/>
                <w:szCs w:val="20"/>
                <w:color w:val="auto"/>
              </w:rPr>
            </w:pPr>
            <w:r>
              <w:rPr>
                <w:rFonts w:ascii="Arial" w:cs="Arial" w:eastAsia="Arial" w:hAnsi="Arial"/>
                <w:sz w:val="13"/>
                <w:szCs w:val="13"/>
                <w:color w:val="auto"/>
              </w:rPr>
              <w:t>Cumulative translation adjustment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(4,032,239)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920,589</w:t>
            </w:r>
          </w:p>
        </w:tc>
      </w:tr>
      <w:tr>
        <w:trPr>
          <w:trHeight w:val="185"/>
        </w:trPr>
        <w:tc>
          <w:tcPr>
            <w:tcW w:w="742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Total shareholders’ investment</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2,065,792,821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1,937,988,467</w:t>
            </w:r>
          </w:p>
        </w:tc>
      </w:tr>
      <w:tr>
        <w:trPr>
          <w:trHeight w:val="177"/>
        </w:trPr>
        <w:tc>
          <w:tcPr>
            <w:tcW w:w="7420" w:type="dxa"/>
            <w:vAlign w:val="bottom"/>
          </w:tcPr>
          <w:p>
            <w:pPr>
              <w:spacing w:after="0"/>
              <w:rPr>
                <w:sz w:val="20"/>
                <w:szCs w:val="20"/>
                <w:color w:val="auto"/>
              </w:rPr>
            </w:pPr>
            <w:r>
              <w:rPr>
                <w:rFonts w:ascii="Arial" w:cs="Arial" w:eastAsia="Arial" w:hAnsi="Arial"/>
                <w:sz w:val="13"/>
                <w:szCs w:val="13"/>
                <w:color w:val="auto"/>
              </w:rPr>
              <w:t>TOTAL LIABILITIES AND SHAREHOLDERS' INVESTMENT</w:t>
            </w: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2,327,229,924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2,131,391,166</w:t>
            </w:r>
          </w:p>
        </w:tc>
      </w:tr>
      <w:tr>
        <w:trPr>
          <w:trHeight w:val="22"/>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65405</wp:posOffset>
            </wp:positionV>
            <wp:extent cx="716724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460"/>
          </w:cols>
          <w:pgMar w:left="720" w:top="652" w:right="71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CONSOLIDATED STATEMENTS OF INCOME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FOR THE YEARS ENDED DECEMBER 31, 2022, 2021 AND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2020</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1,918,958,043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1,731,169,929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1,688,189,405</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1,309,143,858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1,111,462,082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1,082,745,885</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609,814,185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619,707,847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605,443,520</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Engineering, research and development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133,308,804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117,763,676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115,935,047</w:t>
            </w: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106,499,255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92,162,193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89,952,381</w:t>
            </w:r>
          </w:p>
        </w:tc>
      </w:tr>
      <w:tr>
        <w:trPr>
          <w:trHeight w:val="206"/>
        </w:trPr>
        <w:tc>
          <w:tcPr>
            <w:tcW w:w="574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239,808,059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209,925,869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205,887,428</w:t>
            </w:r>
          </w:p>
        </w:tc>
      </w:tr>
      <w:tr>
        <w:trPr>
          <w:trHeight w:val="219"/>
        </w:trPr>
        <w:tc>
          <w:tcPr>
            <w:tcW w:w="5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Income from operations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370,006,126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409,781,978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399,556,092</w:t>
            </w:r>
          </w:p>
        </w:tc>
      </w:tr>
      <w:tr>
        <w:trPr>
          <w:trHeight w:val="239"/>
        </w:trPr>
        <w:tc>
          <w:tcPr>
            <w:tcW w:w="5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 income</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4,795,823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3,589,798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6,986,303</w:t>
            </w:r>
          </w:p>
        </w:tc>
      </w:tr>
      <w:tr>
        <w:trPr>
          <w:trHeight w:val="214"/>
        </w:trPr>
        <w:tc>
          <w:tcPr>
            <w:tcW w:w="5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(loss) income, net</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(5,078,873)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2,979,960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5,270,534</w:t>
            </w:r>
          </w:p>
        </w:tc>
      </w:tr>
      <w:tr>
        <w:trPr>
          <w:trHeight w:val="206"/>
        </w:trPr>
        <w:tc>
          <w:tcPr>
            <w:tcW w:w="5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other (loss) income</w:t>
            </w: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(283,050)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6,569,758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12,256,837</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before provision for income taxes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369,723,076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416,351,736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411,812,929</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50,965,724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55,554,504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64,249,308</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318,757,352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360,797,232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347,563,621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4"/>
        </w:trPr>
        <w:tc>
          <w:tcPr>
            <w:tcW w:w="574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EARNINGS PER SHARE</w:t>
            </w:r>
            <w:r>
              <w:rPr>
                <w:rFonts w:ascii="Arial" w:cs="Arial" w:eastAsia="Arial" w:hAnsi="Arial"/>
                <w:sz w:val="21"/>
                <w:szCs w:val="21"/>
                <w:color w:val="auto"/>
                <w:vertAlign w:val="superscript"/>
              </w:rPr>
              <w:t>(1)</w:t>
            </w: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Basic</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9"/>
        </w:trPr>
        <w:tc>
          <w:tcPr>
            <w:tcW w:w="5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Declared per Share</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712597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5970" cy="120015"/>
                    </a:xfrm>
                    <a:prstGeom prst="rect">
                      <a:avLst/>
                    </a:prstGeom>
                    <a:noFill/>
                  </pic:spPr>
                </pic:pic>
              </a:graphicData>
            </a:graphic>
          </wp:anchor>
        </w:drawing>
      </w:r>
    </w:p>
    <w:p>
      <w:pPr>
        <w:spacing w:after="0" w:line="204" w:lineRule="exact"/>
        <w:rPr>
          <w:sz w:val="20"/>
          <w:szCs w:val="20"/>
          <w:color w:val="auto"/>
        </w:rPr>
      </w:pPr>
    </w:p>
    <w:p>
      <w:pPr>
        <w:ind w:left="160" w:hanging="143"/>
        <w:spacing w:after="0"/>
        <w:tabs>
          <w:tab w:leader="none" w:pos="160"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Earnings Per Share has been adjusted to exclude the portion of net income allocated to participating securities as a result of share-based payment awards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840" w:right="35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CONSOLIDATED STATEMENTS OF COMPREHENSIVE INCOME</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 THE YEARS ENDED DECEMBER 31, 2022,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318,757,352</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360,797,232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347,563,621</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before tax:</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120"/>
              <w:spacing w:after="0"/>
              <w:rPr>
                <w:sz w:val="20"/>
                <w:szCs w:val="20"/>
                <w:color w:val="auto"/>
              </w:rPr>
            </w:pPr>
            <w:r>
              <w:rPr>
                <w:rFonts w:ascii="Arial" w:cs="Arial" w:eastAsia="Arial" w:hAnsi="Arial"/>
                <w:sz w:val="17"/>
                <w:szCs w:val="17"/>
                <w:color w:val="auto"/>
              </w:rPr>
              <w:t>Foreign currency translation adjustments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(4,952,828)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151,544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3,153,634</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Unrealized (losses) gains on available-for-sale securities, net</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(14,072,595)</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(6,424,496)</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6,312,051</w:t>
            </w: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before tax</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(19,025,423)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(6,272,952)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9,465,685</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58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(Benefit) expense for income taxes related to components of other</w:t>
            </w:r>
          </w:p>
        </w:tc>
        <w:tc>
          <w:tcPr>
            <w:tcW w:w="3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(2,955,245)</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(1,349,144)</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1,325,530</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 income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(16,070,178)</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(4,923,808)</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8,140,155</w:t>
            </w: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302,687,174</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355,873,424</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355,703,776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65405</wp:posOffset>
            </wp:positionV>
            <wp:extent cx="716724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40" w:top="84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CONSOLIDATED STATEMENTS OF SHAREHOLDERS’ INVESTMENT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 THE YEARS ENDED DECEMBER 31, 2022, 2021 and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Common</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Additional</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1000" w:type="dxa"/>
            <w:vAlign w:val="bottom"/>
            <w:vMerge w:val="restart"/>
          </w:tcPr>
          <w:p>
            <w:pPr>
              <w:jc w:val="center"/>
              <w:ind w:right="7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11"/>
                <w:szCs w:val="11"/>
                <w:color w:val="auto"/>
              </w:rPr>
            </w:pPr>
          </w:p>
        </w:tc>
        <w:tc>
          <w:tcPr>
            <w:tcW w:w="96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580" w:type="dxa"/>
            <w:vAlign w:val="bottom"/>
          </w:tcPr>
          <w:p>
            <w:pPr>
              <w:spacing w:after="0"/>
              <w:rPr>
                <w:sz w:val="12"/>
                <w:szCs w:val="12"/>
                <w:color w:val="auto"/>
              </w:rPr>
            </w:pPr>
          </w:p>
        </w:tc>
        <w:tc>
          <w:tcPr>
            <w:tcW w:w="104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rPr>
              <w:t>Paid-In</w:t>
            </w:r>
          </w:p>
        </w:tc>
        <w:tc>
          <w:tcPr>
            <w:tcW w:w="1140" w:type="dxa"/>
            <w:vAlign w:val="bottom"/>
            <w:gridSpan w:val="2"/>
            <w:vMerge w:val="continue"/>
          </w:tcPr>
          <w:p>
            <w:pPr>
              <w:spacing w:after="0"/>
              <w:rPr>
                <w:sz w:val="12"/>
                <w:szCs w:val="12"/>
                <w:color w:val="auto"/>
              </w:rPr>
            </w:pPr>
          </w:p>
        </w:tc>
        <w:tc>
          <w:tcPr>
            <w:tcW w:w="11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000" w:type="dxa"/>
            <w:vAlign w:val="bottom"/>
          </w:tcPr>
          <w:p>
            <w:pPr>
              <w:jc w:val="center"/>
              <w:ind w:right="33"/>
              <w:spacing w:after="0" w:line="139"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Capital</w:t>
            </w:r>
          </w:p>
        </w:tc>
        <w:tc>
          <w:tcPr>
            <w:tcW w:w="1140" w:type="dxa"/>
            <w:vAlign w:val="bottom"/>
            <w:gridSpan w:val="2"/>
          </w:tcPr>
          <w:p>
            <w:pPr>
              <w:ind w:left="240"/>
              <w:spacing w:after="0"/>
              <w:rPr>
                <w:sz w:val="20"/>
                <w:szCs w:val="20"/>
                <w:color w:val="auto"/>
              </w:rPr>
            </w:pPr>
            <w:r>
              <w:rPr>
                <w:rFonts w:ascii="Arial" w:cs="Arial" w:eastAsia="Arial" w:hAnsi="Arial"/>
                <w:sz w:val="13"/>
                <w:szCs w:val="13"/>
                <w:b w:val="1"/>
                <w:bCs w:val="1"/>
                <w:color w:val="auto"/>
              </w:rPr>
              <w:t>Earnings</w:t>
            </w:r>
          </w:p>
        </w:tc>
        <w:tc>
          <w:tcPr>
            <w:tcW w:w="11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5"/>
                <w:szCs w:val="15"/>
                <w:color w:val="auto"/>
              </w:rPr>
            </w:pPr>
          </w:p>
        </w:tc>
        <w:tc>
          <w:tcPr>
            <w:tcW w:w="1000" w:type="dxa"/>
            <w:vAlign w:val="bottom"/>
          </w:tcPr>
          <w:p>
            <w:pPr>
              <w:jc w:val="center"/>
              <w:ind w:right="33"/>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JANUARY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251,277,515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15,076,651</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$ 807,928,139</w:t>
            </w:r>
          </w:p>
        </w:tc>
        <w:tc>
          <w:tcPr>
            <w:tcW w:w="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$ 1,116,372,133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(1,289,103)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1,938,087,820</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Issuance of common stock from stock plan transactions</w:t>
            </w:r>
          </w:p>
        </w:tc>
        <w:tc>
          <w:tcPr>
            <w:tcW w:w="960" w:type="dxa"/>
            <w:vAlign w:val="bottom"/>
          </w:tcPr>
          <w:p>
            <w:pPr>
              <w:jc w:val="right"/>
              <w:spacing w:after="0"/>
              <w:rPr>
                <w:sz w:val="20"/>
                <w:szCs w:val="20"/>
                <w:color w:val="auto"/>
              </w:rPr>
            </w:pPr>
            <w:r>
              <w:rPr>
                <w:rFonts w:ascii="Arial" w:cs="Arial" w:eastAsia="Arial" w:hAnsi="Arial"/>
                <w:sz w:val="13"/>
                <w:szCs w:val="13"/>
                <w:color w:val="auto"/>
              </w:rPr>
              <w:t>2,897,689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173,861</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41,629,779</w:t>
            </w:r>
          </w:p>
        </w:tc>
        <w:tc>
          <w:tcPr>
            <w:tcW w:w="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41,803,640</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stock related to acquisitions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163,718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3,549,406</w:t>
            </w:r>
          </w:p>
        </w:tc>
        <w:tc>
          <w:tcPr>
            <w:tcW w:w="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3,559,229</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jc w:val="right"/>
              <w:spacing w:after="0"/>
              <w:rPr>
                <w:sz w:val="20"/>
                <w:szCs w:val="20"/>
                <w:color w:val="auto"/>
              </w:rPr>
            </w:pPr>
            <w:r>
              <w:rPr>
                <w:rFonts w:ascii="Arial" w:cs="Arial" w:eastAsia="Arial" w:hAnsi="Arial"/>
                <w:sz w:val="13"/>
                <w:szCs w:val="13"/>
                <w:color w:val="auto"/>
              </w:rPr>
              <w:t>(10,646,053)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(638,763)</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(31,133,143)</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(256,708,600)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(288,480,506)</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Stock-based compensation expense related to stock options, employee</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30,797,327</w:t>
            </w:r>
          </w:p>
        </w:tc>
        <w:tc>
          <w:tcPr>
            <w:tcW w:w="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30,797,327</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purchases, restricted stock, and performance share awards</w:t>
            </w: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Dividends declared ($0.48 per share)</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(117,528,158)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(117,528,158)</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347,563,621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347,563,621</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8,140,155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8,140,155</w:t>
            </w:r>
          </w:p>
        </w:tc>
        <w:tc>
          <w:tcPr>
            <w:tcW w:w="0" w:type="dxa"/>
            <w:vAlign w:val="bottom"/>
          </w:tcPr>
          <w:p>
            <w:pPr>
              <w:spacing w:after="0"/>
              <w:rPr>
                <w:sz w:val="1"/>
                <w:szCs w:val="1"/>
                <w:color w:val="auto"/>
              </w:rPr>
            </w:pPr>
          </w:p>
        </w:tc>
      </w:tr>
      <w:tr>
        <w:trPr>
          <w:trHeight w:val="185"/>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243,692,869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14,621,572</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$ 852,771,508</w:t>
            </w:r>
          </w:p>
        </w:tc>
        <w:tc>
          <w:tcPr>
            <w:tcW w:w="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$ 1,089,698,996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6,851,052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1,963,943,128</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Issuance of common stock from stock plan transactions</w:t>
            </w:r>
          </w:p>
        </w:tc>
        <w:tc>
          <w:tcPr>
            <w:tcW w:w="960" w:type="dxa"/>
            <w:vAlign w:val="bottom"/>
          </w:tcPr>
          <w:p>
            <w:pPr>
              <w:jc w:val="right"/>
              <w:spacing w:after="0"/>
              <w:rPr>
                <w:sz w:val="20"/>
                <w:szCs w:val="20"/>
                <w:color w:val="auto"/>
              </w:rPr>
            </w:pPr>
            <w:r>
              <w:rPr>
                <w:rFonts w:ascii="Arial" w:cs="Arial" w:eastAsia="Arial" w:hAnsi="Arial"/>
                <w:sz w:val="13"/>
                <w:szCs w:val="13"/>
                <w:color w:val="auto"/>
              </w:rPr>
              <w:t>2,343,169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140,590</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29,668,197</w:t>
            </w:r>
          </w:p>
        </w:tc>
        <w:tc>
          <w:tcPr>
            <w:tcW w:w="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29,808,787</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(9,595,198)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(575,712)</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(30,447,965)</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(293,619,458)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(324,643,135)</w:t>
            </w:r>
          </w:p>
        </w:tc>
        <w:tc>
          <w:tcPr>
            <w:tcW w:w="0" w:type="dxa"/>
            <w:vAlign w:val="bottom"/>
          </w:tcPr>
          <w:p>
            <w:pPr>
              <w:spacing w:after="0"/>
              <w:rPr>
                <w:sz w:val="1"/>
                <w:szCs w:val="1"/>
                <w:color w:val="auto"/>
              </w:rPr>
            </w:pPr>
          </w:p>
        </w:tc>
      </w:tr>
      <w:tr>
        <w:trPr>
          <w:trHeight w:val="143"/>
        </w:trPr>
        <w:tc>
          <w:tcPr>
            <w:tcW w:w="4580" w:type="dxa"/>
            <w:vAlign w:val="bottom"/>
          </w:tcPr>
          <w:p>
            <w:pPr>
              <w:ind w:left="120"/>
              <w:spacing w:after="0" w:line="144" w:lineRule="exact"/>
              <w:rPr>
                <w:sz w:val="20"/>
                <w:szCs w:val="20"/>
                <w:color w:val="auto"/>
              </w:rPr>
            </w:pPr>
            <w:r>
              <w:rPr>
                <w:rFonts w:ascii="Arial" w:cs="Arial" w:eastAsia="Arial" w:hAnsi="Arial"/>
                <w:sz w:val="13"/>
                <w:szCs w:val="13"/>
                <w:color w:val="auto"/>
              </w:rPr>
              <w:t>Stock-based compensation expense related to stock options, employee</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27,421,645</w:t>
            </w:r>
          </w:p>
        </w:tc>
        <w:tc>
          <w:tcPr>
            <w:tcW w:w="6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27,421,645</w:t>
            </w: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Arial" w:cs="Arial" w:eastAsia="Arial" w:hAnsi="Arial"/>
                <w:sz w:val="13"/>
                <w:szCs w:val="13"/>
                <w:color w:val="auto"/>
              </w:rPr>
              <w:t>stock purchases, restricted stock, and performance share awards</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 ($0.48 per share)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(114,415,382)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(114,415,382)</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360,797,232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360,797,232</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(4,923,808)</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(4,923,808)</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3"/>
                <w:szCs w:val="13"/>
                <w:color w:val="auto"/>
              </w:rPr>
              <w:t>BALANCE AS OF DECEMBER 31, 2021</w:t>
            </w:r>
          </w:p>
        </w:tc>
        <w:tc>
          <w:tcPr>
            <w:tcW w:w="960" w:type="dxa"/>
            <w:vAlign w:val="bottom"/>
          </w:tcPr>
          <w:p>
            <w:pPr>
              <w:jc w:val="right"/>
              <w:spacing w:after="0"/>
              <w:rPr>
                <w:sz w:val="20"/>
                <w:szCs w:val="20"/>
                <w:color w:val="auto"/>
              </w:rPr>
            </w:pPr>
            <w:r>
              <w:rPr>
                <w:rFonts w:ascii="Arial" w:cs="Arial" w:eastAsia="Arial" w:hAnsi="Arial"/>
                <w:sz w:val="13"/>
                <w:szCs w:val="13"/>
                <w:color w:val="auto"/>
              </w:rPr>
              <w:t>236,440,840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14,186,450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$ 879,413,385</w:t>
            </w:r>
          </w:p>
        </w:tc>
        <w:tc>
          <w:tcPr>
            <w:tcW w:w="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$ 1,042,461,388</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1,927,244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1,937,988,467</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from stock plan transactions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1,606,965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96,418</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16,505,856</w:t>
            </w:r>
          </w:p>
        </w:tc>
        <w:tc>
          <w:tcPr>
            <w:tcW w:w="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16,602,274</w:t>
            </w:r>
          </w:p>
        </w:tc>
        <w:tc>
          <w:tcPr>
            <w:tcW w:w="0" w:type="dxa"/>
            <w:vAlign w:val="bottom"/>
          </w:tcPr>
          <w:p>
            <w:pPr>
              <w:spacing w:after="0"/>
              <w:rPr>
                <w:sz w:val="1"/>
                <w:szCs w:val="1"/>
                <w:color w:val="auto"/>
              </w:rPr>
            </w:pPr>
          </w:p>
        </w:tc>
      </w:tr>
      <w:tr>
        <w:trPr>
          <w:trHeight w:val="185"/>
        </w:trPr>
        <w:tc>
          <w:tcPr>
            <w:tcW w:w="4580" w:type="dxa"/>
            <w:vAlign w:val="bottom"/>
          </w:tcPr>
          <w:p>
            <w:pPr>
              <w:ind w:left="120"/>
              <w:spacing w:after="0"/>
              <w:rPr>
                <w:sz w:val="20"/>
                <w:szCs w:val="20"/>
                <w:color w:val="auto"/>
              </w:rPr>
            </w:pPr>
            <w:r>
              <w:rPr>
                <w:rFonts w:ascii="Arial" w:cs="Arial" w:eastAsia="Arial" w:hAnsi="Arial"/>
                <w:sz w:val="13"/>
                <w:szCs w:val="13"/>
                <w:color w:val="auto"/>
              </w:rPr>
              <w:t>Issuance of common stock related to acquisitions</w:t>
            </w:r>
          </w:p>
        </w:tc>
        <w:tc>
          <w:tcPr>
            <w:tcW w:w="960" w:type="dxa"/>
            <w:vAlign w:val="bottom"/>
          </w:tcPr>
          <w:p>
            <w:pPr>
              <w:jc w:val="right"/>
              <w:spacing w:after="0"/>
              <w:rPr>
                <w:sz w:val="20"/>
                <w:szCs w:val="20"/>
                <w:color w:val="auto"/>
              </w:rPr>
            </w:pPr>
            <w:r>
              <w:rPr>
                <w:rFonts w:ascii="Arial" w:cs="Arial" w:eastAsia="Arial" w:hAnsi="Arial"/>
                <w:sz w:val="13"/>
                <w:szCs w:val="13"/>
                <w:color w:val="auto"/>
              </w:rPr>
              <w:t>162,433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9,746</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4,990,266</w:t>
            </w:r>
          </w:p>
        </w:tc>
        <w:tc>
          <w:tcPr>
            <w:tcW w:w="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5,000,012</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(4,040,903)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(242,454)</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(13,638,790)</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(100,013,126)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(113,894,370)</w:t>
            </w:r>
          </w:p>
        </w:tc>
        <w:tc>
          <w:tcPr>
            <w:tcW w:w="0" w:type="dxa"/>
            <w:vAlign w:val="bottom"/>
          </w:tcPr>
          <w:p>
            <w:pPr>
              <w:spacing w:after="0"/>
              <w:rPr>
                <w:sz w:val="1"/>
                <w:szCs w:val="1"/>
                <w:color w:val="auto"/>
              </w:rPr>
            </w:pPr>
          </w:p>
        </w:tc>
      </w:tr>
      <w:tr>
        <w:trPr>
          <w:trHeight w:val="143"/>
        </w:trPr>
        <w:tc>
          <w:tcPr>
            <w:tcW w:w="4580" w:type="dxa"/>
            <w:vAlign w:val="bottom"/>
          </w:tcPr>
          <w:p>
            <w:pPr>
              <w:ind w:left="120"/>
              <w:spacing w:after="0" w:line="144" w:lineRule="exact"/>
              <w:rPr>
                <w:sz w:val="20"/>
                <w:szCs w:val="20"/>
                <w:color w:val="auto"/>
              </w:rPr>
            </w:pPr>
            <w:r>
              <w:rPr>
                <w:rFonts w:ascii="Arial" w:cs="Arial" w:eastAsia="Arial" w:hAnsi="Arial"/>
                <w:sz w:val="13"/>
                <w:szCs w:val="13"/>
                <w:color w:val="auto"/>
              </w:rPr>
              <w:t>Stock-based compensation expense related to stock options, employee</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30,228,606</w:t>
            </w:r>
          </w:p>
        </w:tc>
        <w:tc>
          <w:tcPr>
            <w:tcW w:w="6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30,228,606</w:t>
            </w: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Arial" w:cs="Arial" w:eastAsia="Arial" w:hAnsi="Arial"/>
                <w:sz w:val="13"/>
                <w:szCs w:val="13"/>
                <w:color w:val="auto"/>
              </w:rPr>
              <w:t>stock purchases, restricted stock, and performance share awards</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 ($0.48 per share)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(112,819,342)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(112,819,342)</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318,757,352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318,757,352</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(16,070,178)</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(16,070,178)</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3"/>
                <w:szCs w:val="13"/>
                <w:color w:val="auto"/>
              </w:rPr>
              <w:t>BALANCE AS OF DECEMBER 31, 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234,169,335</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14,050,160</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$ 917,499,323</w:t>
            </w:r>
          </w:p>
        </w:tc>
        <w:tc>
          <w:tcPr>
            <w:tcW w:w="6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$ 1,148,386,272</w:t>
            </w:r>
          </w:p>
        </w:tc>
        <w:tc>
          <w:tcPr>
            <w:tcW w:w="8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(14,142,934)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2,065,792,821</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 There may be some differences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65405</wp:posOffset>
            </wp:positionV>
            <wp:extent cx="716724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080"/>
          </w:cols>
          <w:pgMar w:left="400" w:top="726" w:right="419" w:bottom="1440" w:gutter="0" w:footer="0" w:header="0"/>
        </w:sectPr>
      </w:pPr>
    </w:p>
    <w:bookmarkStart w:id="49" w:name="page50"/>
    <w:bookmarkEnd w:id="49"/>
    <w:p>
      <w:pPr>
        <w:ind w:left="270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7"/>
          <w:szCs w:val="17"/>
          <w:u w:val="single" w:color="auto"/>
          <w:color w:val="auto"/>
        </w:rPr>
        <w:t>CONSOLIDATED STATEMENTS OF CASH FLOWS</w:t>
      </w:r>
    </w:p>
    <w:p>
      <w:pPr>
        <w:spacing w:after="0" w:line="132" w:lineRule="exact"/>
        <w:rPr>
          <w:sz w:val="20"/>
          <w:szCs w:val="20"/>
          <w:color w:val="auto"/>
        </w:rPr>
      </w:pPr>
    </w:p>
    <w:p>
      <w:pPr>
        <w:ind w:left="1980"/>
        <w:spacing w:after="0"/>
        <w:rPr>
          <w:sz w:val="20"/>
          <w:szCs w:val="20"/>
          <w:color w:val="auto"/>
        </w:rPr>
      </w:pPr>
      <w:r>
        <w:rPr>
          <w:rFonts w:ascii="Arial" w:cs="Arial" w:eastAsia="Arial" w:hAnsi="Arial"/>
          <w:sz w:val="16"/>
          <w:szCs w:val="16"/>
          <w:u w:val="single" w:color="auto"/>
          <w:color w:val="auto"/>
        </w:rPr>
        <w:t>FOR THE YEARS ENDED DECEMBER 31, 2022, 2021 AND 2020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65405</wp:posOffset>
            </wp:positionV>
            <wp:extent cx="716724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9019"/>
          </w:cols>
          <w:pgMar w:left="1440" w:top="425"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FLOWS FROM OPERATING ACTIVITIES:</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318,757,352</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360,797,232</w:t>
            </w:r>
          </w:p>
        </w:tc>
        <w:tc>
          <w:tcPr>
            <w:tcW w:w="10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347,563,621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6140" w:type="dxa"/>
            <w:vAlign w:val="bottom"/>
            <w:shd w:val="clear" w:color="auto" w:fill="CCEEFF"/>
          </w:tcPr>
          <w:p>
            <w:pPr>
              <w:ind w:left="300"/>
              <w:spacing w:after="0" w:line="163"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activities: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96,568,443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99,112,019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104,739,900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disposal of assets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(488,750)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7"/>
                <w:szCs w:val="17"/>
                <w:color w:val="auto"/>
              </w:rPr>
              <w:t>Loss on disposal of assets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28,424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230,933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162,553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sale of investments and equity method investment income</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(392,040)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(1,379,538)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(3,163,164)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7"/>
                <w:szCs w:val="17"/>
                <w:color w:val="auto"/>
              </w:rPr>
              <w:t>Loss on sale of investments and equity method investment losses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2,104,907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307,490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1,064,508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(17,777,777)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(41,694,751)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(15,419,722)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6140" w:type="dxa"/>
            <w:vAlign w:val="bottom"/>
          </w:tcPr>
          <w:p>
            <w:pPr>
              <w:ind w:left="420"/>
              <w:spacing w:after="0" w:line="163" w:lineRule="exact"/>
              <w:rPr>
                <w:sz w:val="20"/>
                <w:szCs w:val="20"/>
                <w:color w:val="auto"/>
              </w:rPr>
            </w:pPr>
            <w:r>
              <w:rPr>
                <w:rFonts w:ascii="Arial" w:cs="Arial" w:eastAsia="Arial" w:hAnsi="Arial"/>
                <w:sz w:val="17"/>
                <w:szCs w:val="17"/>
                <w:color w:val="auto"/>
              </w:rPr>
              <w:t>Stock based compensation expense related to employee stock options,</w:t>
            </w:r>
          </w:p>
        </w:tc>
        <w:tc>
          <w:tcPr>
            <w:tcW w:w="3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30,228,606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27,421,645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30,797,327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7"/>
                <w:szCs w:val="17"/>
                <w:color w:val="auto"/>
              </w:rPr>
              <w:t>employee stock purchases and restricted stock</w:t>
            </w:r>
          </w:p>
        </w:tc>
        <w:tc>
          <w:tcPr>
            <w:tcW w:w="3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Change in operating assets and liabilities: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720"/>
              <w:spacing w:after="0"/>
              <w:rPr>
                <w:sz w:val="20"/>
                <w:szCs w:val="20"/>
                <w:color w:val="auto"/>
              </w:rPr>
            </w:pPr>
            <w:r>
              <w:rPr>
                <w:rFonts w:ascii="Arial" w:cs="Arial" w:eastAsia="Arial" w:hAnsi="Arial"/>
                <w:sz w:val="17"/>
                <w:szCs w:val="17"/>
                <w:color w:val="auto"/>
              </w:rPr>
              <w:t>Accounts receivable</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(26,698,846)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35,135,429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(49,290,457)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(88,092,828)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(89,975,599)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22,725,798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720"/>
              <w:spacing w:after="0"/>
              <w:rPr>
                <w:sz w:val="20"/>
                <w:szCs w:val="20"/>
                <w:color w:val="auto"/>
              </w:rPr>
            </w:pPr>
            <w:r>
              <w:rPr>
                <w:rFonts w:ascii="Arial" w:cs="Arial" w:eastAsia="Arial" w:hAnsi="Arial"/>
                <w:sz w:val="17"/>
                <w:szCs w:val="17"/>
                <w:color w:val="auto"/>
              </w:rPr>
              <w:t>Prepaid expenses and other</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(28,788,331)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(20,241,994)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10,493,993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37,423,488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7,266,309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(12,854,038)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Borders>
              <w:bottom w:val="single" w:sz="8" w:color="CCEEFF"/>
            </w:tcBorders>
          </w:tcPr>
          <w:p>
            <w:pPr>
              <w:ind w:left="720"/>
              <w:spacing w:after="0"/>
              <w:rPr>
                <w:sz w:val="20"/>
                <w:szCs w:val="20"/>
                <w:color w:val="auto"/>
              </w:rPr>
            </w:pPr>
            <w:r>
              <w:rPr>
                <w:rFonts w:ascii="Arial" w:cs="Arial" w:eastAsia="Arial" w:hAnsi="Arial"/>
                <w:sz w:val="17"/>
                <w:szCs w:val="17"/>
                <w:color w:val="auto"/>
              </w:rPr>
              <w:t>Accrued liabilities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14,909,867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(14,322,863)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27,982,962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cash flows from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338,200,529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362,167,562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464,491,771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6140" w:type="dxa"/>
            <w:vAlign w:val="bottom"/>
          </w:tcPr>
          <w:p>
            <w:pPr>
              <w:spacing w:after="0" w:line="194" w:lineRule="exact"/>
              <w:rPr>
                <w:sz w:val="20"/>
                <w:szCs w:val="20"/>
                <w:color w:val="auto"/>
              </w:rPr>
            </w:pPr>
            <w:r>
              <w:rPr>
                <w:rFonts w:ascii="Arial" w:cs="Arial" w:eastAsia="Arial" w:hAnsi="Arial"/>
                <w:sz w:val="17"/>
                <w:szCs w:val="17"/>
                <w:color w:val="auto"/>
              </w:rPr>
              <w:t>CASH FLOWS USED FOR INVESTING ACTIVITIES: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Activity in available-for-sale securities: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600"/>
              <w:spacing w:after="0"/>
              <w:rPr>
                <w:sz w:val="20"/>
                <w:szCs w:val="20"/>
                <w:color w:val="auto"/>
              </w:rPr>
            </w:pPr>
            <w:r>
              <w:rPr>
                <w:rFonts w:ascii="Arial" w:cs="Arial" w:eastAsia="Arial" w:hAnsi="Arial"/>
                <w:sz w:val="17"/>
                <w:szCs w:val="17"/>
                <w:color w:val="auto"/>
              </w:rPr>
              <w:t>Sales proceeds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37,429,595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56,237,427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24,455,695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Maturities and calls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142,547,368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600"/>
              <w:spacing w:after="0"/>
              <w:rPr>
                <w:sz w:val="20"/>
                <w:szCs w:val="20"/>
                <w:color w:val="auto"/>
              </w:rPr>
            </w:pPr>
            <w:r>
              <w:rPr>
                <w:rFonts w:ascii="Arial" w:cs="Arial" w:eastAsia="Arial" w:hAnsi="Arial"/>
                <w:sz w:val="17"/>
                <w:szCs w:val="17"/>
                <w:color w:val="auto"/>
              </w:rPr>
              <w:t>Purchases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(30,107,379)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(113,204,199)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(73,719,189)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Purchase of equity method investments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(33,830,274)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Plant and equipment additions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(146,433,123)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(68,835,047)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(51,706,541)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Proceeds from sale of plant and equipment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313,917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2,577,855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Acquisition of businesses, net of cash acquired</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(12,071,546)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(11,216,927)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Increase in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(3,611,244)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(5,501,445)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(4,327,398)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1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for) from investing activities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(172,738,508)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(113,106,955)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26,416,437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FLOWS USED FOR FINANCING ACTIVITIES:</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Proceeds from borrowings on Credit Agreement</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 of borrowings on Credit Agreement</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Issuance of common stock from stock plan transactions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16,602,274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29,808,787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41,803,640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Cash dividends paid</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(113,091,921)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(115,285,625)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(117,181,928)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Repurchases of common stock</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(112,529,406)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(324,643,135)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(288,480,506)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for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(209,019,053)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(410,119,973)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(363,858,794)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614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NET (DECREASE) INCREASE IN CASH, CASH EQUIVALENTS, AND</w:t>
            </w:r>
          </w:p>
        </w:tc>
        <w:tc>
          <w:tcPr>
            <w:tcW w:w="3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(43,557,032)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(161,059,366)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127,049,414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3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6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262,311,670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423,371,036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296,321,622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End of year</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218,754,638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262,311,670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423,371,036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60" w:type="dxa"/>
            <w:vAlign w:val="bottom"/>
          </w:tcPr>
          <w:p>
            <w:pPr>
              <w:spacing w:after="0"/>
              <w:rPr>
                <w:sz w:val="24"/>
                <w:szCs w:val="24"/>
                <w:color w:val="auto"/>
              </w:rPr>
            </w:pPr>
          </w:p>
        </w:tc>
        <w:tc>
          <w:tcPr>
            <w:tcW w:w="9620" w:type="dxa"/>
            <w:vAlign w:val="bottom"/>
            <w:gridSpan w:val="7"/>
          </w:tcPr>
          <w:p>
            <w:pPr>
              <w:jc w:val="center"/>
              <w:ind w:left="1436"/>
              <w:spacing w:after="0"/>
              <w:rPr>
                <w:sz w:val="20"/>
                <w:szCs w:val="20"/>
                <w:color w:val="auto"/>
              </w:rPr>
            </w:pPr>
            <w:r>
              <w:rPr>
                <w:rFonts w:ascii="Arial" w:cs="Arial" w:eastAsia="Arial" w:hAnsi="Arial"/>
                <w:sz w:val="17"/>
                <w:szCs w:val="17"/>
                <w:color w:val="auto"/>
                <w:w w:val="98"/>
              </w:rPr>
              <w:t>The accompanying notes are an integral part of these consolidated financial statements.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200" w:type="dxa"/>
            <w:vAlign w:val="bottom"/>
            <w:gridSpan w:val="2"/>
          </w:tcPr>
          <w:p>
            <w:pPr>
              <w:jc w:val="right"/>
              <w:ind w:right="396"/>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9A9A9A"/>
            </w:tcBorders>
          </w:tcPr>
          <w:p>
            <w:pPr>
              <w:spacing w:after="0"/>
              <w:rPr>
                <w:sz w:val="8"/>
                <w:szCs w:val="8"/>
                <w:color w:val="auto"/>
              </w:rPr>
            </w:pPr>
          </w:p>
        </w:tc>
        <w:tc>
          <w:tcPr>
            <w:tcW w:w="6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5180" w:firstLine="1"/>
        <w:spacing w:after="0" w:line="409" w:lineRule="auto"/>
        <w:tabs>
          <w:tab w:leader="none" w:pos="3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SUMMARY OF SIGNIFICANT ACCOUNTING AND REPORTING POLICIES </w:t>
      </w:r>
      <w:r>
        <w:rPr>
          <w:rFonts w:ascii="Arial" w:cs="Arial" w:eastAsia="Arial" w:hAnsi="Arial"/>
          <w:sz w:val="17"/>
          <w:szCs w:val="17"/>
          <w:u w:val="single" w:color="auto"/>
          <w:color w:val="auto"/>
        </w:rPr>
        <w:t>The Company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Gentex Corporation, including its wholly-owned subsidiaries (the "Company"), is a leading supplier of digital vision, connected car, dimmable glass, and fire protection products.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and commercial smoke alarms and signaling devices for the fire protection products industry. The Company does not require collateral or other security for trade accounts receivable.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Significant accounting policies of the Company not described elsewhere are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Consolidation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include the accounts of Gentex Corporation and all of its wholly-owned subsidiaries. All intercompany accounts and transactions have been eliminated.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consist of funds invested in bank accounts and money market funds that have daily liquidity.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Allowance For Doubtful Accounts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and impact the supply chain constraints has had on specific customers. Actual collections can differ, requiring adjustments to the allowances, but historically such adjustments have not been material.</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the Company’s allowance for doubtful accounts:</w:t>
      </w:r>
    </w:p>
    <w:p>
      <w:pPr>
        <w:spacing w:after="0" w:line="179" w:lineRule="exact"/>
        <w:rPr>
          <w:sz w:val="20"/>
          <w:szCs w:val="20"/>
          <w:color w:val="auto"/>
        </w:rPr>
      </w:pPr>
    </w:p>
    <w:p>
      <w:pPr>
        <w:jc w:val="center"/>
        <w:ind w:left="2000"/>
        <w:spacing w:after="0"/>
        <w:rPr>
          <w:sz w:val="20"/>
          <w:szCs w:val="20"/>
          <w:color w:val="auto"/>
        </w:rPr>
      </w:pPr>
      <w:r>
        <w:rPr>
          <w:rFonts w:ascii="Arial" w:cs="Arial" w:eastAsia="Arial" w:hAnsi="Arial"/>
          <w:sz w:val="13"/>
          <w:szCs w:val="13"/>
          <w:b w:val="1"/>
          <w:bCs w:val="1"/>
          <w:color w:val="auto"/>
        </w:rPr>
        <w:t>Net</w:t>
      </w:r>
    </w:p>
    <w:p>
      <w:pPr>
        <w:jc w:val="center"/>
        <w:ind w:left="2000"/>
        <w:spacing w:after="0" w:line="222" w:lineRule="auto"/>
        <w:rPr>
          <w:sz w:val="20"/>
          <w:szCs w:val="20"/>
          <w:color w:val="auto"/>
        </w:rPr>
      </w:pPr>
      <w:r>
        <w:rPr>
          <w:rFonts w:ascii="Arial" w:cs="Arial" w:eastAsia="Arial" w:hAnsi="Arial"/>
          <w:sz w:val="13"/>
          <w:szCs w:val="13"/>
          <w:b w:val="1"/>
          <w:bCs w:val="1"/>
          <w:color w:val="auto"/>
        </w:rPr>
        <w:t>Additions/</w:t>
      </w:r>
    </w:p>
    <w:tbl>
      <w:tblPr>
        <w:tblLayout w:type="fixed"/>
        <w:tblInd w:w="0" w:type="dxa"/>
        <w:tblCellMar>
          <w:top w:w="0" w:type="dxa"/>
          <w:left w:w="0" w:type="dxa"/>
          <w:bottom w:w="0" w:type="dxa"/>
          <w:right w:w="0" w:type="dxa"/>
        </w:tblCellMar>
      </w:tblPr>
      <w:tr>
        <w:trPr>
          <w:trHeight w:val="121"/>
        </w:trPr>
        <w:tc>
          <w:tcPr>
            <w:tcW w:w="4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rPr>
              <w:t>Beginning</w:t>
            </w:r>
          </w:p>
        </w:tc>
        <w:tc>
          <w:tcPr>
            <w:tcW w:w="200" w:type="dxa"/>
            <w:vAlign w:val="bottom"/>
          </w:tcPr>
          <w:p>
            <w:pPr>
              <w:spacing w:after="0"/>
              <w:rPr>
                <w:sz w:val="10"/>
                <w:szCs w:val="10"/>
                <w:color w:val="auto"/>
              </w:rPr>
            </w:pPr>
          </w:p>
        </w:tc>
        <w:tc>
          <w:tcPr>
            <w:tcW w:w="136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rPr>
              <w:t>(Reductions)</w:t>
            </w:r>
          </w:p>
        </w:tc>
        <w:tc>
          <w:tcPr>
            <w:tcW w:w="19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rPr>
              <w:t>Net Additions/Deductions</w:t>
            </w:r>
          </w:p>
        </w:tc>
        <w:tc>
          <w:tcPr>
            <w:tcW w:w="380" w:type="dxa"/>
            <w:vAlign w:val="bottom"/>
          </w:tcPr>
          <w:p>
            <w:pPr>
              <w:spacing w:after="0"/>
              <w:rPr>
                <w:sz w:val="10"/>
                <w:szCs w:val="10"/>
                <w:color w:val="auto"/>
              </w:rPr>
            </w:pPr>
          </w:p>
        </w:tc>
        <w:tc>
          <w:tcPr>
            <w:tcW w:w="1420" w:type="dxa"/>
            <w:vAlign w:val="bottom"/>
            <w:vMerge w:val="restart"/>
          </w:tcPr>
          <w:p>
            <w:pPr>
              <w:jc w:val="right"/>
              <w:ind w:right="583"/>
              <w:spacing w:after="0"/>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rPr>
              <w:t>to Costs and</w:t>
            </w: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rPr>
              <w:t>and Other</w:t>
            </w:r>
          </w:p>
        </w:tc>
        <w:tc>
          <w:tcPr>
            <w:tcW w:w="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Balance</w:t>
            </w:r>
          </w:p>
        </w:tc>
        <w:tc>
          <w:tcPr>
            <w:tcW w:w="20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Expenses</w:t>
            </w:r>
          </w:p>
        </w:tc>
        <w:tc>
          <w:tcPr>
            <w:tcW w:w="300" w:type="dxa"/>
            <w:vAlign w:val="bottom"/>
          </w:tcPr>
          <w:p>
            <w:pPr>
              <w:spacing w:after="0"/>
              <w:rPr>
                <w:sz w:val="15"/>
                <w:szCs w:val="15"/>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Adjustments</w:t>
            </w:r>
          </w:p>
        </w:tc>
        <w:tc>
          <w:tcPr>
            <w:tcW w:w="380" w:type="dxa"/>
            <w:vAlign w:val="bottom"/>
          </w:tcPr>
          <w:p>
            <w:pPr>
              <w:spacing w:after="0"/>
              <w:rPr>
                <w:sz w:val="15"/>
                <w:szCs w:val="15"/>
                <w:color w:val="auto"/>
              </w:rPr>
            </w:pPr>
          </w:p>
        </w:tc>
        <w:tc>
          <w:tcPr>
            <w:tcW w:w="1420" w:type="dxa"/>
            <w:vAlign w:val="bottom"/>
          </w:tcPr>
          <w:p>
            <w:pPr>
              <w:jc w:val="right"/>
              <w:ind w:right="563"/>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Year Ended December 31, 2022:</w:t>
            </w:r>
          </w:p>
        </w:tc>
        <w:tc>
          <w:tcPr>
            <w:tcW w:w="3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3,176,205</w:t>
            </w:r>
          </w:p>
        </w:tc>
        <w:tc>
          <w:tcPr>
            <w:tcW w:w="12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(209,110)</w:t>
            </w:r>
          </w:p>
        </w:tc>
        <w:tc>
          <w:tcPr>
            <w:tcW w:w="16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2,967,095</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2021:</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3,464,747</w:t>
            </w:r>
          </w:p>
        </w:tc>
        <w:tc>
          <w:tcPr>
            <w:tcW w:w="12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(288,542)</w:t>
            </w:r>
          </w:p>
        </w:tc>
        <w:tc>
          <w:tcPr>
            <w:tcW w:w="16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3,176,205</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2020:</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2,451,293</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5"/>
              <w:spacing w:after="0"/>
              <w:rPr>
                <w:sz w:val="20"/>
                <w:szCs w:val="20"/>
                <w:color w:val="auto"/>
              </w:rPr>
            </w:pPr>
            <w:r>
              <w:rPr>
                <w:rFonts w:ascii="Arial" w:cs="Arial" w:eastAsia="Arial" w:hAnsi="Arial"/>
                <w:sz w:val="17"/>
                <w:szCs w:val="17"/>
                <w:color w:val="auto"/>
              </w:rPr>
              <w:t>1,000,000</w:t>
            </w:r>
          </w:p>
        </w:tc>
        <w:tc>
          <w:tcPr>
            <w:tcW w:w="120" w:type="dxa"/>
            <w:vAlign w:val="bottom"/>
          </w:tcPr>
          <w:p>
            <w:pPr>
              <w:spacing w:after="0"/>
              <w:rPr>
                <w:sz w:val="19"/>
                <w:szCs w:val="19"/>
                <w:color w:val="auto"/>
              </w:rPr>
            </w:pP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13,454</w:t>
            </w:r>
          </w:p>
        </w:tc>
        <w:tc>
          <w:tcPr>
            <w:tcW w:w="16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3,464,747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allowance for doubtful accounts primarily relates to financially distressed automotive customers. The Company continues to work with these financially distressed customers in collecting past due balances.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Company follows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determines the fair value of its government securities, asset-backed securities, corporate bonds, and certain municipal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certificates of deposit are classified as available for sale, and are considered as Level 1 assets. These investments are carried at amortized cost, which approximates fair value.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The Company also periodically makes technology investments in certain non-consolidated third parties. These equity investments are accounted for in accordance with ASC 323, </w:t>
      </w:r>
      <w:r>
        <w:rPr>
          <w:rFonts w:ascii="Arial" w:cs="Arial" w:eastAsia="Arial" w:hAnsi="Arial"/>
          <w:sz w:val="17"/>
          <w:szCs w:val="17"/>
          <w:i w:val="1"/>
          <w:iCs w:val="1"/>
          <w:color w:val="auto"/>
        </w:rPr>
        <w:t>Investments - Equity Method and Joint Ventures</w:t>
      </w:r>
      <w:r>
        <w:rPr>
          <w:rFonts w:ascii="Arial" w:cs="Arial" w:eastAsia="Arial" w:hAnsi="Arial"/>
          <w:sz w:val="17"/>
          <w:szCs w:val="17"/>
          <w:color w:val="auto"/>
        </w:rPr>
        <w:t xml:space="preserve">. The Company's share of the earnings or losses of non-controlled affiliates, over which the Company exercises significant influence (generally a 20% to 50% ownership interest), is included within Other Income (Loss) in the Company's consolidated statement of income using the equity method of accounting. These equity method investments, over which the Company exercises significant influence, totaled approximately $48.4 million as of December 31, 2022 (including approximately $ 11.1 million of investments accounted for under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as of December 31, 2021, for which the Company obtained significant influence during 2022). On June 3, 2022, the Company obtained an approximate 20% equity share in GreenMarbles for $20.0 million, in addition to an issuance of $5.0 million worth of common stock. GreenMarbles is a leading provider of sustainable solutions for integration into properties. The Company did not have equity method investments as of December 31, 2021. These investments are classified within Equity Method Investments in the consolidated balance sheets as of December 31, 2022.</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has made technology investments in certain non-consolidated affiliates for ownership interests of less than 20% (where the Company does not have the ability to exercise significant influence). These equity investments are accounted for in accordance with ASC 321. These equity investments that do not have readily determinable fair values, and where the Company has not identified any observable events that would cause adjustment of the valuation to date, are then held at cost. These technology investments totaled $17.1 million and $ 16.8 million as of December 31, 2022 and December 31, 2021, respectively. As of December 31, 2022, $3.8 million of these investments are classified within Short-Term Investments in the consolidated balance sheets. $13.3 million and $16.8 million of these investments are classified within Long-Term Investments in the consolidated balance sheets as of December 31, 2022 and December 31, 2021,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Assets or liabilities that have recurring fair value measurements are shown below as of December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jc w:val="center"/>
              <w:ind w:right="340"/>
              <w:spacing w:after="0" w:line="134" w:lineRule="exact"/>
              <w:rPr>
                <w:sz w:val="20"/>
                <w:szCs w:val="20"/>
                <w:color w:val="auto"/>
              </w:rPr>
            </w:pPr>
            <w:r>
              <w:rPr>
                <w:rFonts w:ascii="Arial" w:cs="Arial" w:eastAsia="Arial" w:hAnsi="Arial"/>
                <w:sz w:val="13"/>
                <w:szCs w:val="13"/>
                <w:b w:val="1"/>
                <w:bCs w:val="1"/>
                <w:color w:val="auto"/>
              </w:rPr>
              <w:t>Quoted Prices in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vMerge w:val="restart"/>
          </w:tcPr>
          <w:p>
            <w:pPr>
              <w:jc w:val="center"/>
              <w:ind w:right="240"/>
              <w:spacing w:after="0"/>
              <w:rPr>
                <w:sz w:val="20"/>
                <w:szCs w:val="20"/>
                <w:color w:val="auto"/>
              </w:rPr>
            </w:pPr>
            <w:r>
              <w:rPr>
                <w:rFonts w:ascii="Arial" w:cs="Arial" w:eastAsia="Arial" w:hAnsi="Arial"/>
                <w:sz w:val="13"/>
                <w:szCs w:val="13"/>
                <w:b w:val="1"/>
                <w:bCs w:val="1"/>
                <w:color w:val="auto"/>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jc w:val="center"/>
              <w:ind w:right="340"/>
              <w:spacing w:after="0" w:line="136" w:lineRule="exact"/>
              <w:rPr>
                <w:sz w:val="20"/>
                <w:szCs w:val="20"/>
                <w:color w:val="auto"/>
              </w:rPr>
            </w:pPr>
            <w:r>
              <w:rPr>
                <w:rFonts w:ascii="Arial" w:cs="Arial" w:eastAsia="Arial" w:hAnsi="Arial"/>
                <w:sz w:val="13"/>
                <w:szCs w:val="13"/>
                <w:b w:val="1"/>
                <w:bCs w:val="1"/>
                <w:color w:val="auto"/>
              </w:rPr>
              <w:t>Active Markets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Total as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rPr>
              <w:t>for Identical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rPr>
              <w:t>Observable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40"/>
              <w:spacing w:after="0" w:line="139" w:lineRule="exact"/>
              <w:rPr>
                <w:sz w:val="20"/>
                <w:szCs w:val="20"/>
                <w:color w:val="auto"/>
              </w:rPr>
            </w:pPr>
            <w:r>
              <w:rPr>
                <w:rFonts w:ascii="Arial" w:cs="Arial" w:eastAsia="Arial" w:hAnsi="Arial"/>
                <w:sz w:val="13"/>
                <w:szCs w:val="13"/>
                <w:b w:val="1"/>
                <w:bCs w:val="1"/>
                <w:color w:val="auto"/>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8"/>
              </w:rPr>
              <w:t>Assets</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rPr>
              <w:t>Inputs</w:t>
            </w:r>
          </w:p>
        </w:tc>
        <w:tc>
          <w:tcPr>
            <w:tcW w:w="12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20"/>
              <w:spacing w:after="0"/>
              <w:rPr>
                <w:sz w:val="20"/>
                <w:szCs w:val="20"/>
                <w:color w:val="auto"/>
              </w:rPr>
            </w:pPr>
            <w:r>
              <w:rPr>
                <w:rFonts w:ascii="Arial" w:cs="Arial" w:eastAsia="Arial" w:hAnsi="Arial"/>
                <w:sz w:val="13"/>
                <w:szCs w:val="13"/>
                <w:b w:val="1"/>
                <w:bCs w:val="1"/>
                <w:color w:val="auto"/>
              </w:rPr>
              <w:t>Inputs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rPr>
              <w:t>(Level I)</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ind w:right="24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&amp; Cash Equivalents</w:t>
            </w:r>
          </w:p>
        </w:tc>
        <w:tc>
          <w:tcPr>
            <w:tcW w:w="28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214,754,638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214,754,638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c>
          <w:tcPr>
            <w:tcW w:w="340" w:type="dxa"/>
            <w:vAlign w:val="bottom"/>
            <w:gridSpan w:val="3"/>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2"/>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Certificate of Deposit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1,736,163</w:t>
            </w:r>
          </w:p>
        </w:tc>
        <w:tc>
          <w:tcPr>
            <w:tcW w:w="20" w:type="dxa"/>
            <w:vAlign w:val="bottom"/>
          </w:tcPr>
          <w:p>
            <w:pPr>
              <w:spacing w:after="0"/>
              <w:rPr>
                <w:sz w:val="18"/>
                <w:szCs w:val="18"/>
                <w:color w:val="auto"/>
              </w:rPr>
            </w:pPr>
          </w:p>
        </w:tc>
        <w:tc>
          <w:tcPr>
            <w:tcW w:w="340" w:type="dxa"/>
            <w:vAlign w:val="bottom"/>
            <w:gridSpan w:val="3"/>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2"/>
              <w:spacing w:after="0"/>
              <w:rPr>
                <w:sz w:val="20"/>
                <w:szCs w:val="20"/>
                <w:color w:val="auto"/>
              </w:rPr>
            </w:pPr>
            <w:r>
              <w:rPr>
                <w:rFonts w:ascii="Arial" w:cs="Arial" w:eastAsia="Arial" w:hAnsi="Arial"/>
                <w:sz w:val="17"/>
                <w:szCs w:val="17"/>
                <w:color w:val="auto"/>
              </w:rPr>
              <w:t>1,736,163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5,473,341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5,473,341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Government Securities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4,423,041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4,423,041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5,174,773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2,347,602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2"/>
              <w:spacing w:after="0"/>
              <w:rPr>
                <w:sz w:val="20"/>
                <w:szCs w:val="20"/>
                <w:color w:val="auto"/>
              </w:rPr>
            </w:pPr>
            <w:r>
              <w:rPr>
                <w:rFonts w:ascii="Arial" w:cs="Arial" w:eastAsia="Arial" w:hAnsi="Arial"/>
                <w:sz w:val="17"/>
                <w:szCs w:val="17"/>
                <w:color w:val="auto"/>
              </w:rPr>
              <w:t>1,093,602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1,254,000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Asset-backed Securities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18,829,696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18,829,696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 of Deposit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238,925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Corporate Bonds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36,310,477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36,310,477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Government Securities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36,532,634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36,532,634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Municipal Bonds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48,430,166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48,430,166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Common Stock</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293,300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top w:val="single" w:sz="8" w:color="auto"/>
              <w:bottom w:val="single" w:sz="8" w:color="auto"/>
            </w:tcBorders>
            <w:gridSpan w:val="2"/>
          </w:tcPr>
          <w:p>
            <w:pPr>
              <w:jc w:val="right"/>
              <w:ind w:right="76"/>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378,544,756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rPr>
              <w:t>222,116,628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36"/>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156,428,128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136"/>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jc w:val="center"/>
              <w:ind w:right="340"/>
              <w:spacing w:after="0" w:line="134" w:lineRule="exact"/>
              <w:rPr>
                <w:sz w:val="20"/>
                <w:szCs w:val="20"/>
                <w:color w:val="auto"/>
              </w:rPr>
            </w:pPr>
            <w:r>
              <w:rPr>
                <w:rFonts w:ascii="Arial" w:cs="Arial" w:eastAsia="Arial" w:hAnsi="Arial"/>
                <w:sz w:val="13"/>
                <w:szCs w:val="13"/>
                <w:b w:val="1"/>
                <w:bCs w:val="1"/>
                <w:color w:val="auto"/>
              </w:rPr>
              <w:t>Quoted Prices in</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vMerge w:val="restart"/>
          </w:tcPr>
          <w:p>
            <w:pPr>
              <w:jc w:val="center"/>
              <w:ind w:right="100"/>
              <w:spacing w:after="0"/>
              <w:rPr>
                <w:sz w:val="20"/>
                <w:szCs w:val="20"/>
                <w:color w:val="auto"/>
              </w:rPr>
            </w:pPr>
            <w:r>
              <w:rPr>
                <w:rFonts w:ascii="Arial" w:cs="Arial" w:eastAsia="Arial" w:hAnsi="Arial"/>
                <w:sz w:val="13"/>
                <w:szCs w:val="13"/>
                <w:b w:val="1"/>
                <w:bCs w:val="1"/>
                <w:color w:val="auto"/>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jc w:val="center"/>
              <w:ind w:right="340"/>
              <w:spacing w:after="0" w:line="136" w:lineRule="exact"/>
              <w:rPr>
                <w:sz w:val="20"/>
                <w:szCs w:val="20"/>
                <w:color w:val="auto"/>
              </w:rPr>
            </w:pPr>
            <w:r>
              <w:rPr>
                <w:rFonts w:ascii="Arial" w:cs="Arial" w:eastAsia="Arial" w:hAnsi="Arial"/>
                <w:sz w:val="13"/>
                <w:szCs w:val="13"/>
                <w:b w:val="1"/>
                <w:bCs w:val="1"/>
                <w:color w:val="auto"/>
              </w:rPr>
              <w:t>Active Markets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Total as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rPr>
              <w:t>for Identical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center"/>
              <w:ind w:right="220"/>
              <w:spacing w:after="0" w:line="139" w:lineRule="exact"/>
              <w:rPr>
                <w:sz w:val="20"/>
                <w:szCs w:val="20"/>
                <w:color w:val="auto"/>
              </w:rPr>
            </w:pPr>
            <w:r>
              <w:rPr>
                <w:rFonts w:ascii="Arial" w:cs="Arial" w:eastAsia="Arial" w:hAnsi="Arial"/>
                <w:sz w:val="13"/>
                <w:szCs w:val="13"/>
                <w:b w:val="1"/>
                <w:bCs w:val="1"/>
                <w:color w:val="auto"/>
              </w:rPr>
              <w:t>Observable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100"/>
              <w:spacing w:after="0" w:line="139" w:lineRule="exact"/>
              <w:rPr>
                <w:sz w:val="20"/>
                <w:szCs w:val="20"/>
                <w:color w:val="auto"/>
              </w:rPr>
            </w:pPr>
            <w:r>
              <w:rPr>
                <w:rFonts w:ascii="Arial" w:cs="Arial" w:eastAsia="Arial" w:hAnsi="Arial"/>
                <w:sz w:val="13"/>
                <w:szCs w:val="13"/>
                <w:b w:val="1"/>
                <w:bCs w:val="1"/>
                <w:color w:val="auto"/>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8"/>
              </w:rPr>
              <w:t>Assets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Inputs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rPr>
              <w:t>Inputs</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rPr>
              <w:t>(Level I)</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ind w:right="12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&amp; Cash Equivalents</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262,311,670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262,311,670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 of Deposit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Corporate Bonds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2,018,440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2,018,440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1,897,402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1,897,402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20"/>
              <w:spacing w:after="0"/>
              <w:rPr>
                <w:sz w:val="20"/>
                <w:szCs w:val="20"/>
                <w:color w:val="auto"/>
              </w:rPr>
            </w:pPr>
            <w:r>
              <w:rPr>
                <w:rFonts w:ascii="Arial" w:cs="Arial" w:eastAsia="Arial" w:hAnsi="Arial"/>
                <w:sz w:val="17"/>
                <w:szCs w:val="17"/>
                <w:color w:val="auto"/>
              </w:rPr>
              <w:t>Long-Term Investments: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Asset-backed Securities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25,799,513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25,799,513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Certificate of Deposit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2,056,710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2,056,710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40,354,929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40,354,929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Government Securities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47,944,036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47,944,036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ind w:left="1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74,720,480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74,720,480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20"/>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458,610,950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5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267,773,552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190,837,398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center"/>
              <w:ind w:left="280"/>
              <w:spacing w:after="0"/>
              <w:rPr>
                <w:sz w:val="20"/>
                <w:szCs w:val="20"/>
                <w:color w:val="auto"/>
              </w:rPr>
            </w:pPr>
            <w:r>
              <w:rPr>
                <w:rFonts w:ascii="Arial" w:cs="Arial" w:eastAsia="Arial" w:hAnsi="Arial"/>
                <w:sz w:val="13"/>
                <w:szCs w:val="13"/>
                <w:b w:val="1"/>
                <w:bCs w:val="1"/>
                <w:color w:val="auto"/>
              </w:rPr>
              <w:t>Unrealized</w:t>
            </w: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96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jc w:val="right"/>
              <w:ind w:right="700"/>
              <w:spacing w:after="0" w:line="144" w:lineRule="exact"/>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jc w:val="right"/>
              <w:ind w:right="620"/>
              <w:spacing w:after="0" w:line="144" w:lineRule="exact"/>
              <w:rPr>
                <w:sz w:val="20"/>
                <w:szCs w:val="20"/>
                <w:color w:val="auto"/>
              </w:rPr>
            </w:pPr>
            <w:r>
              <w:rPr>
                <w:rFonts w:ascii="Arial" w:cs="Arial" w:eastAsia="Arial" w:hAnsi="Arial"/>
                <w:sz w:val="13"/>
                <w:szCs w:val="13"/>
                <w:b w:val="1"/>
                <w:bCs w:val="1"/>
                <w:color w:val="auto"/>
              </w:rPr>
              <w:t>Gains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ind w:right="238"/>
              <w:spacing w:after="0" w:line="144" w:lineRule="exact"/>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9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Short-Term Investments:</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Certificate of Deposit</w:t>
            </w:r>
          </w:p>
        </w:tc>
        <w:tc>
          <w:tcPr>
            <w:tcW w:w="420" w:type="dxa"/>
            <w:vAlign w:val="bottom"/>
            <w:gridSpan w:val="2"/>
          </w:tcPr>
          <w:p>
            <w:pPr>
              <w:jc w:val="right"/>
              <w:ind w:right="156"/>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1,750,256</w:t>
            </w:r>
          </w:p>
        </w:tc>
        <w:tc>
          <w:tcPr>
            <w:tcW w:w="40" w:type="dxa"/>
            <w:vAlign w:val="bottom"/>
          </w:tcPr>
          <w:p>
            <w:pPr>
              <w:spacing w:after="0"/>
              <w:rPr>
                <w:sz w:val="18"/>
                <w:szCs w:val="18"/>
                <w:color w:val="auto"/>
              </w:rPr>
            </w:pPr>
          </w:p>
        </w:tc>
        <w:tc>
          <w:tcPr>
            <w:tcW w:w="400" w:type="dxa"/>
            <w:vAlign w:val="bottom"/>
            <w:gridSpan w:val="2"/>
          </w:tcPr>
          <w:p>
            <w:pPr>
              <w:jc w:val="right"/>
              <w:ind w:right="116"/>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center"/>
              <w:ind w:right="116"/>
              <w:spacing w:after="0"/>
              <w:rPr>
                <w:sz w:val="20"/>
                <w:szCs w:val="20"/>
                <w:color w:val="auto"/>
              </w:rPr>
            </w:pPr>
            <w:r>
              <w:rPr>
                <w:rFonts w:ascii="Arial" w:cs="Arial" w:eastAsia="Arial" w:hAnsi="Arial"/>
                <w:sz w:val="17"/>
                <w:szCs w:val="17"/>
                <w:color w:val="auto"/>
              </w:rPr>
              <w:t>$</w:t>
            </w: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(14,093)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1,736,163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5,571,417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(98,076)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Government Securities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4,476,613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(53,572)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4,423,041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5,223,500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(48,727)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2,347,602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5"/>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2,347,602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Asset-backed Securities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19,151,229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(321,533)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18,829,696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Certificate of Deposit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(11,075)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Corporate Bonds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40,410,206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(4,099,729)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36,310,477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Government Securities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39,637,461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(3,104,827)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36,532,634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Municipal Bonds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53,476,883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235,713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(5,282,430)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48,430,166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292,638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gridSpan w:val="5"/>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172,587,805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236,375</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center"/>
              <w:ind w:right="23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(13,034,062)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159,790,118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Unrealized</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96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jc w:val="right"/>
              <w:ind w:right="780"/>
              <w:spacing w:after="0" w:line="144" w:lineRule="exact"/>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jc w:val="right"/>
              <w:ind w:right="720"/>
              <w:spacing w:after="0" w:line="144" w:lineRule="exact"/>
              <w:rPr>
                <w:sz w:val="20"/>
                <w:szCs w:val="20"/>
                <w:color w:val="auto"/>
              </w:rPr>
            </w:pPr>
            <w:r>
              <w:rPr>
                <w:rFonts w:ascii="Arial" w:cs="Arial" w:eastAsia="Arial" w:hAnsi="Arial"/>
                <w:sz w:val="13"/>
                <w:szCs w:val="13"/>
                <w:b w:val="1"/>
                <w:bCs w:val="1"/>
                <w:color w:val="auto"/>
              </w:rPr>
              <w:t>Gains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ind w:right="278"/>
              <w:spacing w:after="0" w:line="144" w:lineRule="exact"/>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9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Short-Term Investments:</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Certificate of Deposit</w:t>
            </w:r>
          </w:p>
        </w:tc>
        <w:tc>
          <w:tcPr>
            <w:tcW w:w="42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1,500,543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96"/>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7,227</w:t>
            </w: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1,507,770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1,994,639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1,897,402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1,897,402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Asset-backed Securities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26,352,630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34,771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5"/>
          </w:tcPr>
          <w:p>
            <w:pPr>
              <w:jc w:val="right"/>
              <w:ind w:right="20"/>
              <w:spacing w:after="0"/>
              <w:rPr>
                <w:sz w:val="20"/>
                <w:szCs w:val="20"/>
                <w:color w:val="auto"/>
              </w:rPr>
            </w:pPr>
            <w:r>
              <w:rPr>
                <w:rFonts w:ascii="Arial" w:cs="Arial" w:eastAsia="Arial" w:hAnsi="Arial"/>
                <w:sz w:val="17"/>
                <w:szCs w:val="17"/>
                <w:color w:val="auto"/>
              </w:rPr>
              <w:t>(587,888)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25,799,513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Certificate of Deposit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2,001,714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54,996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Corporate Bonds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40,716,866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168,416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5"/>
          </w:tcPr>
          <w:p>
            <w:pPr>
              <w:jc w:val="right"/>
              <w:ind w:right="20"/>
              <w:spacing w:after="0"/>
              <w:rPr>
                <w:sz w:val="20"/>
                <w:szCs w:val="20"/>
                <w:color w:val="auto"/>
              </w:rPr>
            </w:pPr>
            <w:r>
              <w:rPr>
                <w:rFonts w:ascii="Arial" w:cs="Arial" w:eastAsia="Arial" w:hAnsi="Arial"/>
                <w:sz w:val="17"/>
                <w:szCs w:val="17"/>
                <w:color w:val="auto"/>
              </w:rPr>
              <w:t>(530,353)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40,354,929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Government Securities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48,385,672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55,939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(497,575)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47,944,036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Municipal Bonds</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72,175,568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2,747,964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7"/>
                <w:szCs w:val="17"/>
                <w:color w:val="auto"/>
              </w:rPr>
              <w:t>(203,052)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74,720,480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195,025,034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3,093,114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(1,818,868)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196,299,280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gridSpan w:val="3"/>
          </w:tcPr>
          <w:p>
            <w:pPr>
              <w:spacing w:after="0" w:line="20" w:lineRule="exact"/>
              <w:rPr>
                <w:sz w:val="1"/>
                <w:szCs w:val="1"/>
                <w:color w:val="auto"/>
              </w:rPr>
            </w:pPr>
          </w:p>
        </w:tc>
        <w:tc>
          <w:tcPr>
            <w:tcW w:w="16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5720" w:type="dxa"/>
            <w:vAlign w:val="bottom"/>
            <w:gridSpan w:val="8"/>
          </w:tcPr>
          <w:p>
            <w:pPr>
              <w:spacing w:after="0"/>
              <w:rPr>
                <w:sz w:val="20"/>
                <w:szCs w:val="20"/>
                <w:color w:val="auto"/>
              </w:rPr>
            </w:pPr>
            <w:r>
              <w:rPr>
                <w:rFonts w:ascii="Arial" w:cs="Arial" w:eastAsia="Arial" w:hAnsi="Arial"/>
                <w:sz w:val="17"/>
                <w:szCs w:val="17"/>
                <w:color w:val="auto"/>
              </w:rPr>
              <w:t>Unrealized losses on investments as of December 31, 2022 are as follows: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gridSpan w:val="6"/>
          </w:tcPr>
          <w:p>
            <w:pPr>
              <w:jc w:val="right"/>
              <w:spacing w:after="0"/>
              <w:rPr>
                <w:sz w:val="20"/>
                <w:szCs w:val="20"/>
                <w:color w:val="auto"/>
              </w:rPr>
            </w:pPr>
            <w:r>
              <w:rPr>
                <w:rFonts w:ascii="Arial" w:cs="Arial" w:eastAsia="Arial" w:hAnsi="Arial"/>
                <w:sz w:val="13"/>
                <w:szCs w:val="13"/>
                <w:b w:val="1"/>
                <w:bCs w:val="1"/>
                <w:color w:val="auto"/>
              </w:rPr>
              <w:t>Aggregate Unrealized Losses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rPr>
              <w:t>Aggregate Fair Value</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Less than one year</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4,816,103</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77,701,146</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Greater than one year</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8,217,959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76,643,586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13,034,062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154,344,732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7"/>
                <w:szCs w:val="17"/>
                <w:color w:val="auto"/>
              </w:rPr>
              <w:t>Unrealized losses on investments as of December 31, 2021 are as follows:</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72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gridSpan w:val="6"/>
          </w:tcPr>
          <w:p>
            <w:pPr>
              <w:jc w:val="right"/>
              <w:spacing w:after="0"/>
              <w:rPr>
                <w:sz w:val="20"/>
                <w:szCs w:val="20"/>
                <w:color w:val="auto"/>
              </w:rPr>
            </w:pPr>
            <w:r>
              <w:rPr>
                <w:rFonts w:ascii="Arial" w:cs="Arial" w:eastAsia="Arial" w:hAnsi="Arial"/>
                <w:sz w:val="13"/>
                <w:szCs w:val="13"/>
                <w:b w:val="1"/>
                <w:bCs w:val="1"/>
                <w:color w:val="auto"/>
              </w:rPr>
              <w:t>Aggregate Unrealized Losses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rPr>
              <w:t>Aggregate Fair Value</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Less than one year</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1,244,053</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94,417,123</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Greater than one year</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574,815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6,875,230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1,818,868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101,292,353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7"/>
                <w:szCs w:val="17"/>
                <w:color w:val="auto"/>
              </w:rPr>
              <w:t>53</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Effective January 1, 2020, the Company adopted Accounting Standards Update ("ASU") 2016-13, Financial Instruments - Credit Losses (Topic 326),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guidance modifies the impairment model for available-for-sale debt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investments were considered to be other-than-temporarily impaired in 2022 and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60" w:type="dxa"/>
            <w:vAlign w:val="bottom"/>
          </w:tcPr>
          <w:p>
            <w:pPr>
              <w:spacing w:after="0"/>
              <w:rPr>
                <w:sz w:val="20"/>
                <w:szCs w:val="20"/>
                <w:color w:val="auto"/>
              </w:rPr>
            </w:pPr>
            <w:r>
              <w:rPr>
                <w:rFonts w:ascii="Arial" w:cs="Arial" w:eastAsia="Arial" w:hAnsi="Arial"/>
                <w:sz w:val="17"/>
                <w:szCs w:val="17"/>
                <w:color w:val="auto"/>
              </w:rPr>
              <w:t>Fixed income securities as of December 31, 2022, have contractual maturities as follows:</w:t>
            </w:r>
          </w:p>
        </w:tc>
        <w:tc>
          <w:tcPr>
            <w:tcW w:w="6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10"/>
        </w:trPr>
        <w:tc>
          <w:tcPr>
            <w:tcW w:w="9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14"/>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16,807,318</w:t>
            </w:r>
          </w:p>
        </w:tc>
      </w:tr>
      <w:tr>
        <w:trPr>
          <w:trHeight w:val="214"/>
        </w:trPr>
        <w:tc>
          <w:tcPr>
            <w:tcW w:w="9060" w:type="dxa"/>
            <w:vAlign w:val="bottom"/>
          </w:tcPr>
          <w:p>
            <w:pPr>
              <w:ind w:left="20"/>
              <w:spacing w:after="0"/>
              <w:rPr>
                <w:sz w:val="20"/>
                <w:szCs w:val="20"/>
                <w:color w:val="auto"/>
              </w:rPr>
            </w:pPr>
            <w:r>
              <w:rPr>
                <w:rFonts w:ascii="Arial" w:cs="Arial" w:eastAsia="Arial" w:hAnsi="Arial"/>
                <w:sz w:val="17"/>
                <w:szCs w:val="17"/>
                <w:color w:val="auto"/>
              </w:rPr>
              <w:t>Due between one and five years</w:t>
            </w:r>
          </w:p>
        </w:tc>
        <w:tc>
          <w:tcPr>
            <w:tcW w:w="6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103,712,406</w:t>
            </w:r>
          </w:p>
        </w:tc>
      </w:tr>
      <w:tr>
        <w:trPr>
          <w:trHeight w:val="214"/>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over five years</w:t>
            </w:r>
          </w:p>
        </w:tc>
        <w:tc>
          <w:tcPr>
            <w:tcW w:w="6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36,629,492</w:t>
            </w:r>
          </w:p>
        </w:tc>
      </w:tr>
      <w:tr>
        <w:trPr>
          <w:trHeight w:val="206"/>
        </w:trPr>
        <w:tc>
          <w:tcPr>
            <w:tcW w:w="9060" w:type="dxa"/>
            <w:vAlign w:val="bottom"/>
          </w:tcPr>
          <w:p>
            <w:pPr>
              <w:spacing w:after="0"/>
              <w:rPr>
                <w:sz w:val="17"/>
                <w:szCs w:val="17"/>
                <w:color w:val="auto"/>
              </w:rPr>
            </w:pP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157,149,216</w:t>
            </w:r>
          </w:p>
        </w:tc>
      </w:tr>
      <w:tr>
        <w:trPr>
          <w:trHeight w:val="20"/>
        </w:trPr>
        <w:tc>
          <w:tcPr>
            <w:tcW w:w="9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2022 and 2021.</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Inventories include material, direct labor and manufacturing overhead and are valued at the lower of first-in, first-out (FIFO) cost or net realizable value.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consisted of the following as of December 31, 2022 and 2021: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r>
      <w:tr>
        <w:trPr>
          <w:trHeight w:val="207"/>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304,184,004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235,014,277</w:t>
            </w:r>
          </w:p>
        </w:tc>
      </w:tr>
      <w:tr>
        <w:trPr>
          <w:trHeight w:val="214"/>
        </w:trPr>
        <w:tc>
          <w:tcPr>
            <w:tcW w:w="748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45,512,275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34,032,164</w:t>
            </w: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54,663,991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47,221,001</w:t>
            </w:r>
          </w:p>
        </w:tc>
      </w:tr>
      <w:tr>
        <w:trPr>
          <w:trHeight w:val="206"/>
        </w:trPr>
        <w:tc>
          <w:tcPr>
            <w:tcW w:w="7480" w:type="dxa"/>
            <w:vAlign w:val="bottom"/>
          </w:tcPr>
          <w:p>
            <w:pPr>
              <w:ind w:left="20"/>
              <w:spacing w:after="0"/>
              <w:rPr>
                <w:sz w:val="20"/>
                <w:szCs w:val="20"/>
                <w:color w:val="auto"/>
              </w:rPr>
            </w:pPr>
            <w:r>
              <w:rPr>
                <w:rFonts w:ascii="Arial" w:cs="Arial" w:eastAsia="Arial" w:hAnsi="Arial"/>
                <w:sz w:val="17"/>
                <w:szCs w:val="17"/>
                <w:color w:val="auto"/>
              </w:rPr>
              <w:t>Total Inventory</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404,360,270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316,267,442</w:t>
            </w:r>
          </w:p>
        </w:tc>
      </w:tr>
      <w:tr>
        <w:trPr>
          <w:trHeight w:val="20"/>
        </w:trPr>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$10.0 million and $10.9 million at December 31, 2022 and 2021,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Plant and Equipment</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$74.9 million, $76.8 million and $82.4 million in 2022, 2021 and 2020, respectively. As of December 31, 2022, 2021 and 2020, capital expenditures recorded in accounts payable totaled $14.6 million, $9.8 million and $4.8 million,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or Disposal of Long-Lived Assets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reviews long-lived assets, including property, plant and equipment and other intangible assets with definite lives, for impairment whenever events or changes in circumstances indicate that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asset’s carrying amount may not be recoverable. The Company conducts its long-lived asset impairment analysis in accordance with ASC 360-10-15, </w:t>
      </w:r>
      <w:r>
        <w:rPr>
          <w:rFonts w:ascii="Arial" w:cs="Arial" w:eastAsia="Arial" w:hAnsi="Arial"/>
          <w:sz w:val="16"/>
          <w:szCs w:val="16"/>
          <w:i w:val="1"/>
          <w:iCs w:val="1"/>
          <w:color w:val="auto"/>
        </w:rPr>
        <w:t>Impairment or Disposal of Long-Lived Assets</w:t>
      </w:r>
      <w:r>
        <w:rPr>
          <w:rFonts w:ascii="Arial" w:cs="Arial" w:eastAsia="Arial" w:hAnsi="Arial"/>
          <w:sz w:val="16"/>
          <w:szCs w:val="16"/>
          <w:color w:val="auto"/>
        </w:rPr>
        <w:t>. ASC 360-10-15 requires the Company to group assets and liabilities at the lowest level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Patents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Goodwill and Intangible Assets</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reporting unit, which has been determined to be one of the Company’s reportable segments, using either a qualitative approach or quantitative approach which utilizes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the Company performs a step 1 test to determine the fair value of the reporting unit using an income approach to estimate the fair value of each of its reporting units and a market valuation approach to further support this analysis.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recorded currently or in prior periods in which goodwill existed.</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Indefinite lived intangible assets are also subject to annual impairment testing or more frequently if indicators of impairment are identified. Management's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Company performs a qualitative assessment (step 0) to determine whether it is more likely than not that an intangible asset's fair value is less than its carrying amount. If not, no further impairment testing over the indefinite lived intangible assets is performed.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indefinite lived intangible assets were not impaired as a result of the annual test prepared by management for either period presented.</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part of recent acquisitions, the Company acquired Indefinite lived in-process research and development ("IPR&amp;D") intangible assets. These IPR&amp;D assets are not amortized, but are tested for impairment annually, or more frequently when indicators of potential impairment exist, until the completion or abandonment of the associated research and development efforts. Upon completion of the projects, the assets will be amortized over the expected economic life of the asset, which will be determined on that date. Should the project be determined to be abandoned, and if the asset developed has no alternative use, the full value of the asset will be charged to expense.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10, "Goodwill and Intangible Assets"</w:t>
      </w:r>
      <w:r>
        <w:rPr>
          <w:rFonts w:ascii="Arial" w:cs="Arial" w:eastAsia="Arial" w:hAnsi="Arial"/>
          <w:sz w:val="17"/>
          <w:szCs w:val="17"/>
          <w:color w:val="auto"/>
        </w:rPr>
        <w:t xml:space="preserve"> for information regarding the impairment testing performed in calendar year 2022.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As part of certain agreements, entered into in the ordinary course of business, the Company is asked to provide customers with annual price reductions. Such amounts are subject to estimate and are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Company products and other commercial factors. Such pricing accruals are adjusted as they are settled with customers. Refer to </w:t>
      </w:r>
      <w:r>
        <w:rPr>
          <w:rFonts w:ascii="Arial" w:cs="Arial" w:eastAsia="Arial" w:hAnsi="Arial"/>
          <w:sz w:val="17"/>
          <w:szCs w:val="17"/>
          <w:u w:val="single" w:color="auto"/>
          <w:color w:val="0000FF"/>
        </w:rPr>
        <w:t>Note 11, "Revenue"</w:t>
      </w:r>
      <w:r>
        <w:rPr>
          <w:rFonts w:ascii="Arial" w:cs="Arial" w:eastAsia="Arial" w:hAnsi="Arial"/>
          <w:sz w:val="17"/>
          <w:szCs w:val="17"/>
          <w:color w:val="000000"/>
        </w:rPr>
        <w:t>, for further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and Promotional Materials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advertising and promotional costs are expensed as incurred and amounted to approximately $3.3 million, $1.8 million and $2.0 million, in 2022, 2021 and 2020,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Repairs and Maintenance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Major renewals and improvements of property and equipment are capitalized, and repairs and maintenance are expensed as incurred. The Company incurred expenses relating to the repair and maintenance of plant and equipment of approximately $27.9 million, $24.2 million and $22.6 million, in 2022, 2021 and 2020,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Self-Insurance</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ind w:right="860"/>
        <w:spacing w:after="0" w:line="409" w:lineRule="auto"/>
        <w:rPr>
          <w:sz w:val="20"/>
          <w:szCs w:val="20"/>
          <w:color w:val="auto"/>
        </w:rPr>
      </w:pPr>
      <w:r>
        <w:rPr>
          <w:rFonts w:ascii="Arial" w:cs="Arial" w:eastAsia="Arial" w:hAnsi="Arial"/>
          <w:sz w:val="17"/>
          <w:szCs w:val="17"/>
          <w:color w:val="auto"/>
        </w:rPr>
        <w:t xml:space="preserve">process is subjective, and to the extent that future results differ from original estimates, adjustments to recorded accruals may be necessary. </w:t>
      </w:r>
      <w:r>
        <w:rPr>
          <w:rFonts w:ascii="Arial" w:cs="Arial" w:eastAsia="Arial" w:hAnsi="Arial"/>
          <w:sz w:val="17"/>
          <w:szCs w:val="17"/>
          <w:u w:val="single" w:color="auto"/>
          <w:color w:val="auto"/>
        </w:rPr>
        <w:t>Product Warranty</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incurs product warranty costs. Any liabilities associated with product warranty are estimated based on known facts and circumstances and are not significant at December 31, 2022, 2021 and 2020. The Company does not offer extended warranties on its products.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operating leases for corporate offices, warehouses, vehicles, and other equipment, which are included within "Patents and other assets" section of the Consolidated Balance Sheets. The leases have remaining lease terms of 1 year to 5 years. The weighted average remaining lease term for operating leases as of December 31, 2022 was 2 years, with a weighted average discount rate of 5.2%. Future minimum lease payments for operating leases are as follows: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25970" cy="135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5970" cy="135890"/>
                    </a:xfrm>
                    <a:prstGeom prst="rect">
                      <a:avLst/>
                    </a:prstGeom>
                    <a:noFill/>
                  </pic:spPr>
                </pic:pic>
              </a:graphicData>
            </a:graphic>
          </wp:anchor>
        </w:drawing>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1,429,526</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2024</w:t>
            </w: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547,870</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184,470</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2026</w:t>
            </w: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37,375</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w:t>
            </w:r>
          </w:p>
        </w:tc>
      </w:tr>
      <w:tr>
        <w:trPr>
          <w:trHeight w:val="206"/>
        </w:trPr>
        <w:tc>
          <w:tcPr>
            <w:tcW w:w="8100" w:type="dxa"/>
            <w:vAlign w:val="bottom"/>
          </w:tcPr>
          <w:p>
            <w:pPr>
              <w:ind w:left="200"/>
              <w:spacing w:after="0"/>
              <w:rPr>
                <w:sz w:val="20"/>
                <w:szCs w:val="20"/>
                <w:color w:val="auto"/>
              </w:rPr>
            </w:pPr>
            <w:r>
              <w:rPr>
                <w:rFonts w:ascii="Arial" w:cs="Arial" w:eastAsia="Arial" w:hAnsi="Arial"/>
                <w:sz w:val="17"/>
                <w:szCs w:val="17"/>
                <w:color w:val="auto"/>
              </w:rPr>
              <w:t>Total future minimum lease payments</w:t>
            </w:r>
          </w:p>
        </w:tc>
        <w:tc>
          <w:tcPr>
            <w:tcW w:w="1200" w:type="dxa"/>
            <w:vAlign w:val="bottom"/>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2,200,219</w:t>
            </w:r>
          </w:p>
        </w:tc>
      </w:tr>
      <w:tr>
        <w:trPr>
          <w:trHeight w:val="214"/>
        </w:trPr>
        <w:tc>
          <w:tcPr>
            <w:tcW w:w="8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imputed interest</w:t>
            </w:r>
          </w:p>
        </w:tc>
        <w:tc>
          <w:tcPr>
            <w:tcW w:w="1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(50,718)</w:t>
            </w:r>
          </w:p>
        </w:tc>
      </w:tr>
      <w:tr>
        <w:trPr>
          <w:trHeight w:val="206"/>
        </w:trPr>
        <w:tc>
          <w:tcPr>
            <w:tcW w:w="8100" w:type="dxa"/>
            <w:vAlign w:val="bottom"/>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2,149,501</w:t>
            </w:r>
          </w:p>
        </w:tc>
      </w:tr>
      <w:tr>
        <w:trPr>
          <w:trHeight w:val="20"/>
        </w:trPr>
        <w:tc>
          <w:tcPr>
            <w:tcW w:w="8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Share</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1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 sets forth the computation of basic and diluted net income per common share under the two-class method for each of the last three years: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2020</w:t>
            </w:r>
          </w:p>
        </w:tc>
      </w:tr>
      <w:tr>
        <w:trPr>
          <w:trHeight w:val="194"/>
        </w:trPr>
        <w:tc>
          <w:tcPr>
            <w:tcW w:w="6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Basic Earnings Per Share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318,757,352</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360,797,232</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347,563,621</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Less: Allocated to participating securities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4,875,057</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5,591,992</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4,964,928</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Net Income available to common shareholders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313,882,295</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355,205,240</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342,598,693</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Basic weighted average shares outstanding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230,825,293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235,526,911</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242,599,923</w:t>
            </w:r>
          </w:p>
        </w:tc>
      </w:tr>
      <w:tr>
        <w:trPr>
          <w:trHeight w:val="214"/>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Income per share - Basic</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4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39"/>
        </w:trPr>
        <w:tc>
          <w:tcPr>
            <w:tcW w:w="6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4"/>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Allocation of Net Income used in basic computation</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313,882,295</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355,205,240</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342,598,693</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Reallocation of undistributed earnings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5,299</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17,014</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14,232</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Net Income available to common shareholders — Diluted</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313,887,594</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355,222,254</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342,612,925</w:t>
            </w:r>
          </w:p>
        </w:tc>
      </w:tr>
      <w:tr>
        <w:trPr>
          <w:trHeight w:val="239"/>
        </w:trPr>
        <w:tc>
          <w:tcPr>
            <w:tcW w:w="6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Number of shares used in basic computation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230,825,293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235,526,911</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242,599,923</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Additional weighted average dilutive common stock equivalents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394,196</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1,077,103</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1,082,069</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Diluted weighted average shares outstanding</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231,219,489</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236,604,014</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243,681,992</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2"/>
        </w:trPr>
        <w:tc>
          <w:tcPr>
            <w:tcW w:w="6200" w:type="dxa"/>
            <w:vAlign w:val="bottom"/>
          </w:tcPr>
          <w:p>
            <w:pPr>
              <w:ind w:left="320"/>
              <w:spacing w:after="0"/>
              <w:rPr>
                <w:sz w:val="20"/>
                <w:szCs w:val="20"/>
                <w:color w:val="auto"/>
              </w:rPr>
            </w:pPr>
            <w:r>
              <w:rPr>
                <w:rFonts w:ascii="Arial" w:cs="Arial" w:eastAsia="Arial" w:hAnsi="Arial"/>
                <w:sz w:val="17"/>
                <w:szCs w:val="17"/>
                <w:color w:val="auto"/>
              </w:rPr>
              <w:t>Net income per share — Diluted</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1.36</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1.50</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1.41</w:t>
            </w:r>
          </w:p>
        </w:tc>
      </w:tr>
    </w:tbl>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years ended December 31, 2022, 2021 and 2020, 1,842,602 shares, 200,037 shares, and 403,071 shares, respectively, related to stock option plans were not included in diluted average common shares outstanding because they were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 that are further detailed in </w:t>
      </w:r>
      <w:r>
        <w:rPr>
          <w:rFonts w:ascii="Arial" w:cs="Arial" w:eastAsia="Arial" w:hAnsi="Arial"/>
          <w:sz w:val="16"/>
          <w:szCs w:val="16"/>
          <w:u w:val="single" w:color="auto"/>
          <w:color w:val="0000FF"/>
        </w:rPr>
        <w:t>Note 9</w:t>
      </w:r>
      <w:r>
        <w:rPr>
          <w:rFonts w:ascii="Arial" w:cs="Arial" w:eastAsia="Arial" w:hAnsi="Arial"/>
          <w:sz w:val="16"/>
          <w:szCs w:val="16"/>
          <w:color w:val="auto"/>
        </w:rPr>
        <w:t>, "Comprehensive Income", for more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 Translation</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Company accounts for stock-based compensation using the fair value recognition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 described more fully in </w:t>
      </w:r>
      <w:r>
        <w:rPr>
          <w:rFonts w:ascii="Arial" w:cs="Arial" w:eastAsia="Arial" w:hAnsi="Arial"/>
          <w:sz w:val="17"/>
          <w:szCs w:val="17"/>
          <w:u w:val="single" w:color="auto"/>
          <w:color w:val="0000FF"/>
        </w:rPr>
        <w:t>Note 5, "Stock-Based Compensation Plans",</w:t>
      </w:r>
      <w:r>
        <w:rPr>
          <w:rFonts w:ascii="Arial" w:cs="Arial" w:eastAsia="Arial" w:hAnsi="Arial"/>
          <w:sz w:val="17"/>
          <w:szCs w:val="17"/>
          <w:color w:val="auto"/>
        </w:rPr>
        <w:t xml:space="preserve"> the Company provides, or has provided, compensation benefits under an omnibus incentive plan, two other stock option plans, another restricted stock plan, and two employee stock purchase plans. The Company utilizes the Black-Scholes model to estimate the value of the stock options, which requires the input of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assumptions can materially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affect the estimate of fair value of stock-based compensation and consequently, the related amounts recognized on the consolidated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Estimates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35" w:lineRule="exact"/>
        <w:rPr>
          <w:sz w:val="20"/>
          <w:szCs w:val="20"/>
          <w:color w:val="auto"/>
        </w:rPr>
      </w:pPr>
    </w:p>
    <w:p>
      <w:pPr>
        <w:ind w:left="600" w:hanging="599"/>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DEBT AND FINANCING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On October 15, 2018, the Company entered into a Credit Agreement ("Credit Agreement") with PNC as the administrative agent and sole lender.</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obligations of the Company under the Credit Agreement are not secured, but are subject to certain covenants. As of December 31, 2022 and 2021, there were no outstanding balances on the Revolver. The Revolver expires on October 15, 2023.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Credit Agreement contains customary representations and warranties and certain covenants that place certain limitations on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the Company was in compliance with its covenants under the Credit Agreement.</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February 21, 2023, the Company entered into an amended and restated credit agreement ("Amended Credit Agreement") that provided for, among other things, a three-year unsecured revolving credit facility with a borrowing capacity of up to $250.0 million ("Revolving Credit Facility") that matures on February 21, 2026, replacing in its entirety the Company's prior $150.0 million Revolver scheduled to mature on October 15, 2023. Included in the Revolving Credit Facility is a $20.0 million sublimit for standby letters of credit and a $35.0 million sublimit for swingline loans, each subject to certain conditions.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0" w:hanging="599"/>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620" w:hanging="619"/>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INCOME TAXES,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differences are expected to be recovered or settled. Deferred income tax expense is measured by the net change in deferred income tax assets and liabilities during the year.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foreign components of income before the provision for income taxes were not material for the years ended December 31, 2022, 2021 and 2020.</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provision for income taxes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6"/>
                <w:szCs w:val="16"/>
                <w:color w:val="auto"/>
              </w:rPr>
            </w:pPr>
          </w:p>
        </w:tc>
      </w:tr>
      <w:tr>
        <w:trPr>
          <w:trHeight w:val="194"/>
        </w:trPr>
        <w:tc>
          <w:tcPr>
            <w:tcW w:w="49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Currently payable:</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14"/>
        </w:trPr>
        <w:tc>
          <w:tcPr>
            <w:tcW w:w="4960" w:type="dxa"/>
            <w:vAlign w:val="bottom"/>
          </w:tcPr>
          <w:p>
            <w:pPr>
              <w:ind w:left="320"/>
              <w:spacing w:after="0"/>
              <w:rPr>
                <w:sz w:val="20"/>
                <w:szCs w:val="20"/>
                <w:color w:val="auto"/>
              </w:rPr>
            </w:pPr>
            <w:r>
              <w:rPr>
                <w:rFonts w:ascii="Arial" w:cs="Arial" w:eastAsia="Arial" w:hAnsi="Arial"/>
                <w:sz w:val="17"/>
                <w:szCs w:val="17"/>
                <w:color w:val="auto"/>
              </w:rPr>
              <w:t>Federal</w:t>
            </w:r>
          </w:p>
        </w:tc>
        <w:tc>
          <w:tcPr>
            <w:tcW w:w="1420" w:type="dxa"/>
            <w:vAlign w:val="bottom"/>
            <w:gridSpan w:val="2"/>
          </w:tcPr>
          <w:p>
            <w:pPr>
              <w:jc w:val="right"/>
              <w:ind w:right="17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62,670,986</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89,507,896</w:t>
            </w:r>
          </w:p>
        </w:tc>
        <w:tc>
          <w:tcPr>
            <w:tcW w:w="1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67,606,617</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4,310,783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5,642,926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10,180,218</w:t>
            </w:r>
          </w:p>
        </w:tc>
        <w:tc>
          <w:tcPr>
            <w:tcW w:w="60" w:type="dxa"/>
            <w:vAlign w:val="bottom"/>
          </w:tcPr>
          <w:p>
            <w:pPr>
              <w:spacing w:after="0"/>
              <w:rPr>
                <w:sz w:val="18"/>
                <w:szCs w:val="18"/>
                <w:color w:val="auto"/>
              </w:rPr>
            </w:pPr>
          </w:p>
        </w:tc>
      </w:tr>
      <w:tr>
        <w:trPr>
          <w:trHeight w:val="214"/>
        </w:trPr>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Foreign</w:t>
            </w:r>
          </w:p>
        </w:tc>
        <w:tc>
          <w:tcPr>
            <w:tcW w:w="10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1,761,732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2,098,433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1,882,195</w:t>
            </w:r>
          </w:p>
        </w:tc>
        <w:tc>
          <w:tcPr>
            <w:tcW w:w="60" w:type="dxa"/>
            <w:vAlign w:val="bottom"/>
          </w:tcPr>
          <w:p>
            <w:pPr>
              <w:spacing w:after="0"/>
              <w:rPr>
                <w:sz w:val="18"/>
                <w:szCs w:val="18"/>
                <w:color w:val="auto"/>
              </w:rPr>
            </w:pP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68,743,501</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97,249,255</w:t>
            </w: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79,669,030</w:t>
            </w:r>
          </w:p>
        </w:tc>
        <w:tc>
          <w:tcPr>
            <w:tcW w:w="60" w:type="dxa"/>
            <w:vAlign w:val="bottom"/>
          </w:tcPr>
          <w:p>
            <w:pPr>
              <w:spacing w:after="0"/>
              <w:rPr>
                <w:sz w:val="17"/>
                <w:szCs w:val="17"/>
                <w:color w:val="auto"/>
              </w:rPr>
            </w:pPr>
          </w:p>
        </w:tc>
      </w:tr>
      <w:tr>
        <w:trPr>
          <w:trHeight w:val="194"/>
        </w:trPr>
        <w:tc>
          <w:tcPr>
            <w:tcW w:w="4960" w:type="dxa"/>
            <w:vAlign w:val="bottom"/>
          </w:tcPr>
          <w:p>
            <w:pPr>
              <w:ind w:left="20"/>
              <w:spacing w:after="0" w:line="194" w:lineRule="exact"/>
              <w:rPr>
                <w:sz w:val="20"/>
                <w:szCs w:val="20"/>
                <w:color w:val="auto"/>
              </w:rPr>
            </w:pPr>
            <w:r>
              <w:rPr>
                <w:rFonts w:ascii="Arial" w:cs="Arial" w:eastAsia="Arial" w:hAnsi="Arial"/>
                <w:sz w:val="17"/>
                <w:szCs w:val="17"/>
                <w:color w:val="auto"/>
              </w:rPr>
              <w:t>Deferred income tax benefit:</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4"/>
        </w:trPr>
        <w:tc>
          <w:tcPr>
            <w:tcW w:w="4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Primarily federal</w:t>
            </w:r>
          </w:p>
        </w:tc>
        <w:tc>
          <w:tcPr>
            <w:tcW w:w="10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97"/>
              </w:rPr>
              <w:t>(17,777,777)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(41,694,751)</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w w:val="97"/>
              </w:rPr>
              <w:t>(15,419,722)</w:t>
            </w:r>
          </w:p>
        </w:tc>
        <w:tc>
          <w:tcPr>
            <w:tcW w:w="60" w:type="dxa"/>
            <w:vAlign w:val="bottom"/>
          </w:tcPr>
          <w:p>
            <w:pPr>
              <w:spacing w:after="0"/>
              <w:rPr>
                <w:sz w:val="18"/>
                <w:szCs w:val="18"/>
                <w:color w:val="auto"/>
              </w:rPr>
            </w:pPr>
          </w:p>
        </w:tc>
      </w:tr>
      <w:tr>
        <w:trPr>
          <w:trHeight w:val="206"/>
        </w:trPr>
        <w:tc>
          <w:tcPr>
            <w:tcW w:w="49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060" w:type="dxa"/>
            <w:vAlign w:val="bottom"/>
          </w:tcPr>
          <w:p>
            <w:pPr>
              <w:spacing w:after="0"/>
              <w:rPr>
                <w:sz w:val="17"/>
                <w:szCs w:val="17"/>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50,965,724</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55,554,504</w:t>
            </w:r>
          </w:p>
        </w:tc>
        <w:tc>
          <w:tcPr>
            <w:tcW w:w="12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64,249,308</w:t>
            </w:r>
          </w:p>
        </w:tc>
        <w:tc>
          <w:tcPr>
            <w:tcW w:w="60" w:type="dxa"/>
            <w:vAlign w:val="bottom"/>
          </w:tcPr>
          <w:p>
            <w:pPr>
              <w:spacing w:after="0"/>
              <w:rPr>
                <w:sz w:val="17"/>
                <w:szCs w:val="17"/>
                <w:color w:val="auto"/>
              </w:rPr>
            </w:pPr>
          </w:p>
        </w:tc>
      </w:tr>
      <w:tr>
        <w:trPr>
          <w:trHeight w:val="20"/>
        </w:trPr>
        <w:tc>
          <w:tcPr>
            <w:tcW w:w="602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7"/>
        </w:trPr>
        <w:tc>
          <w:tcPr>
            <w:tcW w:w="8360" w:type="dxa"/>
            <w:vAlign w:val="bottom"/>
            <w:gridSpan w:val="9"/>
          </w:tcPr>
          <w:p>
            <w:pPr>
              <w:spacing w:after="0"/>
              <w:rPr>
                <w:sz w:val="20"/>
                <w:szCs w:val="20"/>
                <w:color w:val="auto"/>
              </w:rPr>
            </w:pPr>
            <w:r>
              <w:rPr>
                <w:rFonts w:ascii="Arial" w:cs="Arial" w:eastAsia="Arial" w:hAnsi="Arial"/>
                <w:sz w:val="17"/>
                <w:szCs w:val="17"/>
                <w:color w:val="auto"/>
                <w:w w:val="99"/>
              </w:rPr>
              <w:t>The effective income tax rates are different from the statutory federal income tax rates for the following reasons: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49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24"/>
                <w:szCs w:val="24"/>
                <w:color w:val="auto"/>
              </w:rPr>
            </w:pPr>
          </w:p>
        </w:tc>
      </w:tr>
      <w:tr>
        <w:trPr>
          <w:trHeight w:val="207"/>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Statutory federal income tax rate</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60" w:type="dxa"/>
            <w:vAlign w:val="bottom"/>
            <w:tcBorders>
              <w:left w:val="single" w:sz="8" w:color="CCEEFF"/>
            </w:tcBorders>
          </w:tcPr>
          <w:p>
            <w:pPr>
              <w:spacing w:after="0"/>
              <w:rPr>
                <w:sz w:val="17"/>
                <w:szCs w:val="17"/>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7"/>
                <w:szCs w:val="17"/>
                <w:color w:val="auto"/>
              </w:rPr>
              <w:t>State income taxes, net of federal income tax benefit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tax credit</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(1.4)</w:t>
            </w:r>
          </w:p>
        </w:tc>
        <w:tc>
          <w:tcPr>
            <w:tcW w:w="60" w:type="dxa"/>
            <w:vAlign w:val="bottom"/>
            <w:tcBorders>
              <w:left w:val="single" w:sz="8" w:color="CCEEFF"/>
            </w:tcBorders>
          </w:tcPr>
          <w:p>
            <w:pPr>
              <w:spacing w:after="0"/>
              <w:rPr>
                <w:sz w:val="18"/>
                <w:szCs w:val="18"/>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7"/>
                <w:szCs w:val="17"/>
                <w:color w:val="auto"/>
              </w:rPr>
              <w:t>(Decrease) Increase in reserve for uncertain tax provisions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8"/>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Non-deductible executive compensation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60" w:type="dxa"/>
            <w:vAlign w:val="bottom"/>
            <w:tcBorders>
              <w:left w:val="single" w:sz="8" w:color="CCEEFF"/>
            </w:tcBorders>
          </w:tcPr>
          <w:p>
            <w:pPr>
              <w:spacing w:after="0"/>
              <w:rPr>
                <w:sz w:val="18"/>
                <w:szCs w:val="18"/>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7"/>
                <w:szCs w:val="17"/>
                <w:color w:val="auto"/>
              </w:rPr>
              <w:t>Non-deductible expenses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credit</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(0.1)</w:t>
            </w:r>
          </w:p>
        </w:tc>
        <w:tc>
          <w:tcPr>
            <w:tcW w:w="60" w:type="dxa"/>
            <w:vAlign w:val="bottom"/>
            <w:tcBorders>
              <w:left w:val="single" w:sz="8" w:color="CCEEFF"/>
            </w:tcBorders>
          </w:tcPr>
          <w:p>
            <w:pPr>
              <w:spacing w:after="0"/>
              <w:rPr>
                <w:sz w:val="18"/>
                <w:szCs w:val="18"/>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7"/>
                <w:szCs w:val="17"/>
                <w:color w:val="auto"/>
              </w:rPr>
              <w:t>Foreign derived intangible income deduction</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8"/>
              <w:spacing w:after="0"/>
              <w:rPr>
                <w:sz w:val="20"/>
                <w:szCs w:val="20"/>
                <w:color w:val="auto"/>
              </w:rPr>
            </w:pPr>
            <w:r>
              <w:rPr>
                <w:rFonts w:ascii="Arial" w:cs="Arial" w:eastAsia="Arial" w:hAnsi="Arial"/>
                <w:sz w:val="17"/>
                <w:szCs w:val="17"/>
                <w:color w:val="auto"/>
              </w:rPr>
              <w:t>(5.2)</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compensation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(1.0)</w:t>
            </w:r>
          </w:p>
        </w:tc>
        <w:tc>
          <w:tcPr>
            <w:tcW w:w="60" w:type="dxa"/>
            <w:vAlign w:val="bottom"/>
            <w:tcBorders>
              <w:left w:val="single" w:sz="8" w:color="CCEEFF"/>
            </w:tcBorders>
          </w:tcPr>
          <w:p>
            <w:pPr>
              <w:spacing w:after="0"/>
              <w:rPr>
                <w:sz w:val="18"/>
                <w:szCs w:val="18"/>
                <w:color w:val="auto"/>
              </w:rPr>
            </w:pPr>
          </w:p>
        </w:tc>
      </w:tr>
      <w:tr>
        <w:trPr>
          <w:trHeight w:val="21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0.4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18"/>
                <w:szCs w:val="18"/>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income tax rate</w:t>
            </w:r>
          </w:p>
        </w:tc>
        <w:tc>
          <w:tcPr>
            <w:tcW w:w="10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13.8 %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13.3 %</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15.6 %</w:t>
            </w:r>
          </w:p>
        </w:tc>
        <w:tc>
          <w:tcPr>
            <w:tcW w:w="60" w:type="dxa"/>
            <w:vAlign w:val="bottom"/>
            <w:tcBorders>
              <w:left w:val="single" w:sz="8" w:color="CCEEFF"/>
            </w:tcBorders>
          </w:tcPr>
          <w:p>
            <w:pPr>
              <w:spacing w:after="0"/>
              <w:rPr>
                <w:sz w:val="19"/>
                <w:szCs w:val="19"/>
                <w:color w:val="auto"/>
              </w:rPr>
            </w:pPr>
          </w:p>
        </w:tc>
      </w:tr>
      <w:tr>
        <w:trPr>
          <w:trHeight w:val="20"/>
        </w:trPr>
        <w:tc>
          <w:tcPr>
            <w:tcW w:w="6380" w:type="dxa"/>
            <w:vAlign w:val="bottom"/>
            <w:tcBorders>
              <w:top w:val="single" w:sz="8" w:color="CCEEFF"/>
            </w:tcBorders>
            <w:gridSpan w:val="3"/>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2"/>
        </w:trPr>
        <w:tc>
          <w:tcPr>
            <w:tcW w:w="7640" w:type="dxa"/>
            <w:vAlign w:val="bottom"/>
            <w:gridSpan w:val="4"/>
          </w:tcPr>
          <w:p>
            <w:pPr>
              <w:spacing w:after="0"/>
              <w:rPr>
                <w:sz w:val="20"/>
                <w:szCs w:val="20"/>
                <w:color w:val="auto"/>
              </w:rPr>
            </w:pPr>
            <w:r>
              <w:rPr>
                <w:rFonts w:ascii="Arial" w:cs="Arial" w:eastAsia="Arial" w:hAnsi="Arial"/>
                <w:sz w:val="17"/>
                <w:szCs w:val="17"/>
                <w:color w:val="auto"/>
              </w:rPr>
              <w:t>The tax effect of temporary differences which give rise to deferred income tax assets and liabilities at</w:t>
            </w:r>
          </w:p>
        </w:tc>
        <w:tc>
          <w:tcPr>
            <w:tcW w:w="3600" w:type="dxa"/>
            <w:vAlign w:val="bottom"/>
            <w:gridSpan w:val="11"/>
          </w:tcPr>
          <w:p>
            <w:pPr>
              <w:spacing w:after="0"/>
              <w:rPr>
                <w:sz w:val="20"/>
                <w:szCs w:val="20"/>
                <w:color w:val="auto"/>
              </w:rPr>
            </w:pPr>
            <w:r>
              <w:rPr>
                <w:rFonts w:ascii="Arial" w:cs="Arial" w:eastAsia="Arial" w:hAnsi="Arial"/>
                <w:sz w:val="17"/>
                <w:szCs w:val="17"/>
                <w:color w:val="auto"/>
              </w:rPr>
              <w:t>December 31, 2022 and 2021, are as follows:</w:t>
            </w:r>
          </w:p>
        </w:tc>
      </w:tr>
      <w:tr>
        <w:trPr>
          <w:trHeight w:val="755"/>
        </w:trPr>
        <w:tc>
          <w:tcPr>
            <w:tcW w:w="4960" w:type="dxa"/>
            <w:vAlign w:val="bottom"/>
          </w:tcPr>
          <w:p>
            <w:pPr>
              <w:spacing w:after="0"/>
              <w:rPr>
                <w:sz w:val="24"/>
                <w:szCs w:val="24"/>
                <w:color w:val="auto"/>
              </w:rPr>
            </w:pPr>
          </w:p>
        </w:tc>
        <w:tc>
          <w:tcPr>
            <w:tcW w:w="1060" w:type="dxa"/>
            <w:vAlign w:val="bottom"/>
          </w:tcPr>
          <w:p>
            <w:pPr>
              <w:jc w:val="right"/>
              <w:ind w:right="216"/>
              <w:spacing w:after="0"/>
              <w:rPr>
                <w:sz w:val="20"/>
                <w:szCs w:val="20"/>
                <w:color w:val="auto"/>
              </w:rPr>
            </w:pPr>
            <w:r>
              <w:rPr>
                <w:rFonts w:ascii="Arial" w:cs="Arial" w:eastAsia="Arial" w:hAnsi="Arial"/>
                <w:sz w:val="17"/>
                <w:szCs w:val="17"/>
                <w:color w:val="auto"/>
              </w:rPr>
              <w:t>60</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49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GENTEX CORPORATION AND SUBSIDIARIES</w:t>
            </w:r>
          </w:p>
        </w:tc>
        <w:tc>
          <w:tcPr>
            <w:tcW w:w="580" w:type="dxa"/>
            <w:vAlign w:val="bottom"/>
            <w:gridSpan w:val="3"/>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860" w:type="dxa"/>
            <w:vAlign w:val="bottom"/>
            <w:gridSpan w:val="6"/>
          </w:tcPr>
          <w:p>
            <w:pPr>
              <w:jc w:val="center"/>
              <w:spacing w:after="0" w:line="181" w:lineRule="exact"/>
              <w:rPr>
                <w:sz w:val="20"/>
                <w:szCs w:val="20"/>
                <w:color w:val="auto"/>
              </w:rPr>
            </w:pPr>
            <w:r>
              <w:rPr>
                <w:rFonts w:ascii="Arial" w:cs="Arial" w:eastAsia="Arial" w:hAnsi="Arial"/>
                <w:sz w:val="17"/>
                <w:szCs w:val="17"/>
                <w:b w:val="1"/>
                <w:bCs w:val="1"/>
                <w:color w:val="auto"/>
                <w:w w:val="97"/>
              </w:rPr>
              <w:t>NOTES TO CONSOLIDATED FINANCIAL STATEMENTS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0" w:type="dxa"/>
            <w:vAlign w:val="bottom"/>
            <w:vMerge w:val="restart"/>
          </w:tcPr>
          <w:p>
            <w:pPr>
              <w:spacing w:after="0"/>
              <w:rPr>
                <w:sz w:val="20"/>
                <w:szCs w:val="20"/>
                <w:color w:val="auto"/>
              </w:rPr>
            </w:pPr>
            <w:r>
              <w:rPr>
                <w:rFonts w:ascii="Arial" w:cs="Arial" w:eastAsia="Arial" w:hAnsi="Arial"/>
                <w:sz w:val="17"/>
                <w:szCs w:val="17"/>
                <w:color w:val="auto"/>
              </w:rPr>
              <w:t>(3)</w:t>
            </w:r>
          </w:p>
        </w:tc>
        <w:tc>
          <w:tcPr>
            <w:tcW w:w="2900" w:type="dxa"/>
            <w:vAlign w:val="bottom"/>
            <w:vMerge w:val="restart"/>
          </w:tcPr>
          <w:p>
            <w:pPr>
              <w:ind w:left="360"/>
              <w:spacing w:after="0"/>
              <w:rPr>
                <w:sz w:val="20"/>
                <w:szCs w:val="20"/>
                <w:color w:val="auto"/>
              </w:rPr>
            </w:pPr>
            <w:r>
              <w:rPr>
                <w:rFonts w:ascii="Arial" w:cs="Arial" w:eastAsia="Arial" w:hAnsi="Arial"/>
                <w:sz w:val="17"/>
                <w:szCs w:val="17"/>
                <w:color w:val="auto"/>
              </w:rPr>
              <w:t>INCOME TAXES, continued</w:t>
            </w:r>
          </w:p>
        </w:tc>
        <w:tc>
          <w:tcPr>
            <w:tcW w:w="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gridSpan w:val="3"/>
          </w:tcPr>
          <w:p>
            <w:pPr>
              <w:jc w:val="center"/>
              <w:ind w:right="256"/>
              <w:spacing w:after="0"/>
              <w:rPr>
                <w:sz w:val="20"/>
                <w:szCs w:val="20"/>
                <w:color w:val="auto"/>
              </w:rPr>
            </w:pPr>
            <w:r>
              <w:rPr>
                <w:rFonts w:ascii="Arial" w:cs="Arial" w:eastAsia="Arial" w:hAnsi="Arial"/>
                <w:sz w:val="17"/>
                <w:szCs w:val="17"/>
                <w:b w:val="1"/>
                <w:bCs w:val="1"/>
                <w:color w:val="auto"/>
                <w:w w:val="98"/>
              </w:rPr>
              <w:t>(Continued)</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60" w:type="dxa"/>
            <w:vAlign w:val="bottom"/>
            <w:vMerge w:val="continue"/>
          </w:tcPr>
          <w:p>
            <w:pPr>
              <w:spacing w:after="0"/>
              <w:rPr>
                <w:sz w:val="16"/>
                <w:szCs w:val="16"/>
                <w:color w:val="auto"/>
              </w:rPr>
            </w:pPr>
          </w:p>
        </w:tc>
        <w:tc>
          <w:tcPr>
            <w:tcW w:w="2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4"/>
        </w:trPr>
        <w:tc>
          <w:tcPr>
            <w:tcW w:w="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4"/>
        </w:trPr>
        <w:tc>
          <w:tcPr>
            <w:tcW w:w="31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Assets:</w:t>
            </w: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7"/>
                <w:szCs w:val="17"/>
                <w:color w:val="auto"/>
              </w:rPr>
              <w:t>Accruals not currently deductible</w:t>
            </w:r>
          </w:p>
        </w:tc>
        <w:tc>
          <w:tcPr>
            <w:tcW w:w="4640" w:type="dxa"/>
            <w:vAlign w:val="bottom"/>
            <w:gridSpan w:val="5"/>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9,778,184</w:t>
            </w:r>
          </w:p>
        </w:tc>
        <w:tc>
          <w:tcPr>
            <w:tcW w:w="100" w:type="dxa"/>
            <w:vAlign w:val="bottom"/>
          </w:tcPr>
          <w:p>
            <w:pPr>
              <w:spacing w:after="0"/>
              <w:rPr>
                <w:sz w:val="18"/>
                <w:szCs w:val="18"/>
                <w:color w:val="auto"/>
              </w:rPr>
            </w:pP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12,823,493</w:t>
            </w: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Research and development costs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58,501,232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49,099,538</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7"/>
                <w:szCs w:val="17"/>
                <w:color w:val="auto"/>
              </w:rPr>
              <w:t>Stock based compensation</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14,670,250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13,707,737</w:t>
            </w: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4,722,513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2,118,484</w:t>
            </w:r>
          </w:p>
        </w:tc>
        <w:tc>
          <w:tcPr>
            <w:tcW w:w="0" w:type="dxa"/>
            <w:vAlign w:val="bottom"/>
          </w:tcPr>
          <w:p>
            <w:pPr>
              <w:spacing w:after="0"/>
              <w:rPr>
                <w:sz w:val="1"/>
                <w:szCs w:val="1"/>
                <w:color w:val="auto"/>
              </w:rPr>
            </w:pPr>
          </w:p>
        </w:tc>
      </w:tr>
      <w:tr>
        <w:trPr>
          <w:trHeight w:val="206"/>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Total deferred income tax assets</w:t>
            </w:r>
          </w:p>
        </w:tc>
        <w:tc>
          <w:tcPr>
            <w:tcW w:w="4360" w:type="dxa"/>
            <w:vAlign w:val="bottom"/>
            <w:gridSpan w:val="4"/>
          </w:tcPr>
          <w:p>
            <w:pPr>
              <w:spacing w:after="0"/>
              <w:rPr>
                <w:sz w:val="17"/>
                <w:szCs w:val="17"/>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87,672,179</w:t>
            </w:r>
          </w:p>
        </w:tc>
        <w:tc>
          <w:tcPr>
            <w:tcW w:w="100" w:type="dxa"/>
            <w:vAlign w:val="bottom"/>
          </w:tcPr>
          <w:p>
            <w:pPr>
              <w:spacing w:after="0"/>
              <w:rPr>
                <w:sz w:val="17"/>
                <w:szCs w:val="17"/>
                <w:color w:val="auto"/>
              </w:rPr>
            </w:pP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77,749,252</w:t>
            </w:r>
          </w:p>
        </w:tc>
        <w:tc>
          <w:tcPr>
            <w:tcW w:w="0" w:type="dxa"/>
            <w:vAlign w:val="bottom"/>
          </w:tcPr>
          <w:p>
            <w:pPr>
              <w:spacing w:after="0"/>
              <w:rPr>
                <w:sz w:val="1"/>
                <w:szCs w:val="1"/>
                <w:color w:val="auto"/>
              </w:rPr>
            </w:pPr>
          </w:p>
        </w:tc>
      </w:tr>
      <w:tr>
        <w:trPr>
          <w:trHeight w:val="214"/>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7"/>
                <w:szCs w:val="17"/>
                <w:color w:val="auto"/>
              </w:rPr>
              <w:t>Excess tax over book depreciation</w:t>
            </w:r>
          </w:p>
        </w:tc>
        <w:tc>
          <w:tcPr>
            <w:tcW w:w="4640" w:type="dxa"/>
            <w:vAlign w:val="bottom"/>
            <w:gridSpan w:val="5"/>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(3,460,485)</w:t>
            </w:r>
          </w:p>
        </w:tc>
        <w:tc>
          <w:tcPr>
            <w:tcW w:w="100" w:type="dxa"/>
            <w:vAlign w:val="bottom"/>
          </w:tcPr>
          <w:p>
            <w:pPr>
              <w:spacing w:after="0"/>
              <w:rPr>
                <w:sz w:val="18"/>
                <w:szCs w:val="18"/>
                <w:color w:val="auto"/>
              </w:rPr>
            </w:pP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(20,728,577)</w:t>
            </w: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(42,580,026)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(37,999,022)</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7"/>
                <w:szCs w:val="17"/>
                <w:color w:val="auto"/>
              </w:rPr>
              <w:t>Intangible assets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(13,268,772)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(11,718,904)</w:t>
            </w: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(2,834,196)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(2,507,071)</w:t>
            </w:r>
          </w:p>
        </w:tc>
        <w:tc>
          <w:tcPr>
            <w:tcW w:w="0" w:type="dxa"/>
            <w:vAlign w:val="bottom"/>
          </w:tcPr>
          <w:p>
            <w:pPr>
              <w:spacing w:after="0"/>
              <w:rPr>
                <w:sz w:val="1"/>
                <w:szCs w:val="1"/>
                <w:color w:val="auto"/>
              </w:rPr>
            </w:pPr>
          </w:p>
        </w:tc>
      </w:tr>
      <w:tr>
        <w:trPr>
          <w:trHeight w:val="206"/>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deferred income tax liabilities</w:t>
            </w:r>
          </w:p>
        </w:tc>
        <w:tc>
          <w:tcPr>
            <w:tcW w:w="4360" w:type="dxa"/>
            <w:vAlign w:val="bottom"/>
            <w:tcBorders>
              <w:bottom w:val="single" w:sz="8" w:color="CCEEFF"/>
            </w:tcBorders>
            <w:gridSpan w:val="4"/>
          </w:tcPr>
          <w:p>
            <w:pPr>
              <w:spacing w:after="0"/>
              <w:rPr>
                <w:sz w:val="17"/>
                <w:szCs w:val="17"/>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(62,143,479)</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(72,953,574)</w:t>
            </w:r>
          </w:p>
        </w:tc>
        <w:tc>
          <w:tcPr>
            <w:tcW w:w="0" w:type="dxa"/>
            <w:vAlign w:val="bottom"/>
          </w:tcPr>
          <w:p>
            <w:pPr>
              <w:spacing w:after="0"/>
              <w:rPr>
                <w:sz w:val="1"/>
                <w:szCs w:val="1"/>
                <w:color w:val="auto"/>
              </w:rPr>
            </w:pPr>
          </w:p>
        </w:tc>
      </w:tr>
      <w:tr>
        <w:trPr>
          <w:trHeight w:val="231"/>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deferred income taxes</w:t>
            </w:r>
          </w:p>
        </w:tc>
        <w:tc>
          <w:tcPr>
            <w:tcW w:w="4360" w:type="dxa"/>
            <w:vAlign w:val="bottom"/>
            <w:tcBorders>
              <w:bottom w:val="single" w:sz="8" w:color="CCEEFF"/>
            </w:tcBorders>
            <w:gridSpan w:val="4"/>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25,528,700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4,795,678</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Net operating loss carryforwards with no expiration totaling $7.7 million are available to reduce future taxable earnings of certain domestic and foreign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Income taxes paid in cash were approximately $35.2 million, $105.8 million and $61.9 million in 2022, 2021 and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2020</w:t>
            </w: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year</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5,275,000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6,392,000</w:t>
            </w: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color w:val="auto"/>
              </w:rPr>
              <w:t>Additions based on tax positions related to the current year</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951,000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1,023,000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918,000</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for tax positions in prior years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770,000</w:t>
            </w: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color w:val="auto"/>
              </w:rPr>
              <w:t>Reductions for tax positions in prior years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(2,907,000)</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as a result of a lapse of the applicable statute of limitations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(1,923,000)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(309,000)</w:t>
            </w:r>
          </w:p>
        </w:tc>
      </w:tr>
      <w:tr>
        <w:trPr>
          <w:trHeight w:val="206"/>
        </w:trPr>
        <w:tc>
          <w:tcPr>
            <w:tcW w:w="6360" w:type="dxa"/>
            <w:vAlign w:val="bottom"/>
          </w:tcPr>
          <w:p>
            <w:pPr>
              <w:ind w:left="20"/>
              <w:spacing w:after="0"/>
              <w:rPr>
                <w:sz w:val="20"/>
                <w:szCs w:val="20"/>
                <w:color w:val="auto"/>
              </w:rPr>
            </w:pPr>
            <w:r>
              <w:rPr>
                <w:rFonts w:ascii="Arial" w:cs="Arial" w:eastAsia="Arial" w:hAnsi="Arial"/>
                <w:sz w:val="17"/>
                <w:szCs w:val="17"/>
                <w:color w:val="auto"/>
              </w:rPr>
              <w:t>End of year</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4,630,000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5,275,000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4,864,000</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 recognized, unrecognized tax benefits would affect the effective tax rate.</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recognizes interest and penalties related to unrecognized tax benefits through the provision for income taxes. The Company has accrued approximately $379,000, $605,000, and $577,000 for interest as of December 31, 2022, 2021, and 2020, respectively. Interest expensed during 2022, 2021 and 2020 was not considered significant.</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also subject to periodic and routine audits in both domestic and foreign tax jurisdictions. It is reasonably possible that the amounts of unrecognized tax benefits could change as a result of an audit, new positions taken on income tax returns, settlement of tax positions and the closing of statute of limitations. It is not expected that any change will be material to the Company’s consolidated financial statements.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majority of tax jurisdictions, the Company is no longer subject to U.S. federal, state and local, or non-U.S. income tax examinations by tax authorities for years before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8" w:lineRule="exact"/>
        <w:rPr>
          <w:sz w:val="20"/>
          <w:szCs w:val="20"/>
          <w:color w:val="auto"/>
        </w:rPr>
      </w:pPr>
    </w:p>
    <w:p>
      <w:pPr>
        <w:ind w:left="600" w:hanging="599"/>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EMPLOYEE BENEFIT PLANS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2022, 2021 and 2020 the Company’s contributions were approximately $12.9 million, $9.0 million and $8.9 million, respectively. The increase in the Company's matching contributions in 2022 was due to changes, approved by the Company's Board of Directors, to the rate of Company match as well as increased participation in the plan. The increase in 2021 was due to increased employee participation in the plan.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provide health care benefits to retired employees.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Participants may elect, on a pre-tax basis, to defer receipt of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Subject to applicable rules, a participant can elect whether to receive his or her vested credit balance in a lump sum on the relevant payment date or in installments thereafter.</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deferrals are held in a separate irrevocable rabbi trust ("the Rabbi Trust"), which has been established pursuant to the Deferred Compensation Plan. The Rabbi Trust is intended to be used to hold funds, including matching contributions. The assets of the trust are subject to the claims of the Company's creditors in the event that the Company becomes insolvent. Consequently, the Rabbi Trust qualifies as a grantor trust for income tax purposes. The Company also makes periodic payments into company-owned life insurance policies held in this Rabbi Trust to fund the expected obligations arising under this plan. At December 31, 2022, total assets held by the trustee were $5.6 million and recorded in Other Assets and an associated liability of $5.3 million and recorded in Other Non-Current Liabilities in the Company's consolidated balance sheets. The $5.6 million of assets held by the trustee is invested in company-owned life insurance policies.</w:t>
      </w:r>
    </w:p>
    <w:p>
      <w:pPr>
        <w:spacing w:after="0" w:line="200" w:lineRule="exact"/>
        <w:rPr>
          <w:sz w:val="20"/>
          <w:szCs w:val="20"/>
          <w:color w:val="auto"/>
        </w:rPr>
      </w:pPr>
    </w:p>
    <w:p>
      <w:pPr>
        <w:spacing w:after="0" w:line="225" w:lineRule="exact"/>
        <w:rPr>
          <w:sz w:val="20"/>
          <w:szCs w:val="20"/>
          <w:color w:val="auto"/>
        </w:rPr>
      </w:pPr>
    </w:p>
    <w:p>
      <w:pPr>
        <w:ind w:left="600" w:hanging="599"/>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STOCK-BASED COMPENSATION PLANS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December 31, 2022,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Plans"), which were also approved by shareholders. Any existing awards previously granted under the Prior Plans remain outstanding in accordance with their terms and are governed by the Prior Plans as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Omnibus Incentive Plan</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2022, 20,214,522 shares (net of shares from canceled/expired options) have been issued under the 2019 Omnibus Plan, which includes stock options (at a set conversion rate), restricted shares, and performance share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vMerge w:val="restart"/>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Shares Granted</w:t>
            </w:r>
          </w:p>
        </w:tc>
        <w:tc>
          <w:tcPr>
            <w:tcW w:w="2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vMerge w:val="restart"/>
            <w:shd w:val="clear" w:color="auto" w:fill="CCEEFF"/>
          </w:tcPr>
          <w:p>
            <w:pPr>
              <w:jc w:val="right"/>
              <w:ind w:right="445"/>
              <w:spacing w:after="0"/>
              <w:rPr>
                <w:sz w:val="20"/>
                <w:szCs w:val="20"/>
                <w:color w:val="auto"/>
              </w:rPr>
            </w:pPr>
            <w:r>
              <w:rPr>
                <w:rFonts w:ascii="Arial" w:cs="Arial" w:eastAsia="Arial" w:hAnsi="Arial"/>
                <w:sz w:val="13"/>
                <w:szCs w:val="13"/>
                <w:b w:val="1"/>
                <w:bCs w:val="1"/>
                <w:color w:val="auto"/>
              </w:rPr>
              <w:t>Conversion Rate</w:t>
            </w:r>
          </w:p>
        </w:tc>
        <w:tc>
          <w:tcPr>
            <w:tcW w:w="200" w:type="dxa"/>
            <w:vAlign w:val="bottom"/>
            <w:tcBorders>
              <w:top w:val="single" w:sz="8" w:color="CCEEFF"/>
            </w:tcBorders>
            <w:vMerge w:val="restart"/>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3"/>
                <w:szCs w:val="13"/>
                <w:b w:val="1"/>
                <w:bCs w:val="1"/>
                <w:color w:val="auto"/>
              </w:rPr>
              <w:t>Total Shares Under 2019</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spacing w:after="0"/>
              <w:rPr>
                <w:sz w:val="15"/>
                <w:szCs w:val="15"/>
                <w:color w:val="auto"/>
              </w:rPr>
            </w:pPr>
          </w:p>
        </w:tc>
        <w:tc>
          <w:tcPr>
            <w:tcW w:w="21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3"/>
                <w:szCs w:val="13"/>
                <w:b w:val="1"/>
                <w:bCs w:val="1"/>
                <w:color w:val="auto"/>
              </w:rPr>
              <w:t>Omnibus Plan</w:t>
            </w:r>
          </w:p>
        </w:tc>
        <w:tc>
          <w:tcPr>
            <w:tcW w:w="0" w:type="dxa"/>
            <w:vAlign w:val="bottom"/>
          </w:tcPr>
          <w:p>
            <w:pPr>
              <w:spacing w:after="0"/>
              <w:rPr>
                <w:sz w:val="1"/>
                <w:szCs w:val="1"/>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7"/>
                <w:szCs w:val="17"/>
                <w:color w:val="auto"/>
              </w:rPr>
              <w:t>Non-Qualified Stock Options</w:t>
            </w:r>
          </w:p>
        </w:tc>
        <w:tc>
          <w:tcPr>
            <w:tcW w:w="2100" w:type="dxa"/>
            <w:vAlign w:val="bottom"/>
          </w:tcPr>
          <w:p>
            <w:pPr>
              <w:jc w:val="right"/>
              <w:spacing w:after="0"/>
              <w:rPr>
                <w:sz w:val="20"/>
                <w:szCs w:val="20"/>
                <w:color w:val="auto"/>
              </w:rPr>
            </w:pPr>
            <w:r>
              <w:rPr>
                <w:rFonts w:ascii="Arial" w:cs="Arial" w:eastAsia="Arial" w:hAnsi="Arial"/>
                <w:sz w:val="17"/>
                <w:szCs w:val="17"/>
                <w:color w:val="auto"/>
              </w:rPr>
              <w:t>4,355,326</w:t>
            </w:r>
          </w:p>
        </w:tc>
        <w:tc>
          <w:tcPr>
            <w:tcW w:w="2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4,355,326</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3,345,868</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13,584,224</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 Shares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560,338</w:t>
            </w:r>
          </w:p>
        </w:tc>
        <w:tc>
          <w:tcPr>
            <w:tcW w:w="2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4.06</w:t>
            </w:r>
          </w:p>
        </w:tc>
        <w:tc>
          <w:tcPr>
            <w:tcW w:w="2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2,274,972</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8,261,532</w:t>
            </w:r>
          </w:p>
        </w:tc>
        <w:tc>
          <w:tcPr>
            <w:tcW w:w="2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20,214,522</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 Stock Options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Employee Stock Option Plan allowed the Company to grant up to 24,000,000 shares of common stock under the plan, prior to its replacement by the 2019 Omnibus Plan.</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granted options on 4,355,326 shares (net of shares from canceled/expired options) under the 2019 Omnibus Plan and 12,689,869 shares (net of shares from canceled/expired options) under the prior plan (prior to its replacement) through December 31, 2022. Under each of such plans, the option exercise price equals the stock’s market price on date of grant. The options vest after one to five years, and expire after five to ten years.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fair value of each option grant was estimated on the date of grant using the Black-Scholes option pricing model with the following weighted-average assumptions for the indicated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r>
      <w:tr>
        <w:trPr>
          <w:trHeight w:val="207"/>
        </w:trPr>
        <w:tc>
          <w:tcPr>
            <w:tcW w:w="610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 xml:space="preserve">Dividend yield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14"/>
        </w:trPr>
        <w:tc>
          <w:tcPr>
            <w:tcW w:w="6100" w:type="dxa"/>
            <w:vAlign w:val="bottom"/>
          </w:tcPr>
          <w:p>
            <w:pPr>
              <w:ind w:left="20"/>
              <w:spacing w:after="0" w:line="214" w:lineRule="exact"/>
              <w:rPr>
                <w:sz w:val="20"/>
                <w:szCs w:val="20"/>
                <w:color w:val="auto"/>
              </w:rPr>
            </w:pPr>
            <w:r>
              <w:rPr>
                <w:rFonts w:ascii="Arial" w:cs="Arial" w:eastAsia="Arial" w:hAnsi="Arial"/>
                <w:sz w:val="17"/>
                <w:szCs w:val="17"/>
                <w:color w:val="auto"/>
              </w:rPr>
              <w:t xml:space="preserve">Expected volatility </w:t>
            </w:r>
            <w:r>
              <w:rPr>
                <w:rFonts w:ascii="Arial" w:cs="Arial" w:eastAsia="Arial" w:hAnsi="Arial"/>
                <w:sz w:val="21"/>
                <w:szCs w:val="21"/>
                <w:color w:val="auto"/>
                <w:vertAlign w:val="superscript"/>
              </w:rPr>
              <w:t>(2)</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28.8 %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27.6 %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27.5 %</w:t>
            </w:r>
          </w:p>
        </w:tc>
      </w:tr>
      <w:tr>
        <w:trPr>
          <w:trHeight w:val="214"/>
        </w:trPr>
        <w:tc>
          <w:tcPr>
            <w:tcW w:w="610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Risk-free interest rate </w:t>
            </w:r>
            <w:r>
              <w:rPr>
                <w:rFonts w:ascii="Arial" w:cs="Arial" w:eastAsia="Arial" w:hAnsi="Arial"/>
                <w:sz w:val="21"/>
                <w:szCs w:val="21"/>
                <w:color w:val="auto"/>
                <w:vertAlign w:val="superscript"/>
              </w:rPr>
              <w:t>(3)</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r>
      <w:tr>
        <w:trPr>
          <w:trHeight w:val="214"/>
        </w:trPr>
        <w:tc>
          <w:tcPr>
            <w:tcW w:w="6100" w:type="dxa"/>
            <w:vAlign w:val="bottom"/>
          </w:tcPr>
          <w:p>
            <w:pPr>
              <w:ind w:left="20"/>
              <w:spacing w:after="0" w:line="214" w:lineRule="exact"/>
              <w:rPr>
                <w:sz w:val="20"/>
                <w:szCs w:val="20"/>
                <w:color w:val="auto"/>
              </w:rPr>
            </w:pPr>
            <w:r>
              <w:rPr>
                <w:rFonts w:ascii="Arial" w:cs="Arial" w:eastAsia="Arial" w:hAnsi="Arial"/>
                <w:sz w:val="17"/>
                <w:szCs w:val="17"/>
                <w:color w:val="auto"/>
              </w:rPr>
              <w:t xml:space="preserve">Expected term of options (in years) </w:t>
            </w:r>
            <w:r>
              <w:rPr>
                <w:rFonts w:ascii="Arial" w:cs="Arial" w:eastAsia="Arial" w:hAnsi="Arial"/>
                <w:sz w:val="21"/>
                <w:szCs w:val="21"/>
                <w:color w:val="auto"/>
                <w:vertAlign w:val="superscript"/>
              </w:rPr>
              <w:t>(4)</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4"/>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grant-date fair value</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6.59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4.83</w:t>
            </w:r>
          </w:p>
        </w:tc>
      </w:tr>
    </w:tbl>
    <w:p>
      <w:pPr>
        <w:spacing w:after="0" w:line="60" w:lineRule="exact"/>
        <w:rPr>
          <w:sz w:val="20"/>
          <w:szCs w:val="20"/>
          <w:color w:val="auto"/>
        </w:rPr>
      </w:pPr>
    </w:p>
    <w:p>
      <w:pPr>
        <w:ind w:left="280" w:hanging="279"/>
        <w:spacing w:after="0"/>
        <w:tabs>
          <w:tab w:leader="none" w:pos="2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Represents the Company's estimated cash dividend yield over the expected term of option grant.</w:t>
      </w:r>
    </w:p>
    <w:p>
      <w:pPr>
        <w:spacing w:after="0" w:line="10" w:lineRule="exact"/>
        <w:rPr>
          <w:rFonts w:ascii="Arial" w:cs="Arial" w:eastAsia="Arial" w:hAnsi="Arial"/>
          <w:sz w:val="12"/>
          <w:szCs w:val="12"/>
          <w:color w:val="auto"/>
        </w:rPr>
      </w:pPr>
    </w:p>
    <w:p>
      <w:pPr>
        <w:ind w:left="180" w:hanging="179"/>
        <w:spacing w:after="0"/>
        <w:tabs>
          <w:tab w:leader="none" w:pos="1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Amount is determined based on analysis of historical price volatility of the Company's common stock. The expected volatility is based on the daily percentage change in the price of the stock over a period equal to</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expected term of the option grant.</w:t>
      </w:r>
    </w:p>
    <w:p>
      <w:pPr>
        <w:spacing w:after="0" w:line="7" w:lineRule="exact"/>
        <w:rPr>
          <w:sz w:val="20"/>
          <w:szCs w:val="20"/>
          <w:color w:val="auto"/>
        </w:rPr>
      </w:pPr>
    </w:p>
    <w:p>
      <w:pPr>
        <w:ind w:left="280" w:hanging="279"/>
        <w:spacing w:after="0"/>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the U.S. Treasury yield over the expected term of the option grant.</w:t>
      </w:r>
    </w:p>
    <w:p>
      <w:pPr>
        <w:ind w:firstLine="1"/>
        <w:spacing w:after="0" w:line="251" w:lineRule="auto"/>
        <w:tabs>
          <w:tab w:leader="none" w:pos="176"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December 31, 2022, there was $9,148,306 of unrecognized compensation cost related to stock option awards which is expected to be recognized over the remaining vesting periods, with a weighted-average period of 2.03 years. Stock option expense for the years ended December 31, 2022, 2021 and 2020 was $6,302,581, $5,780,959, and $4,935,527 respectively.</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the status of the Company’s stock option plans at December 31, 2022, 2021 and 2020, and changes during the same periods are presented in the tables below.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6"/>
          </w:tcPr>
          <w:p>
            <w:pPr>
              <w:ind w:left="1080"/>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vMerge w:val="restart"/>
          </w:tcPr>
          <w:p>
            <w:pPr>
              <w:jc w:val="center"/>
              <w:ind w:right="38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86"/>
              <w:spacing w:after="0" w:line="131" w:lineRule="exact"/>
              <w:rPr>
                <w:sz w:val="20"/>
                <w:szCs w:val="20"/>
                <w:color w:val="auto"/>
              </w:rPr>
            </w:pPr>
            <w:r>
              <w:rPr>
                <w:rFonts w:ascii="Arial" w:cs="Arial" w:eastAsia="Arial" w:hAnsi="Arial"/>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restart"/>
          </w:tcPr>
          <w:p>
            <w:pPr>
              <w:jc w:val="center"/>
              <w:ind w:right="1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restart"/>
          </w:tcPr>
          <w:p>
            <w:pPr>
              <w:ind w:left="120"/>
              <w:spacing w:after="0"/>
              <w:rPr>
                <w:sz w:val="20"/>
                <w:szCs w:val="20"/>
                <w:color w:val="auto"/>
              </w:rPr>
            </w:pPr>
            <w:r>
              <w:rPr>
                <w:rFonts w:ascii="Arial" w:cs="Arial" w:eastAsia="Arial" w:hAnsi="Arial"/>
                <w:sz w:val="13"/>
                <w:szCs w:val="13"/>
                <w:b w:val="1"/>
                <w:bCs w:val="1"/>
                <w:color w:val="auto"/>
              </w:rPr>
              <w:t>Wtd. Avg.</w:t>
            </w:r>
          </w:p>
        </w:tc>
        <w:tc>
          <w:tcPr>
            <w:tcW w:w="13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226"/>
              <w:spacing w:after="0" w:line="139" w:lineRule="exact"/>
              <w:rPr>
                <w:sz w:val="20"/>
                <w:szCs w:val="20"/>
                <w:color w:val="auto"/>
              </w:rPr>
            </w:pPr>
            <w:r>
              <w:rPr>
                <w:rFonts w:ascii="Arial" w:cs="Arial" w:eastAsia="Arial" w:hAnsi="Arial"/>
                <w:sz w:val="13"/>
                <w:szCs w:val="13"/>
                <w:b w:val="1"/>
                <w:bCs w:val="1"/>
                <w:color w:val="auto"/>
              </w:rPr>
              <w:t>Intrinsic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300" w:type="dxa"/>
            <w:vAlign w:val="bottom"/>
            <w:gridSpan w:val="5"/>
          </w:tcPr>
          <w:p>
            <w:pPr>
              <w:jc w:val="center"/>
              <w:ind w:right="340"/>
              <w:spacing w:after="0" w:line="139" w:lineRule="exact"/>
              <w:rPr>
                <w:sz w:val="20"/>
                <w:szCs w:val="20"/>
                <w:color w:val="auto"/>
              </w:rPr>
            </w:pPr>
            <w:r>
              <w:rPr>
                <w:rFonts w:ascii="Arial" w:cs="Arial" w:eastAsia="Arial" w:hAnsi="Arial"/>
                <w:sz w:val="13"/>
                <w:szCs w:val="13"/>
                <w:b w:val="1"/>
                <w:bCs w:val="1"/>
                <w:color w:val="auto"/>
              </w:rPr>
              <w:t>Remaining</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86"/>
              <w:spacing w:after="0" w:line="139" w:lineRule="exact"/>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6"/>
          </w:tcPr>
          <w:p>
            <w:pPr>
              <w:ind w:left="140"/>
              <w:spacing w:after="0"/>
              <w:rPr>
                <w:sz w:val="20"/>
                <w:szCs w:val="20"/>
                <w:color w:val="auto"/>
              </w:rPr>
            </w:pPr>
            <w:r>
              <w:rPr>
                <w:rFonts w:ascii="Arial" w:cs="Arial" w:eastAsia="Arial" w:hAnsi="Arial"/>
                <w:sz w:val="13"/>
                <w:szCs w:val="13"/>
                <w:b w:val="1"/>
                <w:bCs w:val="1"/>
                <w:color w:val="auto"/>
              </w:rPr>
              <w:t>Ex. Price</w:t>
            </w:r>
          </w:p>
        </w:tc>
        <w:tc>
          <w:tcPr>
            <w:tcW w:w="13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rPr>
              <w:t>Contract Life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86"/>
              <w:spacing w:after="0"/>
              <w:rPr>
                <w:sz w:val="20"/>
                <w:szCs w:val="20"/>
                <w:color w:val="auto"/>
              </w:rPr>
            </w:pPr>
            <w:r>
              <w:rPr>
                <w:rFonts w:ascii="Arial" w:cs="Arial" w:eastAsia="Arial" w:hAnsi="Arial"/>
                <w:sz w:val="13"/>
                <w:szCs w:val="13"/>
                <w:b w:val="1"/>
                <w:bCs w:val="1"/>
                <w:color w:val="auto"/>
              </w:rPr>
              <w:t>(000)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1320" w:type="dxa"/>
            <w:vAlign w:val="bottom"/>
            <w:tcBorders>
              <w:top w:val="single" w:sz="8" w:color="auto"/>
            </w:tcBorders>
            <w:gridSpan w:val="2"/>
            <w:shd w:val="clear" w:color="auto" w:fill="CCEEFF"/>
          </w:tcPr>
          <w:p>
            <w:pPr>
              <w:ind w:left="840"/>
              <w:spacing w:after="0"/>
              <w:rPr>
                <w:sz w:val="20"/>
                <w:szCs w:val="20"/>
                <w:color w:val="auto"/>
              </w:rPr>
            </w:pPr>
            <w:r>
              <w:rPr>
                <w:rFonts w:ascii="Arial" w:cs="Arial" w:eastAsia="Arial" w:hAnsi="Arial"/>
                <w:sz w:val="17"/>
                <w:szCs w:val="17"/>
                <w:color w:val="auto"/>
              </w:rPr>
              <w:t>4,535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gridSpan w:val="2"/>
          </w:tcPr>
          <w:p>
            <w:pPr>
              <w:ind w:left="840"/>
              <w:spacing w:after="0"/>
              <w:rPr>
                <w:sz w:val="20"/>
                <w:szCs w:val="20"/>
                <w:color w:val="auto"/>
              </w:rPr>
            </w:pPr>
            <w:r>
              <w:rPr>
                <w:rFonts w:ascii="Arial" w:cs="Arial" w:eastAsia="Arial" w:hAnsi="Arial"/>
                <w:sz w:val="17"/>
                <w:szCs w:val="17"/>
                <w:color w:val="auto"/>
              </w:rPr>
              <w:t>1,219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4,065</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(352)</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4,872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5"/>
            <w:shd w:val="clear" w:color="auto" w:fill="CCEEFF"/>
          </w:tcPr>
          <w:p>
            <w:pPr>
              <w:ind w:left="480"/>
              <w:spacing w:after="0"/>
              <w:rPr>
                <w:sz w:val="20"/>
                <w:szCs w:val="20"/>
                <w:color w:val="auto"/>
              </w:rPr>
            </w:pPr>
            <w:r>
              <w:rPr>
                <w:rFonts w:ascii="Arial" w:cs="Arial" w:eastAsia="Arial" w:hAnsi="Arial"/>
                <w:sz w:val="17"/>
                <w:szCs w:val="17"/>
                <w:color w:val="auto"/>
              </w:rPr>
              <w:t>3.1 years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8,928</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20" w:type="dxa"/>
            <w:vAlign w:val="bottom"/>
            <w:gridSpan w:val="2"/>
          </w:tcPr>
          <w:p>
            <w:pPr>
              <w:ind w:left="840"/>
              <w:spacing w:after="0"/>
              <w:rPr>
                <w:sz w:val="20"/>
                <w:szCs w:val="20"/>
                <w:color w:val="auto"/>
              </w:rPr>
            </w:pPr>
            <w:r>
              <w:rPr>
                <w:rFonts w:ascii="Arial" w:cs="Arial" w:eastAsia="Arial" w:hAnsi="Arial"/>
                <w:sz w:val="17"/>
                <w:szCs w:val="17"/>
                <w:color w:val="auto"/>
              </w:rPr>
              <w:t>1,960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5"/>
          </w:tcPr>
          <w:p>
            <w:pPr>
              <w:ind w:left="480"/>
              <w:spacing w:after="0"/>
              <w:rPr>
                <w:sz w:val="20"/>
                <w:szCs w:val="20"/>
                <w:color w:val="auto"/>
              </w:rPr>
            </w:pPr>
            <w:r>
              <w:rPr>
                <w:rFonts w:ascii="Arial" w:cs="Arial" w:eastAsia="Arial" w:hAnsi="Arial"/>
                <w:sz w:val="17"/>
                <w:szCs w:val="17"/>
                <w:color w:val="auto"/>
              </w:rPr>
              <w:t>2.4 years</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5,864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5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080"/>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vMerge w:val="restart"/>
          </w:tcPr>
          <w:p>
            <w:pPr>
              <w:jc w:val="center"/>
              <w:ind w:right="40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206"/>
              <w:spacing w:after="0" w:line="134" w:lineRule="exact"/>
              <w:rPr>
                <w:sz w:val="20"/>
                <w:szCs w:val="20"/>
                <w:color w:val="auto"/>
              </w:rPr>
            </w:pPr>
            <w:r>
              <w:rPr>
                <w:rFonts w:ascii="Arial" w:cs="Arial" w:eastAsia="Arial" w:hAnsi="Arial"/>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restart"/>
          </w:tcPr>
          <w:p>
            <w:pPr>
              <w:ind w:left="120"/>
              <w:spacing w:after="0"/>
              <w:rPr>
                <w:sz w:val="20"/>
                <w:szCs w:val="20"/>
                <w:color w:val="auto"/>
              </w:rPr>
            </w:pPr>
            <w:r>
              <w:rPr>
                <w:rFonts w:ascii="Arial" w:cs="Arial" w:eastAsia="Arial" w:hAnsi="Arial"/>
                <w:sz w:val="13"/>
                <w:szCs w:val="13"/>
                <w:b w:val="1"/>
                <w:bCs w:val="1"/>
                <w:color w:val="auto"/>
              </w:rPr>
              <w:t>Wtd. Avg.</w:t>
            </w:r>
          </w:p>
        </w:tc>
        <w:tc>
          <w:tcPr>
            <w:tcW w:w="13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406"/>
              <w:spacing w:after="0" w:line="139" w:lineRule="exact"/>
              <w:rPr>
                <w:sz w:val="20"/>
                <w:szCs w:val="20"/>
                <w:color w:val="auto"/>
              </w:rPr>
            </w:pPr>
            <w:r>
              <w:rPr>
                <w:rFonts w:ascii="Arial" w:cs="Arial" w:eastAsia="Arial" w:hAnsi="Arial"/>
                <w:sz w:val="13"/>
                <w:szCs w:val="13"/>
                <w:b w:val="1"/>
                <w:bCs w:val="1"/>
                <w:color w:val="auto"/>
              </w:rPr>
              <w:t>Intrinsic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6"/>
            <w:vMerge w:val="continue"/>
          </w:tcPr>
          <w:p>
            <w:pPr>
              <w:spacing w:after="0"/>
              <w:rPr>
                <w:sz w:val="11"/>
                <w:szCs w:val="11"/>
                <w:color w:val="auto"/>
              </w:rPr>
            </w:pPr>
          </w:p>
        </w:tc>
        <w:tc>
          <w:tcPr>
            <w:tcW w:w="1300" w:type="dxa"/>
            <w:vAlign w:val="bottom"/>
            <w:gridSpan w:val="5"/>
          </w:tcPr>
          <w:p>
            <w:pPr>
              <w:jc w:val="center"/>
              <w:ind w:right="360"/>
              <w:spacing w:after="0" w:line="136" w:lineRule="exact"/>
              <w:rPr>
                <w:sz w:val="20"/>
                <w:szCs w:val="20"/>
                <w:color w:val="auto"/>
              </w:rPr>
            </w:pPr>
            <w:r>
              <w:rPr>
                <w:rFonts w:ascii="Arial" w:cs="Arial" w:eastAsia="Arial" w:hAnsi="Arial"/>
                <w:sz w:val="13"/>
                <w:szCs w:val="13"/>
                <w:b w:val="1"/>
                <w:bCs w:val="1"/>
                <w:color w:val="auto"/>
              </w:rPr>
              <w:t>Remaining</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206"/>
              <w:spacing w:after="0" w:line="136" w:lineRule="exact"/>
              <w:rPr>
                <w:sz w:val="20"/>
                <w:szCs w:val="20"/>
                <w:color w:val="auto"/>
              </w:rPr>
            </w:pPr>
            <w:r>
              <w:rPr>
                <w:rFonts w:ascii="Arial" w:cs="Arial" w:eastAsia="Arial" w:hAnsi="Arial"/>
                <w:sz w:val="13"/>
                <w:szCs w:val="13"/>
                <w:b w:val="1"/>
                <w:bCs w:val="1"/>
                <w:color w:val="auto"/>
                <w:w w:val="97"/>
              </w:rPr>
              <w:t>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6"/>
          </w:tcPr>
          <w:p>
            <w:pPr>
              <w:ind w:left="140"/>
              <w:spacing w:after="0"/>
              <w:rPr>
                <w:sz w:val="20"/>
                <w:szCs w:val="20"/>
                <w:color w:val="auto"/>
              </w:rPr>
            </w:pPr>
            <w:r>
              <w:rPr>
                <w:rFonts w:ascii="Arial" w:cs="Arial" w:eastAsia="Arial" w:hAnsi="Arial"/>
                <w:sz w:val="13"/>
                <w:szCs w:val="13"/>
                <w:b w:val="1"/>
                <w:bCs w:val="1"/>
                <w:color w:val="auto"/>
              </w:rPr>
              <w:t>Ex. Price</w:t>
            </w:r>
          </w:p>
        </w:tc>
        <w:tc>
          <w:tcPr>
            <w:tcW w:w="130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rPr>
              <w:t>Contract Life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226"/>
              <w:spacing w:after="0"/>
              <w:rPr>
                <w:sz w:val="20"/>
                <w:szCs w:val="20"/>
                <w:color w:val="auto"/>
              </w:rPr>
            </w:pPr>
            <w:r>
              <w:rPr>
                <w:rFonts w:ascii="Arial" w:cs="Arial" w:eastAsia="Arial" w:hAnsi="Arial"/>
                <w:sz w:val="13"/>
                <w:szCs w:val="13"/>
                <w:b w:val="1"/>
                <w:bCs w:val="1"/>
                <w:color w:val="auto"/>
              </w:rPr>
              <w:t>(000)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7"/>
                <w:szCs w:val="17"/>
                <w:color w:val="auto"/>
              </w:rPr>
              <w:t>4,533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gridSpan w:val="2"/>
          </w:tcPr>
          <w:p>
            <w:pPr>
              <w:jc w:val="right"/>
              <w:ind w:right="6"/>
              <w:spacing w:after="0"/>
              <w:rPr>
                <w:sz w:val="20"/>
                <w:szCs w:val="20"/>
                <w:color w:val="auto"/>
              </w:rPr>
            </w:pPr>
            <w:r>
              <w:rPr>
                <w:rFonts w:ascii="Arial" w:cs="Arial" w:eastAsia="Arial" w:hAnsi="Arial"/>
                <w:sz w:val="17"/>
                <w:szCs w:val="17"/>
                <w:color w:val="auto"/>
              </w:rPr>
              <w:t>1,434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1320" w:type="dxa"/>
            <w:vAlign w:val="bottom"/>
            <w:gridSpan w:val="2"/>
          </w:tcPr>
          <w:p>
            <w:pPr>
              <w:ind w:left="900"/>
              <w:spacing w:after="0"/>
              <w:rPr>
                <w:sz w:val="20"/>
                <w:szCs w:val="20"/>
                <w:color w:val="auto"/>
              </w:rPr>
            </w:pPr>
            <w:r>
              <w:rPr>
                <w:rFonts w:ascii="Arial" w:cs="Arial" w:eastAsia="Arial" w:hAnsi="Arial"/>
                <w:sz w:val="17"/>
                <w:szCs w:val="17"/>
                <w:color w:val="auto"/>
              </w:rPr>
              <w:t>(248)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7"/>
                <w:szCs w:val="17"/>
                <w:color w:val="auto"/>
              </w:rPr>
              <w:t>4,535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gridSpan w:val="5"/>
            <w:shd w:val="clear" w:color="auto" w:fill="CCEEFF"/>
          </w:tcPr>
          <w:p>
            <w:pPr>
              <w:ind w:left="460"/>
              <w:spacing w:after="0"/>
              <w:rPr>
                <w:sz w:val="20"/>
                <w:szCs w:val="20"/>
                <w:color w:val="auto"/>
              </w:rPr>
            </w:pPr>
            <w:r>
              <w:rPr>
                <w:rFonts w:ascii="Arial" w:cs="Arial" w:eastAsia="Arial" w:hAnsi="Arial"/>
                <w:sz w:val="17"/>
                <w:szCs w:val="17"/>
                <w:color w:val="auto"/>
              </w:rPr>
              <w:t>3.4 years</w:t>
            </w:r>
          </w:p>
        </w:tc>
        <w:tc>
          <w:tcPr>
            <w:tcW w:w="28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20" w:type="dxa"/>
            <w:vAlign w:val="bottom"/>
            <w:gridSpan w:val="2"/>
          </w:tcPr>
          <w:p>
            <w:pPr>
              <w:jc w:val="right"/>
              <w:ind w:right="6"/>
              <w:spacing w:after="0"/>
              <w:rPr>
                <w:sz w:val="20"/>
                <w:szCs w:val="20"/>
                <w:color w:val="auto"/>
              </w:rPr>
            </w:pPr>
            <w:r>
              <w:rPr>
                <w:rFonts w:ascii="Arial" w:cs="Arial" w:eastAsia="Arial" w:hAnsi="Arial"/>
                <w:sz w:val="17"/>
                <w:szCs w:val="17"/>
                <w:color w:val="auto"/>
              </w:rPr>
              <w:t>1,380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9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5"/>
          </w:tcPr>
          <w:p>
            <w:pPr>
              <w:ind w:left="460"/>
              <w:spacing w:after="0"/>
              <w:rPr>
                <w:sz w:val="20"/>
                <w:szCs w:val="20"/>
                <w:color w:val="auto"/>
              </w:rPr>
            </w:pPr>
            <w:r>
              <w:rPr>
                <w:rFonts w:ascii="Arial" w:cs="Arial" w:eastAsia="Arial" w:hAnsi="Arial"/>
                <w:sz w:val="17"/>
                <w:szCs w:val="17"/>
                <w:color w:val="auto"/>
              </w:rPr>
              <w:t>2.5 years</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8"/>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120"/>
              <w:spacing w:after="0"/>
              <w:rPr>
                <w:sz w:val="20"/>
                <w:szCs w:val="20"/>
                <w:color w:val="auto"/>
              </w:rPr>
            </w:pPr>
            <w:r>
              <w:rPr>
                <w:rFonts w:ascii="Arial" w:cs="Arial" w:eastAsia="Arial" w:hAnsi="Arial"/>
                <w:sz w:val="13"/>
                <w:szCs w:val="13"/>
                <w:b w:val="1"/>
                <w:bCs w:val="1"/>
                <w:color w:val="auto"/>
              </w:rPr>
              <w:t>2020</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vMerge w:val="restart"/>
          </w:tcPr>
          <w:p>
            <w:pPr>
              <w:jc w:val="center"/>
              <w:ind w:right="24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86"/>
              <w:spacing w:after="0" w:line="131" w:lineRule="exact"/>
              <w:rPr>
                <w:sz w:val="20"/>
                <w:szCs w:val="20"/>
                <w:color w:val="auto"/>
              </w:rPr>
            </w:pPr>
            <w:r>
              <w:rPr>
                <w:rFonts w:ascii="Arial" w:cs="Arial" w:eastAsia="Arial" w:hAnsi="Arial"/>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rPr>
              <w:t>Wtd. Avg.</w:t>
            </w:r>
          </w:p>
        </w:tc>
        <w:tc>
          <w:tcPr>
            <w:tcW w:w="13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46"/>
              <w:spacing w:after="0" w:line="139" w:lineRule="exact"/>
              <w:rPr>
                <w:sz w:val="20"/>
                <w:szCs w:val="20"/>
                <w:color w:val="auto"/>
              </w:rPr>
            </w:pPr>
            <w:r>
              <w:rPr>
                <w:rFonts w:ascii="Arial" w:cs="Arial" w:eastAsia="Arial" w:hAnsi="Arial"/>
                <w:sz w:val="13"/>
                <w:szCs w:val="13"/>
                <w:b w:val="1"/>
                <w:bCs w:val="1"/>
                <w:color w:val="auto"/>
              </w:rPr>
              <w:t>Intrinsic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300" w:type="dxa"/>
            <w:vAlign w:val="bottom"/>
            <w:gridSpan w:val="5"/>
          </w:tcPr>
          <w:p>
            <w:pPr>
              <w:jc w:val="center"/>
              <w:ind w:right="220"/>
              <w:spacing w:after="0" w:line="139" w:lineRule="exact"/>
              <w:rPr>
                <w:sz w:val="20"/>
                <w:szCs w:val="20"/>
                <w:color w:val="auto"/>
              </w:rPr>
            </w:pPr>
            <w:r>
              <w:rPr>
                <w:rFonts w:ascii="Arial" w:cs="Arial" w:eastAsia="Arial" w:hAnsi="Arial"/>
                <w:sz w:val="13"/>
                <w:szCs w:val="13"/>
                <w:b w:val="1"/>
                <w:bCs w:val="1"/>
                <w:color w:val="auto"/>
              </w:rPr>
              <w:t>Remaining</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06"/>
              <w:spacing w:after="0" w:line="139" w:lineRule="exact"/>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right"/>
              <w:ind w:right="366"/>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6"/>
          </w:tcPr>
          <w:p>
            <w:pPr>
              <w:ind w:left="200"/>
              <w:spacing w:after="0"/>
              <w:rPr>
                <w:sz w:val="20"/>
                <w:szCs w:val="20"/>
                <w:color w:val="auto"/>
              </w:rPr>
            </w:pPr>
            <w:r>
              <w:rPr>
                <w:rFonts w:ascii="Arial" w:cs="Arial" w:eastAsia="Arial" w:hAnsi="Arial"/>
                <w:sz w:val="13"/>
                <w:szCs w:val="13"/>
                <w:b w:val="1"/>
                <w:bCs w:val="1"/>
                <w:color w:val="auto"/>
              </w:rPr>
              <w:t>Ex. Price</w:t>
            </w:r>
          </w:p>
        </w:tc>
        <w:tc>
          <w:tcPr>
            <w:tcW w:w="13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Contract Life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06"/>
              <w:spacing w:after="0"/>
              <w:rPr>
                <w:sz w:val="20"/>
                <w:szCs w:val="20"/>
                <w:color w:val="auto"/>
              </w:rPr>
            </w:pPr>
            <w:r>
              <w:rPr>
                <w:rFonts w:ascii="Arial" w:cs="Arial" w:eastAsia="Arial" w:hAnsi="Arial"/>
                <w:sz w:val="13"/>
                <w:szCs w:val="13"/>
                <w:b w:val="1"/>
                <w:bCs w:val="1"/>
                <w:color w:val="auto"/>
              </w:rPr>
              <w:t>(000)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7"/>
                <w:szCs w:val="17"/>
                <w:color w:val="auto"/>
                <w:w w:val="98"/>
              </w:rPr>
              <w:t>5,435</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40" w:type="dxa"/>
            <w:vAlign w:val="bottom"/>
            <w:gridSpan w:val="3"/>
          </w:tcPr>
          <w:p>
            <w:pPr>
              <w:ind w:left="900"/>
              <w:spacing w:after="0"/>
              <w:rPr>
                <w:sz w:val="20"/>
                <w:szCs w:val="20"/>
                <w:color w:val="auto"/>
              </w:rPr>
            </w:pPr>
            <w:r>
              <w:rPr>
                <w:rFonts w:ascii="Arial" w:cs="Arial" w:eastAsia="Arial" w:hAnsi="Arial"/>
                <w:sz w:val="17"/>
                <w:szCs w:val="17"/>
                <w:color w:val="auto"/>
                <w:w w:val="98"/>
              </w:rPr>
              <w:t>1,571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00" w:type="dxa"/>
            <w:vAlign w:val="bottom"/>
            <w:gridSpan w:val="4"/>
            <w:shd w:val="clear" w:color="auto" w:fill="CCEEFF"/>
          </w:tcPr>
          <w:p>
            <w:pPr>
              <w:ind w:left="840"/>
              <w:spacing w:after="0"/>
              <w:rPr>
                <w:sz w:val="20"/>
                <w:szCs w:val="20"/>
                <w:color w:val="auto"/>
              </w:rPr>
            </w:pPr>
            <w:r>
              <w:rPr>
                <w:rFonts w:ascii="Arial" w:cs="Arial" w:eastAsia="Arial" w:hAnsi="Arial"/>
                <w:sz w:val="17"/>
                <w:szCs w:val="17"/>
                <w:color w:val="auto"/>
              </w:rPr>
              <w:t>(2,077)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23,861</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1400" w:type="dxa"/>
            <w:vAlign w:val="bottom"/>
            <w:gridSpan w:val="4"/>
          </w:tcPr>
          <w:p>
            <w:pPr>
              <w:jc w:val="right"/>
              <w:ind w:right="40"/>
              <w:spacing w:after="0"/>
              <w:rPr>
                <w:sz w:val="20"/>
                <w:szCs w:val="20"/>
                <w:color w:val="auto"/>
              </w:rPr>
            </w:pPr>
            <w:r>
              <w:rPr>
                <w:rFonts w:ascii="Arial" w:cs="Arial" w:eastAsia="Arial" w:hAnsi="Arial"/>
                <w:sz w:val="17"/>
                <w:szCs w:val="17"/>
                <w:color w:val="auto"/>
              </w:rPr>
              <w:t>(396)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7"/>
                <w:szCs w:val="17"/>
                <w:color w:val="auto"/>
                <w:w w:val="98"/>
              </w:rPr>
              <w:t>4,533</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gridSpan w:val="5"/>
            <w:shd w:val="clear" w:color="auto" w:fill="CCEEFF"/>
          </w:tcPr>
          <w:p>
            <w:pPr>
              <w:ind w:left="540"/>
              <w:spacing w:after="0"/>
              <w:rPr>
                <w:sz w:val="20"/>
                <w:szCs w:val="20"/>
                <w:color w:val="auto"/>
              </w:rPr>
            </w:pPr>
            <w:r>
              <w:rPr>
                <w:rFonts w:ascii="Arial" w:cs="Arial" w:eastAsia="Arial" w:hAnsi="Arial"/>
                <w:sz w:val="17"/>
                <w:szCs w:val="17"/>
                <w:color w:val="auto"/>
              </w:rPr>
              <w:t>3.4 years</w:t>
            </w:r>
          </w:p>
        </w:tc>
        <w:tc>
          <w:tcPr>
            <w:tcW w:w="2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48,501</w:t>
            </w: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40" w:type="dxa"/>
            <w:vAlign w:val="bottom"/>
            <w:gridSpan w:val="3"/>
          </w:tcPr>
          <w:p>
            <w:pPr>
              <w:ind w:left="900"/>
              <w:spacing w:after="0"/>
              <w:rPr>
                <w:sz w:val="20"/>
                <w:szCs w:val="20"/>
                <w:color w:val="auto"/>
              </w:rPr>
            </w:pPr>
            <w:r>
              <w:rPr>
                <w:rFonts w:ascii="Arial" w:cs="Arial" w:eastAsia="Arial" w:hAnsi="Arial"/>
                <w:sz w:val="17"/>
                <w:szCs w:val="17"/>
                <w:color w:val="auto"/>
                <w:w w:val="98"/>
              </w:rPr>
              <w:t>1,358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5"/>
          </w:tcPr>
          <w:p>
            <w:pPr>
              <w:ind w:left="540"/>
              <w:spacing w:after="0"/>
              <w:rPr>
                <w:sz w:val="20"/>
                <w:szCs w:val="20"/>
                <w:color w:val="auto"/>
              </w:rPr>
            </w:pPr>
            <w:r>
              <w:rPr>
                <w:rFonts w:ascii="Arial" w:cs="Arial" w:eastAsia="Arial" w:hAnsi="Arial"/>
                <w:sz w:val="17"/>
                <w:szCs w:val="17"/>
                <w:color w:val="auto"/>
              </w:rPr>
              <w:t>2.3 years</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18,334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the status of the Company’s non-vested employee stock option activity for the years ended December 31, 2022, 2021, and 2020,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left="107"/>
              <w:spacing w:after="0" w:line="134" w:lineRule="exact"/>
              <w:rPr>
                <w:sz w:val="20"/>
                <w:szCs w:val="20"/>
                <w:color w:val="auto"/>
              </w:rPr>
            </w:pPr>
            <w:r>
              <w:rPr>
                <w:rFonts w:ascii="Arial" w:cs="Arial" w:eastAsia="Arial" w:hAnsi="Arial"/>
                <w:sz w:val="13"/>
                <w:szCs w:val="13"/>
                <w:b w:val="1"/>
                <w:bCs w:val="1"/>
                <w:color w:val="auto"/>
              </w:rPr>
              <w:t>Wtd. Avg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07"/>
              <w:spacing w:after="0" w:line="134" w:lineRule="exact"/>
              <w:rPr>
                <w:sz w:val="20"/>
                <w:szCs w:val="20"/>
                <w:color w:val="auto"/>
              </w:rPr>
            </w:pPr>
            <w:r>
              <w:rPr>
                <w:rFonts w:ascii="Arial" w:cs="Arial" w:eastAsia="Arial" w:hAnsi="Arial"/>
                <w:sz w:val="13"/>
                <w:szCs w:val="13"/>
                <w:b w:val="1"/>
                <w:bCs w:val="1"/>
                <w:color w:val="auto"/>
                <w:w w:val="99"/>
              </w:rPr>
              <w:t>Wtd. Avg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84"/>
              <w:spacing w:after="0" w:line="134" w:lineRule="exact"/>
              <w:rPr>
                <w:sz w:val="20"/>
                <w:szCs w:val="20"/>
                <w:color w:val="auto"/>
              </w:rPr>
            </w:pPr>
            <w:r>
              <w:rPr>
                <w:rFonts w:ascii="Arial" w:cs="Arial" w:eastAsia="Arial" w:hAnsi="Arial"/>
                <w:sz w:val="13"/>
                <w:szCs w:val="13"/>
                <w:b w:val="1"/>
                <w:bCs w:val="1"/>
                <w:color w:val="auto"/>
              </w:rPr>
              <w:t>Wtd. Avg</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880" w:type="dxa"/>
            <w:vAlign w:val="bottom"/>
          </w:tcPr>
          <w:p>
            <w:pPr>
              <w:jc w:val="center"/>
              <w:ind w:left="127"/>
              <w:spacing w:after="0" w:line="136" w:lineRule="exact"/>
              <w:rPr>
                <w:sz w:val="20"/>
                <w:szCs w:val="20"/>
                <w:color w:val="auto"/>
              </w:rPr>
            </w:pPr>
            <w:r>
              <w:rPr>
                <w:rFonts w:ascii="Arial" w:cs="Arial" w:eastAsia="Arial" w:hAnsi="Arial"/>
                <w:sz w:val="13"/>
                <w:szCs w:val="13"/>
                <w:b w:val="1"/>
                <w:bCs w:val="1"/>
                <w:color w:val="auto"/>
              </w:rPr>
              <w:t>Grant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860" w:type="dxa"/>
            <w:vAlign w:val="bottom"/>
          </w:tcPr>
          <w:p>
            <w:pPr>
              <w:jc w:val="center"/>
              <w:ind w:left="107"/>
              <w:spacing w:after="0" w:line="136" w:lineRule="exact"/>
              <w:rPr>
                <w:sz w:val="20"/>
                <w:szCs w:val="20"/>
                <w:color w:val="auto"/>
              </w:rPr>
            </w:pPr>
            <w:r>
              <w:rPr>
                <w:rFonts w:ascii="Arial" w:cs="Arial" w:eastAsia="Arial" w:hAnsi="Arial"/>
                <w:sz w:val="13"/>
                <w:szCs w:val="13"/>
                <w:b w:val="1"/>
                <w:bCs w:val="1"/>
                <w:color w:val="auto"/>
              </w:rPr>
              <w:t>Grant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1"/>
                <w:szCs w:val="11"/>
                <w:color w:val="auto"/>
              </w:rPr>
            </w:pPr>
          </w:p>
        </w:tc>
        <w:tc>
          <w:tcPr>
            <w:tcW w:w="900" w:type="dxa"/>
            <w:vAlign w:val="bottom"/>
          </w:tcPr>
          <w:p>
            <w:pPr>
              <w:jc w:val="center"/>
              <w:ind w:right="84"/>
              <w:spacing w:after="0" w:line="136"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tcPr>
          <w:p>
            <w:pPr>
              <w:jc w:val="center"/>
              <w:ind w:left="107"/>
              <w:spacing w:after="0" w:line="139" w:lineRule="exact"/>
              <w:rPr>
                <w:sz w:val="20"/>
                <w:szCs w:val="20"/>
                <w:color w:val="auto"/>
              </w:rPr>
            </w:pPr>
            <w:r>
              <w:rPr>
                <w:rFonts w:ascii="Arial" w:cs="Arial" w:eastAsia="Arial" w:hAnsi="Arial"/>
                <w:sz w:val="13"/>
                <w:szCs w:val="13"/>
                <w:b w:val="1"/>
                <w:bCs w:val="1"/>
                <w:color w:val="auto"/>
              </w:rPr>
              <w:t>Date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tcPr>
          <w:p>
            <w:pPr>
              <w:jc w:val="center"/>
              <w:ind w:left="107"/>
              <w:spacing w:after="0" w:line="139" w:lineRule="exact"/>
              <w:rPr>
                <w:sz w:val="20"/>
                <w:szCs w:val="20"/>
                <w:color w:val="auto"/>
              </w:rPr>
            </w:pPr>
            <w:r>
              <w:rPr>
                <w:rFonts w:ascii="Arial" w:cs="Arial" w:eastAsia="Arial" w:hAnsi="Arial"/>
                <w:sz w:val="13"/>
                <w:szCs w:val="13"/>
                <w:b w:val="1"/>
                <w:bCs w:val="1"/>
                <w:color w:val="auto"/>
                <w:w w:val="99"/>
              </w:rPr>
              <w:t>Date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84"/>
              <w:spacing w:after="0" w:line="139" w:lineRule="exact"/>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76"/>
        </w:trPr>
        <w:tc>
          <w:tcPr>
            <w:tcW w:w="43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(000)</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(000)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(000)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Stock Options at Beginning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3,575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5"/>
                <w:szCs w:val="15"/>
                <w:color w:val="auto"/>
              </w:rPr>
              <w:t>Granted</w:t>
            </w:r>
          </w:p>
        </w:tc>
        <w:tc>
          <w:tcPr>
            <w:tcW w:w="1000" w:type="dxa"/>
            <w:vAlign w:val="bottom"/>
          </w:tcPr>
          <w:p>
            <w:pPr>
              <w:jc w:val="right"/>
              <w:spacing w:after="0"/>
              <w:rPr>
                <w:sz w:val="20"/>
                <w:szCs w:val="20"/>
                <w:color w:val="auto"/>
              </w:rPr>
            </w:pPr>
            <w:r>
              <w:rPr>
                <w:rFonts w:ascii="Arial" w:cs="Arial" w:eastAsia="Arial" w:hAnsi="Arial"/>
                <w:sz w:val="17"/>
                <w:szCs w:val="17"/>
                <w:color w:val="auto"/>
              </w:rPr>
              <w:t>1,219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1,434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7"/>
                <w:szCs w:val="17"/>
                <w:color w:val="auto"/>
              </w:rPr>
              <w:t>1,571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Stock Options at End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3,175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Shares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Second Restricted Stock Plan provided for a maximum number of shares that may be subject to awards of 9,000,000 shares, prior to its replacement by the 2019 Omnibus Plan.</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3,345,868 shares under the 2019 Omnibus Plan and 5,630,019 shares under the prior plan (prior to its replacement) as of December 31, 2022, and has 3,774,093 shares outstanding under such plans.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45"/>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Vesting Period</w:t>
            </w:r>
            <w:r>
              <w:rPr>
                <w:rFonts w:ascii="Arial" w:cs="Arial" w:eastAsia="Arial" w:hAnsi="Arial"/>
                <w:sz w:val="17"/>
                <w:szCs w:val="17"/>
                <w:b w:val="1"/>
                <w:bCs w:val="1"/>
                <w:color w:val="auto"/>
                <w:vertAlign w:val="superscript"/>
              </w:rPr>
              <w:t>(1)</w:t>
            </w:r>
          </w:p>
        </w:tc>
        <w:tc>
          <w:tcPr>
            <w:tcW w:w="126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auto"/>
              </w:rPr>
              <w:t>Shares Granted</w:t>
            </w:r>
          </w:p>
        </w:tc>
        <w:tc>
          <w:tcPr>
            <w:tcW w:w="160" w:type="dxa"/>
            <w:vAlign w:val="bottom"/>
          </w:tcPr>
          <w:p>
            <w:pPr>
              <w:spacing w:after="0"/>
              <w:rPr>
                <w:sz w:val="11"/>
                <w:szCs w:val="11"/>
                <w:color w:val="auto"/>
              </w:rPr>
            </w:pPr>
          </w:p>
        </w:tc>
        <w:tc>
          <w:tcPr>
            <w:tcW w:w="1800" w:type="dxa"/>
            <w:vAlign w:val="bottom"/>
            <w:gridSpan w:val="3"/>
          </w:tcPr>
          <w:p>
            <w:pPr>
              <w:ind w:left="160"/>
              <w:spacing w:after="0" w:line="131" w:lineRule="exact"/>
              <w:rPr>
                <w:sz w:val="20"/>
                <w:szCs w:val="20"/>
                <w:color w:val="auto"/>
              </w:rPr>
            </w:pPr>
            <w:r>
              <w:rPr>
                <w:rFonts w:ascii="Arial" w:cs="Arial" w:eastAsia="Arial" w:hAnsi="Arial"/>
                <w:sz w:val="13"/>
                <w:szCs w:val="13"/>
                <w:b w:val="1"/>
                <w:bCs w:val="1"/>
                <w:color w:val="auto"/>
              </w:rPr>
              <w:t>Market Price at Grant</w:t>
            </w:r>
          </w:p>
        </w:tc>
        <w:tc>
          <w:tcPr>
            <w:tcW w:w="128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40" w:type="dxa"/>
            <w:vAlign w:val="bottom"/>
          </w:tcPr>
          <w:p>
            <w:pPr>
              <w:spacing w:after="0"/>
              <w:rPr>
                <w:sz w:val="11"/>
                <w:szCs w:val="11"/>
                <w:color w:val="auto"/>
              </w:rPr>
            </w:pPr>
          </w:p>
        </w:tc>
        <w:tc>
          <w:tcPr>
            <w:tcW w:w="1840" w:type="dxa"/>
            <w:vAlign w:val="bottom"/>
            <w:gridSpan w:val="3"/>
          </w:tcPr>
          <w:p>
            <w:pPr>
              <w:ind w:left="180"/>
              <w:spacing w:after="0" w:line="131" w:lineRule="exact"/>
              <w:rPr>
                <w:sz w:val="20"/>
                <w:szCs w:val="20"/>
                <w:color w:val="auto"/>
              </w:rPr>
            </w:pPr>
            <w:r>
              <w:rPr>
                <w:rFonts w:ascii="Arial" w:cs="Arial" w:eastAsia="Arial" w:hAnsi="Arial"/>
                <w:sz w:val="13"/>
                <w:szCs w:val="13"/>
                <w:b w:val="1"/>
                <w:bCs w:val="1"/>
                <w:color w:val="auto"/>
              </w:rPr>
              <w:t>Market Price at Grant</w:t>
            </w:r>
          </w:p>
        </w:tc>
        <w:tc>
          <w:tcPr>
            <w:tcW w:w="12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60" w:type="dxa"/>
            <w:vAlign w:val="bottom"/>
          </w:tcPr>
          <w:p>
            <w:pPr>
              <w:spacing w:after="0"/>
              <w:rPr>
                <w:sz w:val="11"/>
                <w:szCs w:val="11"/>
                <w:color w:val="auto"/>
              </w:rPr>
            </w:pPr>
          </w:p>
        </w:tc>
        <w:tc>
          <w:tcPr>
            <w:tcW w:w="1660" w:type="dxa"/>
            <w:vAlign w:val="bottom"/>
            <w:gridSpan w:val="2"/>
          </w:tcPr>
          <w:p>
            <w:pPr>
              <w:jc w:val="right"/>
              <w:ind w:right="76"/>
              <w:spacing w:after="0" w:line="131" w:lineRule="exact"/>
              <w:rPr>
                <w:sz w:val="20"/>
                <w:szCs w:val="20"/>
                <w:color w:val="auto"/>
              </w:rPr>
            </w:pPr>
            <w:r>
              <w:rPr>
                <w:rFonts w:ascii="Arial" w:cs="Arial" w:eastAsia="Arial" w:hAnsi="Arial"/>
                <w:sz w:val="13"/>
                <w:szCs w:val="13"/>
                <w:b w:val="1"/>
                <w:bCs w:val="1"/>
                <w:color w:val="auto"/>
              </w:rPr>
              <w:t>Market Price at Grant</w:t>
            </w:r>
          </w:p>
        </w:tc>
        <w:tc>
          <w:tcPr>
            <w:tcW w:w="0" w:type="dxa"/>
            <w:vAlign w:val="bottom"/>
          </w:tcPr>
          <w:p>
            <w:pPr>
              <w:spacing w:after="0"/>
              <w:rPr>
                <w:sz w:val="1"/>
                <w:szCs w:val="1"/>
                <w:color w:val="auto"/>
              </w:rPr>
            </w:pPr>
          </w:p>
        </w:tc>
      </w:tr>
      <w:tr>
        <w:trPr>
          <w:trHeight w:val="176"/>
        </w:trPr>
        <w:tc>
          <w:tcPr>
            <w:tcW w:w="1680" w:type="dxa"/>
            <w:vAlign w:val="bottom"/>
            <w:tcBorders>
              <w:bottom w:val="single" w:sz="8" w:color="CCEEFF"/>
            </w:tcBorders>
            <w:gridSpan w:val="2"/>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119,849</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- 29.89</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24,634</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- 34.37</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- 26.94</w:t>
            </w:r>
          </w:p>
        </w:tc>
        <w:tc>
          <w:tcPr>
            <w:tcW w:w="0" w:type="dxa"/>
            <w:vAlign w:val="bottom"/>
          </w:tcPr>
          <w:p>
            <w:pPr>
              <w:spacing w:after="0"/>
              <w:rPr>
                <w:sz w:val="1"/>
                <w:szCs w:val="1"/>
                <w:color w:val="auto"/>
              </w:rPr>
            </w:pPr>
          </w:p>
        </w:tc>
      </w:tr>
      <w:tr>
        <w:trPr>
          <w:trHeight w:val="214"/>
        </w:trPr>
        <w:tc>
          <w:tcPr>
            <w:tcW w:w="140" w:type="dxa"/>
            <w:vAlign w:val="bottom"/>
          </w:tcPr>
          <w:p>
            <w:pPr>
              <w:ind w:left="20"/>
              <w:spacing w:after="0"/>
              <w:rPr>
                <w:sz w:val="20"/>
                <w:szCs w:val="20"/>
                <w:color w:val="auto"/>
              </w:rPr>
            </w:pPr>
            <w:r>
              <w:rPr>
                <w:rFonts w:ascii="Arial" w:cs="Arial" w:eastAsia="Arial" w:hAnsi="Arial"/>
                <w:sz w:val="17"/>
                <w:szCs w:val="17"/>
                <w:color w:val="auto"/>
              </w:rPr>
              <w:t>2</w:t>
            </w:r>
          </w:p>
        </w:tc>
        <w:tc>
          <w:tcPr>
            <w:tcW w:w="1540" w:type="dxa"/>
            <w:vAlign w:val="bottom"/>
          </w:tcPr>
          <w:p>
            <w:pPr>
              <w:ind w:left="20"/>
              <w:spacing w:after="0"/>
              <w:rPr>
                <w:sz w:val="20"/>
                <w:szCs w:val="20"/>
                <w:color w:val="auto"/>
              </w:rPr>
            </w:pPr>
            <w:r>
              <w:rPr>
                <w:rFonts w:ascii="Arial" w:cs="Arial" w:eastAsia="Arial" w:hAnsi="Arial"/>
                <w:sz w:val="17"/>
                <w:szCs w:val="17"/>
                <w:color w:val="auto"/>
              </w:rPr>
              <w:t>Year</w:t>
            </w:r>
          </w:p>
        </w:tc>
        <w:tc>
          <w:tcPr>
            <w:tcW w:w="1260" w:type="dxa"/>
            <w:vAlign w:val="bottom"/>
          </w:tcPr>
          <w:p>
            <w:pPr>
              <w:jc w:val="right"/>
              <w:spacing w:after="0"/>
              <w:rPr>
                <w:sz w:val="20"/>
                <w:szCs w:val="20"/>
                <w:color w:val="auto"/>
              </w:rPr>
            </w:pPr>
            <w:r>
              <w:rPr>
                <w:rFonts w:ascii="Arial" w:cs="Arial" w:eastAsia="Arial" w:hAnsi="Arial"/>
                <w:sz w:val="17"/>
                <w:szCs w:val="17"/>
                <w:color w:val="auto"/>
              </w:rPr>
              <w:t>82,538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23.84</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- 29.17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21,669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23.88</w:t>
            </w:r>
          </w:p>
        </w:tc>
        <w:tc>
          <w:tcPr>
            <w:tcW w:w="560" w:type="dxa"/>
            <w:vAlign w:val="bottom"/>
          </w:tcPr>
          <w:p>
            <w:pPr>
              <w:jc w:val="right"/>
              <w:spacing w:after="0"/>
              <w:rPr>
                <w:sz w:val="20"/>
                <w:szCs w:val="20"/>
                <w:color w:val="auto"/>
              </w:rPr>
            </w:pPr>
            <w:r>
              <w:rPr>
                <w:rFonts w:ascii="Arial" w:cs="Arial" w:eastAsia="Arial" w:hAnsi="Arial"/>
                <w:sz w:val="17"/>
                <w:szCs w:val="17"/>
                <w:color w:val="auto"/>
              </w:rPr>
              <w:t>- 26.94</w:t>
            </w: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- 30.85</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606,853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- 35.67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- 31.08</w:t>
            </w:r>
          </w:p>
        </w:tc>
        <w:tc>
          <w:tcPr>
            <w:tcW w:w="0" w:type="dxa"/>
            <w:vAlign w:val="bottom"/>
          </w:tcPr>
          <w:p>
            <w:pPr>
              <w:spacing w:after="0"/>
              <w:rPr>
                <w:sz w:val="1"/>
                <w:szCs w:val="1"/>
                <w:color w:val="auto"/>
              </w:rPr>
            </w:pPr>
          </w:p>
        </w:tc>
      </w:tr>
      <w:tr>
        <w:trPr>
          <w:trHeight w:val="214"/>
        </w:trPr>
        <w:tc>
          <w:tcPr>
            <w:tcW w:w="140" w:type="dxa"/>
            <w:vAlign w:val="bottom"/>
          </w:tcPr>
          <w:p>
            <w:pPr>
              <w:ind w:left="20"/>
              <w:spacing w:after="0"/>
              <w:rPr>
                <w:sz w:val="20"/>
                <w:szCs w:val="20"/>
                <w:color w:val="auto"/>
              </w:rPr>
            </w:pPr>
            <w:r>
              <w:rPr>
                <w:rFonts w:ascii="Arial" w:cs="Arial" w:eastAsia="Arial" w:hAnsi="Arial"/>
                <w:sz w:val="17"/>
                <w:szCs w:val="17"/>
                <w:color w:val="auto"/>
              </w:rPr>
              <w:t>4</w:t>
            </w:r>
          </w:p>
        </w:tc>
        <w:tc>
          <w:tcPr>
            <w:tcW w:w="1540" w:type="dxa"/>
            <w:vAlign w:val="bottom"/>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tcPr>
          <w:p>
            <w:pPr>
              <w:jc w:val="right"/>
              <w:spacing w:after="0"/>
              <w:rPr>
                <w:sz w:val="20"/>
                <w:szCs w:val="20"/>
                <w:color w:val="auto"/>
              </w:rPr>
            </w:pPr>
            <w:r>
              <w:rPr>
                <w:rFonts w:ascii="Arial" w:cs="Arial" w:eastAsia="Arial" w:hAnsi="Arial"/>
                <w:sz w:val="17"/>
                <w:szCs w:val="17"/>
                <w:color w:val="auto"/>
              </w:rPr>
              <w:t>260,149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23.84</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- 29.17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309,955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32.98</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- 35.67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479,346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20.68</w:t>
            </w:r>
          </w:p>
        </w:tc>
        <w:tc>
          <w:tcPr>
            <w:tcW w:w="560" w:type="dxa"/>
            <w:vAlign w:val="bottom"/>
          </w:tcPr>
          <w:p>
            <w:pPr>
              <w:jc w:val="right"/>
              <w:spacing w:after="0"/>
              <w:rPr>
                <w:sz w:val="20"/>
                <w:szCs w:val="20"/>
                <w:color w:val="auto"/>
              </w:rPr>
            </w:pPr>
            <w:r>
              <w:rPr>
                <w:rFonts w:ascii="Arial" w:cs="Arial" w:eastAsia="Arial" w:hAnsi="Arial"/>
                <w:sz w:val="17"/>
                <w:szCs w:val="17"/>
                <w:color w:val="auto"/>
              </w:rPr>
              <w:t>- 28.98</w:t>
            </w: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- 29.17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- 35.67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170,355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- 28.98</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949,089</w:t>
            </w:r>
          </w:p>
        </w:tc>
        <w:tc>
          <w:tcPr>
            <w:tcW w:w="16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$23.84 - 30.85</w:t>
            </w:r>
          </w:p>
        </w:tc>
        <w:tc>
          <w:tcPr>
            <w:tcW w:w="14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1,098,611</w:t>
            </w:r>
          </w:p>
        </w:tc>
        <w:tc>
          <w:tcPr>
            <w:tcW w:w="140" w:type="dxa"/>
            <w:vAlign w:val="bottom"/>
          </w:tcPr>
          <w:p>
            <w:pPr>
              <w:spacing w:after="0"/>
              <w:rPr>
                <w:sz w:val="18"/>
                <w:szCs w:val="18"/>
                <w:color w:val="auto"/>
              </w:rPr>
            </w:pP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$32.98 - 35.67</w:t>
            </w:r>
          </w:p>
        </w:tc>
        <w:tc>
          <w:tcPr>
            <w:tcW w:w="1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832,948</w:t>
            </w:r>
          </w:p>
        </w:tc>
        <w:tc>
          <w:tcPr>
            <w:tcW w:w="16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$20.68 - 31.08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84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845"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(1) Each of these awards cliff vest after the restriction period with no additional restrictions.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restricted share award activity, including award grants, vesting, and forfeitures for the years ended December 31, 2022, 2021, and 2020,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gridSpan w:val="2"/>
          </w:tcPr>
          <w:p>
            <w:pPr>
              <w:ind w:left="5460"/>
              <w:spacing w:after="0"/>
              <w:rPr>
                <w:sz w:val="20"/>
                <w:szCs w:val="20"/>
                <w:color w:val="auto"/>
              </w:rPr>
            </w:pPr>
            <w:r>
              <w:rPr>
                <w:rFonts w:ascii="Arial" w:cs="Arial" w:eastAsia="Arial" w:hAnsi="Arial"/>
                <w:sz w:val="13"/>
                <w:szCs w:val="13"/>
                <w:b w:val="1"/>
                <w:bCs w:val="1"/>
                <w:color w:val="auto"/>
              </w:rPr>
              <w:t>2022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right"/>
              <w:ind w:right="802"/>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6"/>
                <w:szCs w:val="16"/>
                <w:color w:val="auto"/>
              </w:rPr>
            </w:pPr>
          </w:p>
        </w:tc>
        <w:tc>
          <w:tcPr>
            <w:tcW w:w="2160" w:type="dxa"/>
            <w:vAlign w:val="bottom"/>
          </w:tcPr>
          <w:p>
            <w:pPr>
              <w:jc w:val="right"/>
              <w:ind w:right="842"/>
              <w:spacing w:after="0"/>
              <w:rPr>
                <w:sz w:val="20"/>
                <w:szCs w:val="20"/>
                <w:color w:val="auto"/>
              </w:rPr>
            </w:pPr>
            <w:r>
              <w:rPr>
                <w:rFonts w:ascii="Arial" w:cs="Arial" w:eastAsia="Arial" w:hAnsi="Arial"/>
                <w:sz w:val="13"/>
                <w:szCs w:val="13"/>
                <w:b w:val="1"/>
                <w:bCs w:val="1"/>
                <w:color w:val="auto"/>
              </w:rPr>
              <w:t>2020</w:t>
            </w:r>
          </w:p>
        </w:tc>
      </w:tr>
      <w:tr>
        <w:trPr>
          <w:trHeight w:val="134"/>
        </w:trPr>
        <w:tc>
          <w:tcPr>
            <w:tcW w:w="4460" w:type="dxa"/>
            <w:vAlign w:val="bottom"/>
          </w:tcPr>
          <w:p>
            <w:pPr>
              <w:spacing w:after="0"/>
              <w:rPr>
                <w:sz w:val="11"/>
                <w:szCs w:val="11"/>
                <w:color w:val="auto"/>
              </w:rPr>
            </w:pPr>
          </w:p>
        </w:tc>
        <w:tc>
          <w:tcPr>
            <w:tcW w:w="1500" w:type="dxa"/>
            <w:vAlign w:val="bottom"/>
            <w:tcBorders>
              <w:top w:val="single" w:sz="8" w:color="auto"/>
            </w:tcBorders>
          </w:tcPr>
          <w:p>
            <w:pPr>
              <w:ind w:left="860"/>
              <w:spacing w:after="0" w:line="134" w:lineRule="exact"/>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gridSpan w:val="2"/>
          </w:tcPr>
          <w:p>
            <w:pPr>
              <w:ind w:left="860"/>
              <w:spacing w:after="0" w:line="134" w:lineRule="exact"/>
              <w:rPr>
                <w:sz w:val="20"/>
                <w:szCs w:val="20"/>
                <w:color w:val="auto"/>
              </w:rPr>
            </w:pPr>
            <w:r>
              <w:rPr>
                <w:rFonts w:ascii="Arial" w:cs="Arial" w:eastAsia="Arial" w:hAnsi="Arial"/>
                <w:sz w:val="13"/>
                <w:szCs w:val="13"/>
                <w:b w:val="1"/>
                <w:bCs w:val="1"/>
                <w:color w:val="auto"/>
              </w:rPr>
              <w:t>Shares</w:t>
            </w:r>
          </w:p>
        </w:tc>
        <w:tc>
          <w:tcPr>
            <w:tcW w:w="2160" w:type="dxa"/>
            <w:vAlign w:val="bottom"/>
            <w:tcBorders>
              <w:top w:val="single" w:sz="8" w:color="auto"/>
            </w:tcBorders>
          </w:tcPr>
          <w:p>
            <w:pPr>
              <w:jc w:val="right"/>
              <w:ind w:right="782"/>
              <w:spacing w:after="0" w:line="134" w:lineRule="exact"/>
              <w:rPr>
                <w:sz w:val="20"/>
                <w:szCs w:val="20"/>
                <w:color w:val="auto"/>
              </w:rPr>
            </w:pPr>
            <w:r>
              <w:rPr>
                <w:rFonts w:ascii="Arial" w:cs="Arial" w:eastAsia="Arial" w:hAnsi="Arial"/>
                <w:sz w:val="13"/>
                <w:szCs w:val="13"/>
                <w:b w:val="1"/>
                <w:bCs w:val="1"/>
                <w:color w:val="auto"/>
              </w:rPr>
              <w:t>Shares</w:t>
            </w:r>
          </w:p>
        </w:tc>
      </w:tr>
      <w:tr>
        <w:trPr>
          <w:trHeight w:val="173"/>
        </w:trPr>
        <w:tc>
          <w:tcPr>
            <w:tcW w:w="5960" w:type="dxa"/>
            <w:vAlign w:val="bottom"/>
            <w:gridSpan w:val="2"/>
          </w:tcPr>
          <w:p>
            <w:pPr>
              <w:ind w:left="5400"/>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jc w:val="right"/>
              <w:ind w:right="862"/>
              <w:spacing w:after="0"/>
              <w:rPr>
                <w:sz w:val="20"/>
                <w:szCs w:val="20"/>
                <w:color w:val="auto"/>
              </w:rPr>
            </w:pPr>
            <w:r>
              <w:rPr>
                <w:rFonts w:ascii="Arial" w:cs="Arial" w:eastAsia="Arial" w:hAnsi="Arial"/>
                <w:sz w:val="13"/>
                <w:szCs w:val="13"/>
                <w:b w:val="1"/>
                <w:bCs w:val="1"/>
                <w:color w:val="auto"/>
              </w:rPr>
              <w:t>(000)</w:t>
            </w:r>
          </w:p>
        </w:tc>
        <w:tc>
          <w:tcPr>
            <w:tcW w:w="120" w:type="dxa"/>
            <w:vAlign w:val="bottom"/>
          </w:tcPr>
          <w:p>
            <w:pPr>
              <w:spacing w:after="0"/>
              <w:rPr>
                <w:sz w:val="15"/>
                <w:szCs w:val="15"/>
                <w:color w:val="auto"/>
              </w:rPr>
            </w:pPr>
          </w:p>
        </w:tc>
        <w:tc>
          <w:tcPr>
            <w:tcW w:w="2160" w:type="dxa"/>
            <w:vAlign w:val="bottom"/>
          </w:tcPr>
          <w:p>
            <w:pPr>
              <w:jc w:val="right"/>
              <w:ind w:right="842"/>
              <w:spacing w:after="0"/>
              <w:rPr>
                <w:sz w:val="20"/>
                <w:szCs w:val="20"/>
                <w:color w:val="auto"/>
              </w:rPr>
            </w:pPr>
            <w:r>
              <w:rPr>
                <w:rFonts w:ascii="Arial" w:cs="Arial" w:eastAsia="Arial" w:hAnsi="Arial"/>
                <w:sz w:val="13"/>
                <w:szCs w:val="13"/>
                <w:b w:val="1"/>
                <w:bCs w:val="1"/>
                <w:color w:val="auto"/>
              </w:rPr>
              <w:t>(000)</w:t>
            </w:r>
          </w:p>
        </w:tc>
      </w:tr>
      <w:tr>
        <w:trPr>
          <w:trHeight w:val="20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Nonvested, Beginning of Year</w:t>
            </w:r>
          </w:p>
        </w:tc>
        <w:tc>
          <w:tcPr>
            <w:tcW w:w="1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w:t>
            </w:r>
          </w:p>
        </w:tc>
        <w:tc>
          <w:tcPr>
            <w:tcW w:w="1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3,599</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3,315</w:t>
            </w:r>
          </w:p>
        </w:tc>
      </w:tr>
      <w:tr>
        <w:trPr>
          <w:trHeight w:val="214"/>
        </w:trPr>
        <w:tc>
          <w:tcPr>
            <w:tcW w:w="5960" w:type="dxa"/>
            <w:vAlign w:val="bottom"/>
            <w:gridSpan w:val="2"/>
          </w:tcPr>
          <w:p>
            <w:pPr>
              <w:ind w:left="20"/>
              <w:spacing w:after="0"/>
              <w:rPr>
                <w:sz w:val="20"/>
                <w:szCs w:val="20"/>
                <w:color w:val="auto"/>
              </w:rPr>
            </w:pPr>
            <w:r>
              <w:rPr>
                <w:rFonts w:ascii="Arial" w:cs="Arial" w:eastAsia="Arial" w:hAnsi="Arial"/>
                <w:sz w:val="15"/>
                <w:szCs w:val="15"/>
                <w:color w:val="auto"/>
              </w:rPr>
              <w:t>Granted</w:t>
            </w:r>
          </w:p>
        </w:tc>
        <w:tc>
          <w:tcPr>
            <w:tcW w:w="680" w:type="dxa"/>
            <w:vAlign w:val="bottom"/>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Pr>
          <w:p>
            <w:pPr>
              <w:spacing w:after="0"/>
              <w:rPr>
                <w:sz w:val="18"/>
                <w:szCs w:val="18"/>
                <w:color w:val="auto"/>
              </w:rPr>
            </w:pPr>
          </w:p>
        </w:tc>
        <w:tc>
          <w:tcPr>
            <w:tcW w:w="2180" w:type="dxa"/>
            <w:vAlign w:val="bottom"/>
          </w:tcPr>
          <w:p>
            <w:pPr>
              <w:jc w:val="right"/>
              <w:ind w:right="2"/>
              <w:spacing w:after="0"/>
              <w:rPr>
                <w:sz w:val="20"/>
                <w:szCs w:val="20"/>
                <w:color w:val="auto"/>
              </w:rPr>
            </w:pPr>
            <w:r>
              <w:rPr>
                <w:rFonts w:ascii="Arial" w:cs="Arial" w:eastAsia="Arial" w:hAnsi="Arial"/>
                <w:sz w:val="17"/>
                <w:szCs w:val="17"/>
                <w:color w:val="auto"/>
              </w:rPr>
              <w:t>1,099</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833</w:t>
            </w:r>
          </w:p>
        </w:tc>
      </w:tr>
      <w:tr>
        <w:trPr>
          <w:trHeight w:val="214"/>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214"/>
        </w:trPr>
        <w:tc>
          <w:tcPr>
            <w:tcW w:w="5960" w:type="dxa"/>
            <w:vAlign w:val="bottom"/>
            <w:gridSpan w:val="2"/>
          </w:tcPr>
          <w:p>
            <w:pPr>
              <w:ind w:left="20"/>
              <w:spacing w:after="0"/>
              <w:rPr>
                <w:sz w:val="20"/>
                <w:szCs w:val="20"/>
                <w:color w:val="auto"/>
              </w:rPr>
            </w:pPr>
            <w:r>
              <w:rPr>
                <w:rFonts w:ascii="Arial" w:cs="Arial" w:eastAsia="Arial" w:hAnsi="Arial"/>
                <w:sz w:val="15"/>
                <w:szCs w:val="15"/>
                <w:color w:val="auto"/>
              </w:rPr>
              <w:t>Forfeited</w:t>
            </w:r>
          </w:p>
        </w:tc>
        <w:tc>
          <w:tcPr>
            <w:tcW w:w="68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(179)</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(246)</w:t>
            </w:r>
          </w:p>
        </w:tc>
      </w:tr>
      <w:tr>
        <w:trPr>
          <w:trHeight w:val="20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Nonvested, End of Year</w:t>
            </w:r>
          </w:p>
        </w:tc>
        <w:tc>
          <w:tcPr>
            <w:tcW w:w="1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3,553</w:t>
            </w:r>
          </w:p>
        </w:tc>
        <w:tc>
          <w:tcPr>
            <w:tcW w:w="1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3,760</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3,599</w:t>
            </w: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2022, there was unearned stock-based compensation of $43,947,853 associated with these restricted stock grants. The unearned stock-based compensation related to these grants is being amortized to compensation expense over the applicable restriction periods. Compensation expense related to restricted stock for the years ended December 31, 2022, 2021 and 2020 was $21,773,179, $19,304,013, and $20,675,447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Shares</w:t>
      </w:r>
    </w:p>
    <w:p>
      <w:pPr>
        <w:spacing w:after="0" w:line="1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2022, the Company had unearned stock-based compensation of $5,113,300 associated with these performance share grants. The unearned stock-based compensation related to these grants is being amortized to compensation expense over the applicable performance periods. Compensation expense related to performance share grants for the years ended December 31, 2022, 2021, and 2020 was $1,246,369, $1,573,831, and $4,424,678,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Employee Stock Purchase Plan</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Prior to July 1, 2022, the Company had in place an employee stock purchase plan covering 2,000,000 shares of common stock, which was approved by shareholders including amendments thereto. In May 2022, the 2022 Gentex Corporation Employee Stock Purchase Plan covering 2,000,000 shares of common stock was approved by shareholders, replacing the above referenced prior plan effective July 1, 2022. Under such plans, the Company sold or sells shares at 85% of the stock’s market price at the date of purchase. In accordance with ASC 718, the 15% discounted value is recognized as compensation expense.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Compensation expense related to the employee stock purchase plans for the years ended December 31, 2022, 2021, and 2020 was $906,478,</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$713,912, and $810,605, respectively. The following table summarizes shares sold to employees under the 2022 and prior plan in the years ended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2021 and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w:t>
            </w:r>
          </w:p>
        </w:tc>
        <w:tc>
          <w:tcPr>
            <w:tcW w:w="1060" w:type="dxa"/>
            <w:vAlign w:val="bottom"/>
            <w:vMerge w:val="restart"/>
          </w:tcPr>
          <w:p>
            <w:pPr>
              <w:jc w:val="right"/>
              <w:ind w:right="302"/>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060" w:type="dxa"/>
            <w:vAlign w:val="bottom"/>
            <w:vMerge w:val="restart"/>
          </w:tcPr>
          <w:p>
            <w:pPr>
              <w:jc w:val="right"/>
              <w:ind w:right="302"/>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3"/>
                <w:szCs w:val="13"/>
                <w:color w:val="auto"/>
              </w:rPr>
            </w:pPr>
          </w:p>
        </w:tc>
        <w:tc>
          <w:tcPr>
            <w:tcW w:w="1180" w:type="dxa"/>
            <w:vAlign w:val="bottom"/>
            <w:vMerge w:val="restart"/>
          </w:tcPr>
          <w:p>
            <w:pPr>
              <w:jc w:val="right"/>
              <w:ind w:right="362"/>
              <w:spacing w:after="0"/>
              <w:rPr>
                <w:sz w:val="20"/>
                <w:szCs w:val="20"/>
                <w:color w:val="auto"/>
              </w:rPr>
            </w:pPr>
            <w:r>
              <w:rPr>
                <w:rFonts w:ascii="Arial" w:cs="Arial" w:eastAsia="Arial" w:hAnsi="Arial"/>
                <w:sz w:val="13"/>
                <w:szCs w:val="13"/>
                <w:b w:val="1"/>
                <w:bCs w:val="1"/>
                <w:color w:val="auto"/>
              </w:rPr>
              <w:t>2020</w:t>
            </w:r>
          </w:p>
        </w:tc>
        <w:tc>
          <w:tcPr>
            <w:tcW w:w="1680" w:type="dxa"/>
            <w:vAlign w:val="bottom"/>
          </w:tcPr>
          <w:p>
            <w:pPr>
              <w:jc w:val="right"/>
              <w:ind w:right="145"/>
              <w:spacing w:after="0"/>
              <w:rPr>
                <w:sz w:val="20"/>
                <w:szCs w:val="20"/>
                <w:color w:val="auto"/>
              </w:rPr>
            </w:pPr>
            <w:r>
              <w:rPr>
                <w:rFonts w:ascii="Arial" w:cs="Arial" w:eastAsia="Arial" w:hAnsi="Arial"/>
                <w:sz w:val="13"/>
                <w:szCs w:val="13"/>
                <w:b w:val="1"/>
                <w:bCs w:val="1"/>
                <w:color w:val="auto"/>
              </w:rPr>
              <w:t>Cumulative Shares</w:t>
            </w: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Issued</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Fair Value 2022</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94,111</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25.55</w:t>
            </w:r>
          </w:p>
        </w:tc>
        <w:tc>
          <w:tcPr>
            <w:tcW w:w="0" w:type="dxa"/>
            <w:vAlign w:val="bottom"/>
          </w:tcPr>
          <w:p>
            <w:pPr>
              <w:spacing w:after="0"/>
              <w:rPr>
                <w:sz w:val="1"/>
                <w:szCs w:val="1"/>
                <w:color w:val="auto"/>
              </w:rPr>
            </w:pPr>
          </w:p>
        </w:tc>
      </w:tr>
      <w:tr>
        <w:trPr>
          <w:trHeight w:val="214"/>
        </w:trPr>
        <w:tc>
          <w:tcPr>
            <w:tcW w:w="4560" w:type="dxa"/>
            <w:vAlign w:val="bottom"/>
          </w:tcPr>
          <w:p>
            <w:pPr>
              <w:ind w:left="20"/>
              <w:spacing w:after="0"/>
              <w:rPr>
                <w:sz w:val="20"/>
                <w:szCs w:val="20"/>
                <w:color w:val="auto"/>
              </w:rPr>
            </w:pPr>
            <w:r>
              <w:rPr>
                <w:rFonts w:ascii="Arial" w:cs="Arial" w:eastAsia="Arial" w:hAnsi="Arial"/>
                <w:sz w:val="17"/>
                <w:szCs w:val="17"/>
                <w:color w:val="auto"/>
              </w:rPr>
              <w:t>Prior Employee Stock Purchase Plan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126,101</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143,892</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208,273</w:t>
            </w:r>
          </w:p>
        </w:tc>
        <w:tc>
          <w:tcPr>
            <w:tcW w:w="1680" w:type="dxa"/>
            <w:vAlign w:val="bottom"/>
          </w:tcPr>
          <w:p>
            <w:pPr>
              <w:jc w:val="right"/>
              <w:spacing w:after="0"/>
              <w:rPr>
                <w:sz w:val="20"/>
                <w:szCs w:val="20"/>
                <w:color w:val="auto"/>
              </w:rPr>
            </w:pPr>
            <w:r>
              <w:rPr>
                <w:rFonts w:ascii="Arial" w:cs="Arial" w:eastAsia="Arial" w:hAnsi="Arial"/>
                <w:sz w:val="17"/>
                <w:szCs w:val="17"/>
                <w:color w:val="auto"/>
              </w:rPr>
              <w:t>1,624,122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28.71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CONTINGENCIES</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February 7, 2023, the SEC announced that it has accepted an Offer of Settlement submitted by the Company and its current Chief Financial Officer Kevin Nash. Under the settlement, without admitting or denying the SEC’s findings in this matter, the Company and Nash have consented to the entry of an administrative civil cease-and -desist order by the SEC (the “Order”) with respect to certain violations of the federal securities laws in the third quarter of 2015 through the second quarter of 2018 (the “Relevant Period”). The Company agreed to pay a civil monetary penalty of $4.0 million, which was fully accrued by the Company in the second and third quarters of 2022. Nash agreed to pay a civil monetary penalty of $75,000.</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had $ 4.0 million of restricted cash as of December 31, 2022 in escrow, pending the finalization of the settlement agreement with the SEC, which occurred on February 7, 2023.</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SEGMENT REPORTING</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400" w:hanging="399"/>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Revenue:</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8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United States</w:t>
            </w: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579,531,611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542,690,346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519,337,271</w:t>
            </w:r>
          </w:p>
        </w:tc>
        <w:tc>
          <w:tcPr>
            <w:tcW w:w="0" w:type="dxa"/>
            <w:vAlign w:val="bottom"/>
          </w:tcPr>
          <w:p>
            <w:pPr>
              <w:spacing w:after="0"/>
              <w:rPr>
                <w:sz w:val="1"/>
                <w:szCs w:val="1"/>
                <w:color w:val="auto"/>
              </w:rPr>
            </w:pPr>
          </w:p>
        </w:tc>
      </w:tr>
      <w:tr>
        <w:trPr>
          <w:trHeight w:val="200"/>
        </w:trPr>
        <w:tc>
          <w:tcPr>
            <w:tcW w:w="5280" w:type="dxa"/>
            <w:vAlign w:val="bottom"/>
          </w:tcPr>
          <w:p>
            <w:pPr>
              <w:ind w:left="620"/>
              <w:spacing w:after="0"/>
              <w:rPr>
                <w:sz w:val="20"/>
                <w:szCs w:val="20"/>
                <w:color w:val="auto"/>
              </w:rPr>
            </w:pPr>
            <w:r>
              <w:rPr>
                <w:rFonts w:ascii="Arial" w:cs="Arial" w:eastAsia="Arial" w:hAnsi="Arial"/>
                <w:sz w:val="15"/>
                <w:szCs w:val="15"/>
                <w:color w:val="auto"/>
              </w:rPr>
              <w:t>Germany</w:t>
            </w: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266,498,398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234,994,551</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228,652,827</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Japan</w:t>
            </w: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234,888,653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211,417,475</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216,100,530</w:t>
            </w:r>
          </w:p>
        </w:tc>
        <w:tc>
          <w:tcPr>
            <w:tcW w:w="0" w:type="dxa"/>
            <w:vAlign w:val="bottom"/>
          </w:tcPr>
          <w:p>
            <w:pPr>
              <w:spacing w:after="0"/>
              <w:rPr>
                <w:sz w:val="1"/>
                <w:szCs w:val="1"/>
                <w:color w:val="auto"/>
              </w:rPr>
            </w:pPr>
          </w:p>
        </w:tc>
      </w:tr>
      <w:tr>
        <w:trPr>
          <w:trHeight w:val="200"/>
        </w:trPr>
        <w:tc>
          <w:tcPr>
            <w:tcW w:w="5280" w:type="dxa"/>
            <w:vAlign w:val="bottom"/>
          </w:tcPr>
          <w:p>
            <w:pPr>
              <w:ind w:left="620"/>
              <w:spacing w:after="0"/>
              <w:rPr>
                <w:sz w:val="20"/>
                <w:szCs w:val="20"/>
                <w:color w:val="auto"/>
              </w:rPr>
            </w:pPr>
            <w:r>
              <w:rPr>
                <w:rFonts w:ascii="Arial" w:cs="Arial" w:eastAsia="Arial" w:hAnsi="Arial"/>
                <w:sz w:val="15"/>
                <w:szCs w:val="15"/>
                <w:color w:val="auto"/>
              </w:rPr>
              <w:t>Mexico</w:t>
            </w: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121,553,711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111,761,245</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127,157,684</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Other Countries</w:t>
            </w: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672,270,085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596,324,417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556,949,831</w:t>
            </w:r>
          </w:p>
        </w:tc>
        <w:tc>
          <w:tcPr>
            <w:tcW w:w="0" w:type="dxa"/>
            <w:vAlign w:val="bottom"/>
          </w:tcPr>
          <w:p>
            <w:pPr>
              <w:spacing w:after="0"/>
              <w:rPr>
                <w:sz w:val="1"/>
                <w:szCs w:val="1"/>
                <w:color w:val="auto"/>
              </w:rPr>
            </w:pPr>
          </w:p>
        </w:tc>
      </w:tr>
      <w:tr>
        <w:trPr>
          <w:trHeight w:val="200"/>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44,215,585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33,981,895</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39,991,262</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1,918,958,043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1,731,169,929</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1,688,189,405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5"/>
                <w:szCs w:val="15"/>
                <w:color w:val="auto"/>
              </w:rPr>
              <w:t>Income (Loss) from Operations: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2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Automotive Products</w:t>
            </w: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372,490,748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414,185,075</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393,979,860</w:t>
            </w:r>
          </w:p>
        </w:tc>
        <w:tc>
          <w:tcPr>
            <w:tcW w:w="0" w:type="dxa"/>
            <w:vAlign w:val="bottom"/>
          </w:tcPr>
          <w:p>
            <w:pPr>
              <w:spacing w:after="0"/>
              <w:rPr>
                <w:sz w:val="1"/>
                <w:szCs w:val="1"/>
                <w:color w:val="auto"/>
              </w:rPr>
            </w:pPr>
          </w:p>
        </w:tc>
      </w:tr>
      <w:tr>
        <w:trPr>
          <w:trHeight w:val="200"/>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(2,484,622)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(4,403,097)</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5,576,232</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370,006,126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409,781,978</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399,556,092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5"/>
                <w:szCs w:val="15"/>
                <w:color w:val="auto"/>
              </w:rPr>
              <w:t>Assets: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2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Automotive Products</w:t>
            </w: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1,670,634,277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1,495,298,453</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1,436,374,596</w:t>
            </w:r>
          </w:p>
        </w:tc>
        <w:tc>
          <w:tcPr>
            <w:tcW w:w="0" w:type="dxa"/>
            <w:vAlign w:val="bottom"/>
          </w:tcPr>
          <w:p>
            <w:pPr>
              <w:spacing w:after="0"/>
              <w:rPr>
                <w:sz w:val="1"/>
                <w:szCs w:val="1"/>
                <w:color w:val="auto"/>
              </w:rPr>
            </w:pPr>
          </w:p>
        </w:tc>
      </w:tr>
      <w:tr>
        <w:trPr>
          <w:trHeight w:val="200"/>
        </w:trPr>
        <w:tc>
          <w:tcPr>
            <w:tcW w:w="5280" w:type="dxa"/>
            <w:vAlign w:val="bottom"/>
          </w:tcPr>
          <w:p>
            <w:pPr>
              <w:ind w:left="320"/>
              <w:spacing w:after="0"/>
              <w:rPr>
                <w:sz w:val="20"/>
                <w:szCs w:val="20"/>
                <w:color w:val="auto"/>
              </w:rPr>
            </w:pPr>
            <w:r>
              <w:rPr>
                <w:rFonts w:ascii="Arial" w:cs="Arial" w:eastAsia="Arial" w:hAnsi="Arial"/>
                <w:sz w:val="15"/>
                <w:szCs w:val="15"/>
                <w:color w:val="auto"/>
              </w:rPr>
              <w:t>Other</w:t>
            </w: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43,025,905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34,760,744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33,317,668</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Corporate</w:t>
            </w: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613,569,742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601,331,969</w:t>
            </w:r>
          </w:p>
        </w:tc>
        <w:tc>
          <w:tcPr>
            <w:tcW w:w="1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728,248,906</w:t>
            </w:r>
          </w:p>
        </w:tc>
        <w:tc>
          <w:tcPr>
            <w:tcW w:w="0" w:type="dxa"/>
            <w:vAlign w:val="bottom"/>
          </w:tcPr>
          <w:p>
            <w:pPr>
              <w:spacing w:after="0"/>
              <w:rPr>
                <w:sz w:val="1"/>
                <w:szCs w:val="1"/>
                <w:color w:val="auto"/>
              </w:rPr>
            </w:pPr>
          </w:p>
        </w:tc>
      </w:tr>
      <w:tr>
        <w:trPr>
          <w:trHeight w:val="193"/>
        </w:trPr>
        <w:tc>
          <w:tcPr>
            <w:tcW w:w="5280" w:type="dxa"/>
            <w:vAlign w:val="bottom"/>
          </w:tcPr>
          <w:p>
            <w:pPr>
              <w:ind w:left="32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2,327,229,924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2,131,391,166</w:t>
            </w:r>
          </w:p>
        </w:tc>
        <w:tc>
          <w:tcPr>
            <w:tcW w:w="14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2,197,941,170</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8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Depreciation &amp; Amortization:</w:t>
            </w: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8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90,030,087</w:t>
            </w:r>
          </w:p>
        </w:tc>
        <w:tc>
          <w:tcPr>
            <w:tcW w:w="10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92,516,347</w:t>
            </w:r>
          </w:p>
        </w:tc>
        <w:tc>
          <w:tcPr>
            <w:tcW w:w="14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97,530,191</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1,056,510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913,451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689,894</w:t>
            </w:r>
          </w:p>
        </w:tc>
        <w:tc>
          <w:tcPr>
            <w:tcW w:w="0" w:type="dxa"/>
            <w:vAlign w:val="bottom"/>
          </w:tcPr>
          <w:p>
            <w:pPr>
              <w:spacing w:after="0"/>
              <w:rPr>
                <w:sz w:val="1"/>
                <w:szCs w:val="1"/>
                <w:color w:val="auto"/>
              </w:rPr>
            </w:pPr>
          </w:p>
        </w:tc>
      </w:tr>
      <w:tr>
        <w:trPr>
          <w:trHeight w:val="200"/>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Corporate</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5,481,846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5,682,221</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6,519,815</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96,568,443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99,112,019</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104,739,900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5"/>
                <w:szCs w:val="15"/>
                <w:color w:val="auto"/>
              </w:rPr>
              <w:t>Capital Expenditures: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2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Automotive Products</w:t>
            </w: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141,166,506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58,415,887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34,926,686</w:t>
            </w:r>
          </w:p>
        </w:tc>
        <w:tc>
          <w:tcPr>
            <w:tcW w:w="0" w:type="dxa"/>
            <w:vAlign w:val="bottom"/>
          </w:tcPr>
          <w:p>
            <w:pPr>
              <w:spacing w:after="0"/>
              <w:rPr>
                <w:sz w:val="1"/>
                <w:szCs w:val="1"/>
                <w:color w:val="auto"/>
              </w:rPr>
            </w:pPr>
          </w:p>
        </w:tc>
      </w:tr>
      <w:tr>
        <w:trPr>
          <w:trHeight w:val="200"/>
        </w:trPr>
        <w:tc>
          <w:tcPr>
            <w:tcW w:w="5280" w:type="dxa"/>
            <w:vAlign w:val="bottom"/>
          </w:tcPr>
          <w:p>
            <w:pPr>
              <w:ind w:left="320"/>
              <w:spacing w:after="0"/>
              <w:rPr>
                <w:sz w:val="20"/>
                <w:szCs w:val="20"/>
                <w:color w:val="auto"/>
              </w:rPr>
            </w:pPr>
            <w:r>
              <w:rPr>
                <w:rFonts w:ascii="Arial" w:cs="Arial" w:eastAsia="Arial" w:hAnsi="Arial"/>
                <w:sz w:val="15"/>
                <w:szCs w:val="15"/>
                <w:color w:val="auto"/>
              </w:rPr>
              <w:t>Other</w:t>
            </w: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2,356,910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1,467,962</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1,470,705</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Corporate</w:t>
            </w: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2,909,707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8,951,198</w:t>
            </w:r>
          </w:p>
        </w:tc>
        <w:tc>
          <w:tcPr>
            <w:tcW w:w="1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15,309,150</w:t>
            </w:r>
          </w:p>
        </w:tc>
        <w:tc>
          <w:tcPr>
            <w:tcW w:w="0" w:type="dxa"/>
            <w:vAlign w:val="bottom"/>
          </w:tcPr>
          <w:p>
            <w:pPr>
              <w:spacing w:after="0"/>
              <w:rPr>
                <w:sz w:val="1"/>
                <w:szCs w:val="1"/>
                <w:color w:val="auto"/>
              </w:rPr>
            </w:pPr>
          </w:p>
        </w:tc>
      </w:tr>
      <w:tr>
        <w:trPr>
          <w:trHeight w:val="193"/>
        </w:trPr>
        <w:tc>
          <w:tcPr>
            <w:tcW w:w="5280" w:type="dxa"/>
            <w:vAlign w:val="bottom"/>
          </w:tcPr>
          <w:p>
            <w:pPr>
              <w:ind w:left="32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146,433,123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68,835,047</w:t>
            </w:r>
          </w:p>
        </w:tc>
        <w:tc>
          <w:tcPr>
            <w:tcW w:w="14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51,706,541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includes Dimmable Aircraft Windows, Fire Protection Products, and Nanofiber. Major product line revenues included within the Automotive Products segment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2020</w:t>
            </w:r>
          </w:p>
        </w:tc>
      </w:tr>
      <w:tr>
        <w:trPr>
          <w:trHeight w:val="181"/>
        </w:trPr>
        <w:tc>
          <w:tcPr>
            <w:tcW w:w="5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Automotive Products</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0"/>
        </w:trPr>
        <w:tc>
          <w:tcPr>
            <w:tcW w:w="5320" w:type="dxa"/>
            <w:vAlign w:val="bottom"/>
          </w:tcPr>
          <w:p>
            <w:pPr>
              <w:ind w:left="320"/>
              <w:spacing w:after="0"/>
              <w:rPr>
                <w:sz w:val="20"/>
                <w:szCs w:val="20"/>
                <w:color w:val="auto"/>
              </w:rPr>
            </w:pPr>
            <w:r>
              <w:rPr>
                <w:rFonts w:ascii="Arial" w:cs="Arial" w:eastAsia="Arial" w:hAnsi="Arial"/>
                <w:sz w:val="15"/>
                <w:szCs w:val="15"/>
                <w:color w:val="auto"/>
              </w:rPr>
              <w:t>Automotive Mirrors</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1,742,196,401</w:t>
            </w:r>
          </w:p>
        </w:tc>
        <w:tc>
          <w:tcPr>
            <w:tcW w:w="12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1,563,424,443</w:t>
            </w:r>
          </w:p>
        </w:tc>
        <w:tc>
          <w:tcPr>
            <w:tcW w:w="10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1,520,628,604</w:t>
            </w:r>
          </w:p>
        </w:tc>
      </w:tr>
      <w:tr>
        <w:trPr>
          <w:trHeight w:val="202"/>
        </w:trPr>
        <w:tc>
          <w:tcPr>
            <w:tcW w:w="5320" w:type="dxa"/>
            <w:vAlign w:val="bottom"/>
            <w:shd w:val="clear" w:color="auto" w:fill="CCEEFF"/>
          </w:tcPr>
          <w:p>
            <w:pPr>
              <w:ind w:left="320"/>
              <w:spacing w:after="0" w:line="203" w:lineRule="exact"/>
              <w:rPr>
                <w:sz w:val="20"/>
                <w:szCs w:val="20"/>
                <w:color w:val="auto"/>
              </w:rPr>
            </w:pPr>
            <w:r>
              <w:rPr>
                <w:rFonts w:ascii="Arial" w:cs="Arial" w:eastAsia="Arial" w:hAnsi="Arial"/>
                <w:sz w:val="15"/>
                <w:szCs w:val="15"/>
                <w:color w:val="auto"/>
              </w:rPr>
              <w:t>HomeLink</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Modules*</w:t>
            </w: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132,546,057</w:t>
            </w: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133,763,591</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127,569,539</w:t>
            </w:r>
          </w:p>
        </w:tc>
      </w:tr>
      <w:tr>
        <w:trPr>
          <w:trHeight w:val="193"/>
        </w:trPr>
        <w:tc>
          <w:tcPr>
            <w:tcW w:w="5320" w:type="dxa"/>
            <w:vAlign w:val="bottom"/>
          </w:tcPr>
          <w:p>
            <w:pPr>
              <w:ind w:left="140"/>
              <w:spacing w:after="0"/>
              <w:rPr>
                <w:sz w:val="20"/>
                <w:szCs w:val="20"/>
                <w:color w:val="auto"/>
              </w:rPr>
            </w:pPr>
            <w:r>
              <w:rPr>
                <w:rFonts w:ascii="Arial" w:cs="Arial" w:eastAsia="Arial" w:hAnsi="Arial"/>
                <w:sz w:val="15"/>
                <w:szCs w:val="15"/>
                <w:color w:val="auto"/>
              </w:rPr>
              <w:t>Total Automotive Products</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1,874,742,458</w:t>
            </w:r>
          </w:p>
        </w:tc>
        <w:tc>
          <w:tcPr>
            <w:tcW w:w="120" w:type="dxa"/>
            <w:vAlign w:val="bottom"/>
          </w:tcPr>
          <w:p>
            <w:pPr>
              <w:spacing w:after="0"/>
              <w:rPr>
                <w:sz w:val="16"/>
                <w:szCs w:val="16"/>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1,697,188,034</w:t>
            </w:r>
          </w:p>
        </w:tc>
        <w:tc>
          <w:tcPr>
            <w:tcW w:w="100" w:type="dxa"/>
            <w:vAlign w:val="bottom"/>
          </w:tcPr>
          <w:p>
            <w:pPr>
              <w:spacing w:after="0"/>
              <w:rPr>
                <w:sz w:val="16"/>
                <w:szCs w:val="16"/>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1,648,198,143</w:t>
            </w:r>
          </w:p>
        </w:tc>
      </w:tr>
      <w:tr>
        <w:trPr>
          <w:trHeight w:val="240"/>
        </w:trPr>
        <w:tc>
          <w:tcPr>
            <w:tcW w:w="5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00"/>
        </w:trPr>
        <w:tc>
          <w:tcPr>
            <w:tcW w:w="5320" w:type="dxa"/>
            <w:vAlign w:val="bottom"/>
          </w:tcPr>
          <w:p>
            <w:pPr>
              <w:ind w:left="140"/>
              <w:spacing w:after="0"/>
              <w:rPr>
                <w:sz w:val="20"/>
                <w:szCs w:val="20"/>
                <w:color w:val="auto"/>
              </w:rPr>
            </w:pPr>
            <w:r>
              <w:rPr>
                <w:rFonts w:ascii="Arial" w:cs="Arial" w:eastAsia="Arial" w:hAnsi="Arial"/>
                <w:sz w:val="15"/>
                <w:szCs w:val="15"/>
                <w:color w:val="auto"/>
              </w:rPr>
              <w:t>Other Products Revenue</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44,215,585</w:t>
            </w:r>
          </w:p>
        </w:tc>
        <w:tc>
          <w:tcPr>
            <w:tcW w:w="12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33,981,895</w:t>
            </w:r>
          </w:p>
        </w:tc>
        <w:tc>
          <w:tcPr>
            <w:tcW w:w="10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39,991,262</w:t>
            </w:r>
          </w:p>
        </w:tc>
      </w:tr>
      <w:tr>
        <w:trPr>
          <w:trHeight w:val="240"/>
        </w:trPr>
        <w:tc>
          <w:tcPr>
            <w:tcW w:w="53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r>
      <w:tr>
        <w:trPr>
          <w:trHeight w:val="193"/>
        </w:trPr>
        <w:tc>
          <w:tcPr>
            <w:tcW w:w="532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1,918,958,043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1,731,169,929</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1,688,189,405</w:t>
            </w:r>
          </w:p>
        </w:tc>
      </w:tr>
      <w:tr>
        <w:trPr>
          <w:trHeight w:val="20"/>
        </w:trPr>
        <w:tc>
          <w:tcPr>
            <w:tcW w:w="5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*Excludes HomeLink</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revenue integrated into automotive mirrors.</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Corporate assets are principally cash and cash equivalents, investments, deferred income taxes and corporate fixed assets. Depreciation &amp; Amortization on corporate fixed assets are allocated as appropriate to the Automotive and Other segments when reviewing operating results. Substantially all long-lived assets are located in the U.S.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400" w:hanging="399"/>
        <w:spacing w:after="0"/>
        <w:tabs>
          <w:tab w:leader="none" w:pos="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Automotive Products revenues in the “Other countries” category are sales to customer automotive manufacturing plants in Korea, Canada, Hungary, China, and the United Kingdom, as well as other foreign automotive customers. Most of the Company’s non-U.S. sales are invoiced and paid in U.S. dollars. During the years ended December 31, 2022, 2021 and 2020, approximately 7%, 8% and 7% of the Company’s net sales were invoiced and paid in foreign currencies, respectively.</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2022, the Company had three automotive customers (including direct sales to original equipment manufacturer ("OEM") customers and sales through their Tier 1 suppliers), which individually accounted for 10% or more of net sales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4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Toyota Motor Company</w:t>
            </w:r>
          </w:p>
        </w:tc>
        <w:tc>
          <w:tcPr>
            <w:tcW w:w="1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rPr>
              <w:t>Volkswagen Group</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General Motors</w:t>
            </w:r>
          </w:p>
        </w:tc>
      </w:tr>
      <w:tr>
        <w:trPr>
          <w:trHeight w:val="206"/>
        </w:trPr>
        <w:tc>
          <w:tcPr>
            <w:tcW w:w="3340" w:type="dxa"/>
            <w:vAlign w:val="bottom"/>
          </w:tcPr>
          <w:p>
            <w:pPr>
              <w:jc w:val="right"/>
              <w:ind w:right="2856"/>
              <w:spacing w:after="0"/>
              <w:rPr>
                <w:sz w:val="20"/>
                <w:szCs w:val="20"/>
                <w:color w:val="auto"/>
              </w:rPr>
            </w:pPr>
            <w:r>
              <w:rPr>
                <w:rFonts w:ascii="Arial" w:cs="Arial" w:eastAsia="Arial" w:hAnsi="Arial"/>
                <w:sz w:val="17"/>
                <w:szCs w:val="17"/>
                <w:color w:val="auto"/>
              </w:rPr>
              <w:t>2022</w:t>
            </w: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16%</w:t>
            </w:r>
          </w:p>
        </w:tc>
        <w:tc>
          <w:tcPr>
            <w:tcW w:w="10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3"/>
              </w:rPr>
              <w:t>13%</w:t>
            </w:r>
          </w:p>
        </w:tc>
        <w:tc>
          <w:tcPr>
            <w:tcW w:w="1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10%</w:t>
            </w:r>
          </w:p>
        </w:tc>
      </w:tr>
      <w:tr>
        <w:trPr>
          <w:trHeight w:val="214"/>
        </w:trPr>
        <w:tc>
          <w:tcPr>
            <w:tcW w:w="3340" w:type="dxa"/>
            <w:vAlign w:val="bottom"/>
            <w:shd w:val="clear" w:color="auto" w:fill="CCEEFF"/>
          </w:tcPr>
          <w:p>
            <w:pPr>
              <w:jc w:val="right"/>
              <w:ind w:right="2856"/>
              <w:spacing w:after="0"/>
              <w:rPr>
                <w:sz w:val="20"/>
                <w:szCs w:val="20"/>
                <w:color w:val="auto"/>
              </w:rPr>
            </w:pPr>
            <w:r>
              <w:rPr>
                <w:rFonts w:ascii="Arial" w:cs="Arial" w:eastAsia="Arial" w:hAnsi="Arial"/>
                <w:sz w:val="17"/>
                <w:szCs w:val="17"/>
                <w:color w:val="auto"/>
              </w:rPr>
              <w:t>2021</w:t>
            </w: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15%</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w:t>
            </w: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w:t>
            </w:r>
          </w:p>
        </w:tc>
      </w:tr>
      <w:tr>
        <w:trPr>
          <w:trHeight w:val="222"/>
        </w:trPr>
        <w:tc>
          <w:tcPr>
            <w:tcW w:w="3340" w:type="dxa"/>
            <w:vAlign w:val="bottom"/>
          </w:tcPr>
          <w:p>
            <w:pPr>
              <w:jc w:val="right"/>
              <w:ind w:right="2856"/>
              <w:spacing w:after="0"/>
              <w:rPr>
                <w:sz w:val="20"/>
                <w:szCs w:val="20"/>
                <w:color w:val="auto"/>
              </w:rPr>
            </w:pPr>
            <w:r>
              <w:rPr>
                <w:rFonts w:ascii="Arial" w:cs="Arial" w:eastAsia="Arial" w:hAnsi="Arial"/>
                <w:sz w:val="17"/>
                <w:szCs w:val="17"/>
                <w:color w:val="auto"/>
              </w:rPr>
              <w:t>2020</w:t>
            </w: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14%</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3"/>
              </w:rPr>
              <w:t>14%</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12%</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8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6"/>
          <w:szCs w:val="16"/>
          <w:color w:val="auto"/>
        </w:rPr>
        <w:t>QUARTERLY FINANCIAL INFORMATION (UNAUDITED)</w:t>
      </w:r>
    </w:p>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sets forth selected financial information for all of the quarters during the years ended December 31, 2022 and 2021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93"/>
              <w:spacing w:after="0"/>
              <w:rPr>
                <w:sz w:val="20"/>
                <w:szCs w:val="20"/>
                <w:color w:val="auto"/>
              </w:rPr>
            </w:pPr>
            <w:r>
              <w:rPr>
                <w:rFonts w:ascii="Arial" w:cs="Arial" w:eastAsia="Arial" w:hAnsi="Arial"/>
                <w:sz w:val="13"/>
                <w:szCs w:val="13"/>
                <w:b w:val="1"/>
                <w:bCs w:val="1"/>
                <w:color w:val="auto"/>
              </w:rPr>
              <w:t>First</w:t>
            </w:r>
          </w:p>
        </w:tc>
        <w:tc>
          <w:tcPr>
            <w:tcW w:w="7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w:t>
            </w:r>
          </w:p>
        </w:tc>
        <w:tc>
          <w:tcPr>
            <w:tcW w:w="7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53"/>
              <w:spacing w:after="0"/>
              <w:rPr>
                <w:sz w:val="20"/>
                <w:szCs w:val="20"/>
                <w:color w:val="auto"/>
              </w:rPr>
            </w:pPr>
            <w:r>
              <w:rPr>
                <w:rFonts w:ascii="Arial" w:cs="Arial" w:eastAsia="Arial" w:hAnsi="Arial"/>
                <w:sz w:val="13"/>
                <w:szCs w:val="13"/>
                <w:b w:val="1"/>
                <w:bCs w:val="1"/>
                <w:color w:val="auto"/>
              </w:rPr>
              <w:t>Third</w:t>
            </w:r>
          </w:p>
        </w:tc>
        <w:tc>
          <w:tcPr>
            <w:tcW w:w="7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Fourth</w:t>
            </w:r>
          </w:p>
        </w:tc>
        <w:tc>
          <w:tcPr>
            <w:tcW w:w="700" w:type="dxa"/>
            <w:vAlign w:val="bottom"/>
            <w:tcBorders>
              <w:top w:val="single" w:sz="8" w:color="auto"/>
              <w:bottom w:val="single" w:sz="8" w:color="auto"/>
            </w:tcBorders>
          </w:tcPr>
          <w:p>
            <w:pPr>
              <w:spacing w:after="0"/>
              <w:rPr>
                <w:sz w:val="17"/>
                <w:szCs w:val="17"/>
                <w:color w:val="auto"/>
              </w:rPr>
            </w:pPr>
          </w:p>
        </w:tc>
      </w:tr>
      <w:tr>
        <w:trPr>
          <w:trHeight w:val="181"/>
        </w:trPr>
        <w:tc>
          <w:tcPr>
            <w:tcW w:w="26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2021</w:t>
            </w:r>
          </w:p>
        </w:tc>
      </w:tr>
      <w:tr>
        <w:trPr>
          <w:trHeight w:val="18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468,251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483,725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463,423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428,005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493,637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399,599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493,648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419,841</w:t>
            </w:r>
          </w:p>
        </w:tc>
      </w:tr>
      <w:tr>
        <w:trPr>
          <w:trHeight w:val="185"/>
        </w:trPr>
        <w:tc>
          <w:tcPr>
            <w:tcW w:w="26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160,412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183,300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148,367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151,597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147,201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140,900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153,834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143,911</w:t>
            </w:r>
          </w:p>
        </w:tc>
      </w:tr>
      <w:tr>
        <w:trPr>
          <w:trHeight w:val="19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133,734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85,791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87,959</w:t>
            </w:r>
          </w:p>
        </w:tc>
      </w:tr>
      <w:tr>
        <w:trPr>
          <w:trHeight w:val="185"/>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87,529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113,451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72,404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86,506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72,656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76,661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86,168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84,179</w:t>
            </w:r>
          </w:p>
        </w:tc>
      </w:tr>
      <w:tr>
        <w:trPr>
          <w:trHeight w:val="193"/>
        </w:trPr>
        <w:tc>
          <w:tcPr>
            <w:tcW w:w="2620" w:type="dxa"/>
            <w:vAlign w:val="bottom"/>
            <w:shd w:val="clear" w:color="auto" w:fill="CCEEFF"/>
          </w:tcPr>
          <w:p>
            <w:pPr>
              <w:ind w:left="20"/>
              <w:spacing w:after="0" w:line="193" w:lineRule="exact"/>
              <w:rPr>
                <w:sz w:val="20"/>
                <w:szCs w:val="20"/>
                <w:color w:val="auto"/>
              </w:rPr>
            </w:pPr>
            <w:r>
              <w:rPr>
                <w:rFonts w:ascii="Arial" w:cs="Arial" w:eastAsia="Arial" w:hAnsi="Arial"/>
                <w:sz w:val="13"/>
                <w:szCs w:val="13"/>
                <w:color w:val="auto"/>
              </w:rPr>
              <w:t>Earnings Per Share (Basic)</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w:t>
            </w:r>
          </w:p>
        </w:tc>
      </w:tr>
      <w:tr>
        <w:trPr>
          <w:trHeight w:val="198"/>
        </w:trPr>
        <w:tc>
          <w:tcPr>
            <w:tcW w:w="2620" w:type="dxa"/>
            <w:vAlign w:val="bottom"/>
          </w:tcPr>
          <w:p>
            <w:pPr>
              <w:ind w:left="20"/>
              <w:spacing w:after="0"/>
              <w:rPr>
                <w:sz w:val="20"/>
                <w:szCs w:val="20"/>
                <w:color w:val="auto"/>
              </w:rPr>
            </w:pPr>
            <w:r>
              <w:rPr>
                <w:rFonts w:ascii="Arial" w:cs="Arial" w:eastAsia="Arial" w:hAnsi="Arial"/>
                <w:sz w:val="13"/>
                <w:szCs w:val="13"/>
                <w:color w:val="auto"/>
              </w:rPr>
              <w:t>Earnings Per Share (Diluted)</w:t>
            </w:r>
            <w:r>
              <w:rPr>
                <w:rFonts w:ascii="Arial" w:cs="Arial" w:eastAsia="Arial" w:hAnsi="Arial"/>
                <w:sz w:val="17"/>
                <w:szCs w:val="17"/>
                <w:color w:val="auto"/>
                <w:vertAlign w:val="superscript"/>
              </w:rPr>
              <w:t>(1)</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0.37</w:t>
            </w:r>
          </w:p>
        </w:tc>
        <w:tc>
          <w:tcPr>
            <w:tcW w:w="12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0.46</w:t>
            </w:r>
          </w:p>
        </w:tc>
        <w:tc>
          <w:tcPr>
            <w:tcW w:w="10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0.31</w:t>
            </w:r>
          </w:p>
        </w:tc>
        <w:tc>
          <w:tcPr>
            <w:tcW w:w="100" w:type="dxa"/>
            <w:vAlign w:val="bottom"/>
          </w:tcPr>
          <w:p>
            <w:pPr>
              <w:spacing w:after="0"/>
              <w:rPr>
                <w:sz w:val="17"/>
                <w:szCs w:val="17"/>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0.36</w:t>
            </w:r>
          </w:p>
        </w:tc>
        <w:tc>
          <w:tcPr>
            <w:tcW w:w="12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0.31</w:t>
            </w:r>
          </w:p>
        </w:tc>
        <w:tc>
          <w:tcPr>
            <w:tcW w:w="12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0.32</w:t>
            </w:r>
          </w:p>
        </w:tc>
        <w:tc>
          <w:tcPr>
            <w:tcW w:w="12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0.37</w:t>
            </w:r>
          </w:p>
        </w:tc>
        <w:tc>
          <w:tcPr>
            <w:tcW w:w="120" w:type="dxa"/>
            <w:vAlign w:val="bottom"/>
          </w:tcPr>
          <w:p>
            <w:pPr>
              <w:spacing w:after="0"/>
              <w:rPr>
                <w:sz w:val="17"/>
                <w:szCs w:val="17"/>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069455" cy="3517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69455" cy="351790"/>
                    </a:xfrm>
                    <a:prstGeom prst="rect">
                      <a:avLst/>
                    </a:prstGeom>
                    <a:noFill/>
                  </pic:spPr>
                </pic:pic>
              </a:graphicData>
            </a:graphic>
          </wp:anchor>
        </w:drawing>
      </w:r>
    </w:p>
    <w:p>
      <w:pPr>
        <w:ind w:left="20" w:right="460"/>
        <w:spacing w:after="0" w:line="215"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Basic and diluted earnings per share are computed independently for each quarter presented. Therefore the sum of quarterly basic and diluted per share information may not equal annual basis and diluted earnings per share.</w:t>
      </w:r>
    </w:p>
    <w:p>
      <w:pPr>
        <w:spacing w:after="0" w:line="200" w:lineRule="exact"/>
        <w:rPr>
          <w:sz w:val="20"/>
          <w:szCs w:val="20"/>
          <w:color w:val="auto"/>
        </w:rPr>
      </w:pPr>
    </w:p>
    <w:p>
      <w:pPr>
        <w:spacing w:after="0" w:line="346" w:lineRule="exact"/>
        <w:rPr>
          <w:sz w:val="20"/>
          <w:szCs w:val="20"/>
          <w:color w:val="auto"/>
        </w:rPr>
      </w:pPr>
    </w:p>
    <w:p>
      <w:pPr>
        <w:ind w:left="420" w:hanging="419"/>
        <w:spacing w:after="0"/>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COMPREHENSIVE INCOME</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gridSpan w:val="6"/>
          </w:tcPr>
          <w:p>
            <w:pPr>
              <w:jc w:val="right"/>
              <w:ind w:right="145"/>
              <w:spacing w:after="0"/>
              <w:rPr>
                <w:sz w:val="20"/>
                <w:szCs w:val="20"/>
                <w:color w:val="auto"/>
              </w:rPr>
            </w:pPr>
            <w:r>
              <w:rPr>
                <w:rFonts w:ascii="Arial" w:cs="Arial" w:eastAsia="Arial" w:hAnsi="Arial"/>
                <w:sz w:val="13"/>
                <w:szCs w:val="13"/>
                <w:b w:val="1"/>
                <w:bCs w:val="1"/>
                <w:color w:val="auto"/>
              </w:rPr>
              <w:t>For the Years ended December 31,</w:t>
            </w:r>
          </w:p>
        </w:tc>
        <w:tc>
          <w:tcPr>
            <w:tcW w:w="1080" w:type="dxa"/>
            <w:vAlign w:val="bottom"/>
          </w:tcPr>
          <w:p>
            <w:pPr>
              <w:spacing w:after="0"/>
              <w:rPr>
                <w:sz w:val="16"/>
                <w:szCs w:val="16"/>
                <w:color w:val="auto"/>
              </w:rPr>
            </w:pPr>
          </w:p>
        </w:tc>
      </w:tr>
      <w:tr>
        <w:trPr>
          <w:trHeight w:val="189"/>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2020</w:t>
            </w:r>
          </w:p>
        </w:tc>
      </w:tr>
      <w:tr>
        <w:trPr>
          <w:trHeight w:val="181"/>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0"/>
        </w:trPr>
        <w:tc>
          <w:tcPr>
            <w:tcW w:w="6440" w:type="dxa"/>
            <w:vAlign w:val="bottom"/>
          </w:tcPr>
          <w:p>
            <w:pPr>
              <w:ind w:left="200"/>
              <w:spacing w:after="0"/>
              <w:rPr>
                <w:sz w:val="20"/>
                <w:szCs w:val="20"/>
                <w:color w:val="auto"/>
              </w:rPr>
            </w:pPr>
            <w:r>
              <w:rPr>
                <w:rFonts w:ascii="Arial" w:cs="Arial" w:eastAsia="Arial" w:hAnsi="Arial"/>
                <w:sz w:val="15"/>
                <w:szCs w:val="15"/>
                <w:color w:val="auto"/>
              </w:rPr>
              <w:t>Balance at beginning of period</w:t>
            </w: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920,589</w:t>
            </w:r>
          </w:p>
        </w:tc>
        <w:tc>
          <w:tcPr>
            <w:tcW w:w="160" w:type="dxa"/>
            <w:vAlign w:val="bottom"/>
          </w:tcPr>
          <w:p>
            <w:pPr>
              <w:spacing w:after="0"/>
              <w:rPr>
                <w:sz w:val="17"/>
                <w:szCs w:val="17"/>
                <w:color w:val="auto"/>
              </w:rPr>
            </w:pPr>
          </w:p>
        </w:tc>
        <w:tc>
          <w:tcPr>
            <w:tcW w:w="36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769,045</w:t>
            </w:r>
          </w:p>
        </w:tc>
        <w:tc>
          <w:tcPr>
            <w:tcW w:w="22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(2,384,589)</w:t>
            </w: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comprehensive income (loss) before reclassifications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(4,952,828)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151,544</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3,153,634</w:t>
            </w:r>
          </w:p>
        </w:tc>
      </w:tr>
      <w:tr>
        <w:trPr>
          <w:trHeight w:val="193"/>
        </w:trPr>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current-period change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(4,952,828)</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151,544</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3,153,634</w:t>
            </w:r>
          </w:p>
        </w:tc>
      </w:tr>
      <w:tr>
        <w:trPr>
          <w:trHeight w:val="195"/>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end of period</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(4,032,239)</w:t>
            </w:r>
          </w:p>
        </w:tc>
        <w:tc>
          <w:tcPr>
            <w:tcW w:w="1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920,589</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769,045</w:t>
            </w:r>
          </w:p>
        </w:tc>
      </w:tr>
      <w:tr>
        <w:trPr>
          <w:trHeight w:val="180"/>
        </w:trPr>
        <w:tc>
          <w:tcPr>
            <w:tcW w:w="6440" w:type="dxa"/>
            <w:vAlign w:val="bottom"/>
          </w:tcPr>
          <w:p>
            <w:pPr>
              <w:ind w:left="20"/>
              <w:spacing w:after="0"/>
              <w:rPr>
                <w:sz w:val="20"/>
                <w:szCs w:val="20"/>
                <w:color w:val="auto"/>
              </w:rPr>
            </w:pPr>
            <w:r>
              <w:rPr>
                <w:rFonts w:ascii="Arial" w:cs="Arial" w:eastAsia="Arial" w:hAnsi="Arial"/>
                <w:sz w:val="15"/>
                <w:szCs w:val="15"/>
                <w:color w:val="auto"/>
              </w:rPr>
              <w:t>Unrealized gains (losses) on available-for-sale securities: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beginning of period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1,006,655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6,082,007</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1,095,486</w:t>
            </w:r>
          </w:p>
        </w:tc>
      </w:tr>
      <w:tr>
        <w:trPr>
          <w:trHeight w:val="200"/>
        </w:trPr>
        <w:tc>
          <w:tcPr>
            <w:tcW w:w="6440" w:type="dxa"/>
            <w:vAlign w:val="bottom"/>
          </w:tcPr>
          <w:p>
            <w:pPr>
              <w:ind w:left="200"/>
              <w:spacing w:after="0"/>
              <w:rPr>
                <w:sz w:val="20"/>
                <w:szCs w:val="20"/>
                <w:color w:val="auto"/>
              </w:rPr>
            </w:pPr>
            <w:r>
              <w:rPr>
                <w:rFonts w:ascii="Arial" w:cs="Arial" w:eastAsia="Arial" w:hAnsi="Arial"/>
                <w:sz w:val="15"/>
                <w:szCs w:val="15"/>
                <w:color w:val="auto"/>
              </w:rPr>
              <w:t>Other comprehensive income before reclassifications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(12,470,515)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(4,228,434)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6,644,459</w:t>
            </w: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Amounts reclassified from accumulated other comprehensive income</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1,353,165</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(846,918)</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(1,657,938)</w:t>
            </w:r>
          </w:p>
        </w:tc>
      </w:tr>
      <w:tr>
        <w:trPr>
          <w:trHeight w:val="193"/>
        </w:trPr>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current-period change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(11,117,350)</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(5,075,352)</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4,986,521</w:t>
            </w:r>
          </w:p>
        </w:tc>
      </w:tr>
      <w:tr>
        <w:trPr>
          <w:trHeight w:val="194"/>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end of period</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(10,110,695)</w:t>
            </w:r>
          </w:p>
        </w:tc>
        <w:tc>
          <w:tcPr>
            <w:tcW w:w="1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1,006,655</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6,082,007</w:t>
            </w:r>
          </w:p>
        </w:tc>
      </w:tr>
      <w:tr>
        <w:trPr>
          <w:trHeight w:val="120"/>
        </w:trPr>
        <w:tc>
          <w:tcPr>
            <w:tcW w:w="6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 income, end of period</w:t>
            </w: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(14,142,934)</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1,927,244</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6,851,052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All amounts are shown net of tax. Amounts in parentheses indicate debits.</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details of reclassifications out of accumulated other comprehensive income for the years ended December 31, 2022, 2021 and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gridSpan w:val="2"/>
          </w:tcPr>
          <w:p>
            <w:pPr>
              <w:ind w:left="20"/>
              <w:spacing w:after="0"/>
              <w:rPr>
                <w:sz w:val="20"/>
                <w:szCs w:val="20"/>
                <w:color w:val="auto"/>
              </w:rPr>
            </w:pPr>
            <w:r>
              <w:rPr>
                <w:rFonts w:ascii="Arial" w:cs="Arial" w:eastAsia="Arial" w:hAnsi="Arial"/>
                <w:sz w:val="13"/>
                <w:szCs w:val="13"/>
                <w:b w:val="1"/>
                <w:bCs w:val="1"/>
                <w:color w:val="auto"/>
              </w:rPr>
              <w:t>Details about Accumulated Other Comprehensive</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40" w:type="dxa"/>
            <w:vAlign w:val="bottom"/>
          </w:tcPr>
          <w:p>
            <w:pPr>
              <w:jc w:val="center"/>
              <w:ind w:left="88"/>
              <w:spacing w:after="0"/>
              <w:rPr>
                <w:sz w:val="20"/>
                <w:szCs w:val="20"/>
                <w:color w:val="auto"/>
              </w:rPr>
            </w:pPr>
            <w:r>
              <w:rPr>
                <w:rFonts w:ascii="Arial" w:cs="Arial" w:eastAsia="Arial" w:hAnsi="Arial"/>
                <w:sz w:val="13"/>
                <w:szCs w:val="13"/>
                <w:b w:val="1"/>
                <w:bCs w:val="1"/>
                <w:color w:val="auto"/>
              </w:rPr>
              <w:t>Affected Line item in the Statement of</w:t>
            </w:r>
          </w:p>
        </w:tc>
      </w:tr>
      <w:tr>
        <w:trPr>
          <w:trHeight w:val="176"/>
        </w:trPr>
        <w:tc>
          <w:tcPr>
            <w:tcW w:w="3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Components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40" w:type="dxa"/>
            <w:vAlign w:val="bottom"/>
          </w:tcPr>
          <w:p>
            <w:pPr>
              <w:jc w:val="center"/>
              <w:ind w:left="88"/>
              <w:spacing w:after="0"/>
              <w:rPr>
                <w:sz w:val="20"/>
                <w:szCs w:val="20"/>
                <w:color w:val="auto"/>
              </w:rPr>
            </w:pPr>
            <w:r>
              <w:rPr>
                <w:rFonts w:ascii="Arial" w:cs="Arial" w:eastAsia="Arial" w:hAnsi="Arial"/>
                <w:sz w:val="13"/>
                <w:szCs w:val="13"/>
                <w:b w:val="1"/>
                <w:bCs w:val="1"/>
                <w:color w:val="auto"/>
              </w:rPr>
              <w:t>Consolidated Income</w:t>
            </w:r>
          </w:p>
        </w:tc>
      </w:tr>
      <w:tr>
        <w:trPr>
          <w:trHeight w:val="181"/>
        </w:trPr>
        <w:tc>
          <w:tcPr>
            <w:tcW w:w="3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gridSpan w:val="6"/>
          </w:tcPr>
          <w:p>
            <w:pPr>
              <w:jc w:val="right"/>
              <w:ind w:right="85"/>
              <w:spacing w:after="0"/>
              <w:rPr>
                <w:sz w:val="20"/>
                <w:szCs w:val="20"/>
                <w:color w:val="auto"/>
              </w:rPr>
            </w:pPr>
            <w:r>
              <w:rPr>
                <w:rFonts w:ascii="Arial" w:cs="Arial" w:eastAsia="Arial" w:hAnsi="Arial"/>
                <w:sz w:val="13"/>
                <w:szCs w:val="13"/>
                <w:b w:val="1"/>
                <w:bCs w:val="1"/>
                <w:color w:val="auto"/>
              </w:rPr>
              <w:t>For the Years ended December 31,</w:t>
            </w:r>
          </w:p>
        </w:tc>
        <w:tc>
          <w:tcPr>
            <w:tcW w:w="104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r>
      <w:tr>
        <w:trPr>
          <w:trHeight w:val="189"/>
        </w:trPr>
        <w:tc>
          <w:tcPr>
            <w:tcW w:w="35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2020</w:t>
            </w:r>
          </w:p>
        </w:tc>
        <w:tc>
          <w:tcPr>
            <w:tcW w:w="2940" w:type="dxa"/>
            <w:vAlign w:val="bottom"/>
            <w:tcBorders>
              <w:bottom w:val="single" w:sz="8" w:color="CCEEFF"/>
            </w:tcBorders>
          </w:tcPr>
          <w:p>
            <w:pPr>
              <w:spacing w:after="0"/>
              <w:rPr>
                <w:sz w:val="16"/>
                <w:szCs w:val="16"/>
                <w:color w:val="auto"/>
              </w:rPr>
            </w:pPr>
          </w:p>
        </w:tc>
      </w:tr>
      <w:tr>
        <w:trPr>
          <w:trHeight w:val="131"/>
        </w:trPr>
        <w:tc>
          <w:tcPr>
            <w:tcW w:w="370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5"/>
                <w:szCs w:val="15"/>
                <w:color w:val="auto"/>
              </w:rPr>
              <w:t>Unrealized gains on available-for-sale debt</w:t>
            </w: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r>
      <w:tr>
        <w:trPr>
          <w:trHeight w:val="20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securities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r>
      <w:tr>
        <w:trPr>
          <w:trHeight w:val="200"/>
        </w:trPr>
        <w:tc>
          <w:tcPr>
            <w:tcW w:w="3700" w:type="dxa"/>
            <w:vAlign w:val="bottom"/>
            <w:gridSpan w:val="2"/>
          </w:tcPr>
          <w:p>
            <w:pPr>
              <w:ind w:left="200"/>
              <w:spacing w:after="0"/>
              <w:rPr>
                <w:sz w:val="20"/>
                <w:szCs w:val="20"/>
                <w:color w:val="auto"/>
              </w:rPr>
            </w:pPr>
            <w:r>
              <w:rPr>
                <w:rFonts w:ascii="Arial" w:cs="Arial" w:eastAsia="Arial" w:hAnsi="Arial"/>
                <w:sz w:val="15"/>
                <w:szCs w:val="15"/>
                <w:color w:val="auto"/>
              </w:rPr>
              <w:t>Realized gain on sale of securities</w:t>
            </w: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(1,712,867)</w:t>
            </w:r>
          </w:p>
        </w:tc>
        <w:tc>
          <w:tcPr>
            <w:tcW w:w="22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1,072,048</w:t>
            </w:r>
          </w:p>
        </w:tc>
        <w:tc>
          <w:tcPr>
            <w:tcW w:w="180" w:type="dxa"/>
            <w:vAlign w:val="bottom"/>
          </w:tcPr>
          <w:p>
            <w:pPr>
              <w:spacing w:after="0"/>
              <w:rPr>
                <w:sz w:val="17"/>
                <w:szCs w:val="17"/>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2,098,656</w:t>
            </w:r>
          </w:p>
        </w:tc>
        <w:tc>
          <w:tcPr>
            <w:tcW w:w="2940" w:type="dxa"/>
            <w:vAlign w:val="bottom"/>
          </w:tcPr>
          <w:p>
            <w:pPr>
              <w:ind w:left="180"/>
              <w:spacing w:after="0"/>
              <w:rPr>
                <w:sz w:val="20"/>
                <w:szCs w:val="20"/>
                <w:color w:val="auto"/>
              </w:rPr>
            </w:pPr>
            <w:r>
              <w:rPr>
                <w:rFonts w:ascii="Arial" w:cs="Arial" w:eastAsia="Arial" w:hAnsi="Arial"/>
                <w:sz w:val="15"/>
                <w:szCs w:val="15"/>
                <w:color w:val="auto"/>
              </w:rPr>
              <w:t>Other income, net</w:t>
            </w:r>
          </w:p>
        </w:tc>
      </w:tr>
      <w:tr>
        <w:trPr>
          <w:trHeight w:val="201"/>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359,702</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(225,130)</w:t>
            </w:r>
          </w:p>
        </w:tc>
        <w:tc>
          <w:tcPr>
            <w:tcW w:w="1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(440,718)</w:t>
            </w:r>
          </w:p>
        </w:tc>
        <w:tc>
          <w:tcPr>
            <w:tcW w:w="2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Provision for Income Taxes</w:t>
            </w:r>
          </w:p>
        </w:tc>
      </w:tr>
      <w:tr>
        <w:trPr>
          <w:trHeight w:val="195"/>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Total reclassifications for the period</w:t>
            </w: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(1,353,165)</w:t>
            </w:r>
          </w:p>
        </w:tc>
        <w:tc>
          <w:tcPr>
            <w:tcW w:w="220" w:type="dxa"/>
            <w:vAlign w:val="bottom"/>
          </w:tcPr>
          <w:p>
            <w:pPr>
              <w:spacing w:after="0"/>
              <w:rPr>
                <w:sz w:val="16"/>
                <w:szCs w:val="16"/>
                <w:color w:val="auto"/>
              </w:rPr>
            </w:pP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846,918</w:t>
            </w:r>
          </w:p>
        </w:tc>
        <w:tc>
          <w:tcPr>
            <w:tcW w:w="180" w:type="dxa"/>
            <w:vAlign w:val="bottom"/>
          </w:tcPr>
          <w:p>
            <w:pPr>
              <w:spacing w:after="0"/>
              <w:rPr>
                <w:sz w:val="16"/>
                <w:szCs w:val="16"/>
                <w:color w:val="auto"/>
              </w:rPr>
            </w:pP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1,657,938</w:t>
            </w:r>
          </w:p>
        </w:tc>
        <w:tc>
          <w:tcPr>
            <w:tcW w:w="2940" w:type="dxa"/>
            <w:vAlign w:val="bottom"/>
          </w:tcPr>
          <w:p>
            <w:pPr>
              <w:ind w:left="180"/>
              <w:spacing w:after="0"/>
              <w:rPr>
                <w:sz w:val="20"/>
                <w:szCs w:val="20"/>
                <w:color w:val="auto"/>
              </w:rPr>
            </w:pPr>
            <w:r>
              <w:rPr>
                <w:rFonts w:ascii="Arial" w:cs="Arial" w:eastAsia="Arial" w:hAnsi="Arial"/>
                <w:sz w:val="15"/>
                <w:szCs w:val="15"/>
                <w:color w:val="auto"/>
              </w:rPr>
              <w:t>Net of tax</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0" w:hanging="539"/>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GOODWILL AND INTANGIBLE ASSETS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recorded Goodwill of: $307.4 million related to the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acquisition in 2013; $3.7 million as part of the acquisition of Vaporsens, Inc. ("Vaporsens") in the second quarter of 2020; $0.2 million as part of the acquisition of Air-Craftglass Production BV ("Air-Craftglass") in the third quarter of 2020; $1.0 million as part of the acquisition of Argil, Inc. ("Argil") in the fourth quarter of 2020; and $2.0 million as part of the acquisition of Guardian Optical Technologies ("Guardian") in the first quarter of 2021. Refer to </w:t>
      </w:r>
      <w:r>
        <w:rPr>
          <w:rFonts w:ascii="Arial" w:cs="Arial" w:eastAsia="Arial" w:hAnsi="Arial"/>
          <w:sz w:val="17"/>
          <w:szCs w:val="17"/>
          <w:u w:val="single" w:color="auto"/>
          <w:color w:val="0000FF"/>
        </w:rPr>
        <w:t>Note 12, "Acquisitions"</w:t>
      </w:r>
      <w:r>
        <w:rPr>
          <w:rFonts w:ascii="Arial" w:cs="Arial" w:eastAsia="Arial" w:hAnsi="Arial"/>
          <w:sz w:val="17"/>
          <w:szCs w:val="17"/>
          <w:color w:val="auto"/>
        </w:rPr>
        <w:t>, for further information on the Guardian acquisition. The carrying value of Goodwill as of December 31, 2022 and December 31, 2021 was $313.8 million and $314.0 million, respectively, as set forth in the table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Carrying Amount</w:t>
            </w:r>
          </w:p>
        </w:tc>
      </w:tr>
      <w:tr>
        <w:trPr>
          <w:trHeight w:val="207"/>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2021</w:t>
            </w: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313,960,209</w:t>
            </w:r>
          </w:p>
        </w:tc>
      </w:tr>
      <w:tr>
        <w:trPr>
          <w:trHeight w:val="214"/>
        </w:trPr>
        <w:tc>
          <w:tcPr>
            <w:tcW w:w="932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Divestitures</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320" w:type="dxa"/>
            <w:vAlign w:val="bottom"/>
          </w:tcPr>
          <w:p>
            <w:pPr>
              <w:ind w:left="20"/>
              <w:spacing w:after="0"/>
              <w:rPr>
                <w:sz w:val="20"/>
                <w:szCs w:val="20"/>
                <w:color w:val="auto"/>
              </w:rPr>
            </w:pPr>
            <w:r>
              <w:rPr>
                <w:rFonts w:ascii="Arial" w:cs="Arial" w:eastAsia="Arial" w:hAnsi="Arial"/>
                <w:sz w:val="17"/>
                <w:szCs w:val="17"/>
                <w:color w:val="auto"/>
              </w:rPr>
              <w:t>Impairments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(152,715)</w:t>
            </w:r>
          </w:p>
        </w:tc>
      </w:tr>
      <w:tr>
        <w:trPr>
          <w:trHeight w:val="206"/>
        </w:trPr>
        <w:tc>
          <w:tcPr>
            <w:tcW w:w="9320" w:type="dxa"/>
            <w:vAlign w:val="bottom"/>
          </w:tcPr>
          <w:p>
            <w:pPr>
              <w:ind w:left="20"/>
              <w:spacing w:after="0"/>
              <w:rPr>
                <w:sz w:val="20"/>
                <w:szCs w:val="20"/>
                <w:color w:val="auto"/>
              </w:rPr>
            </w:pPr>
            <w:r>
              <w:rPr>
                <w:rFonts w:ascii="Arial" w:cs="Arial" w:eastAsia="Arial" w:hAnsi="Arial"/>
                <w:sz w:val="17"/>
                <w:szCs w:val="17"/>
                <w:color w:val="auto"/>
              </w:rPr>
              <w:t>Balance as of December 31, 2022</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313,807,494</w:t>
            </w:r>
          </w:p>
        </w:tc>
      </w:tr>
      <w:tr>
        <w:trPr>
          <w:trHeight w:val="20"/>
        </w:trPr>
        <w:tc>
          <w:tcPr>
            <w:tcW w:w="9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reviews goodwill and IPR&amp;D for impairment during the fourth quarter on an annual basis or more frequently if events or changes in circumstances indicate that goodwill might be impaired. The Company performed a qualitative assessment (step 0) to determine whether it is more likely than not that a reporting unit or intangible asset's fair value is less than its carrying amount. Based on this test, the Company determined they were not and that no additional impairment testing was needed. The Company has not recognized any impairment of goodwill or IPR&amp;D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including supply chain disruptions and electronics components shortage, that might negatively impact the key assumptions were observed in 2022 and, as such, nothing indicated the need for interim impairment testing.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and related change in carrying values are set forth in the table below as of December 31, 2022 and December 31, 2021.</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Other Intangible Assets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Gross</w:t>
            </w: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Accumulated Amortization</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Net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Assumed Useful Life</w:t>
            </w:r>
          </w:p>
        </w:tc>
      </w:tr>
      <w:tr>
        <w:trPr>
          <w:trHeight w:val="207"/>
        </w:trPr>
        <w:tc>
          <w:tcPr>
            <w:tcW w:w="452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 Names and Trademarks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r>
      <w:tr>
        <w:trPr>
          <w:trHeight w:val="214"/>
        </w:trPr>
        <w:tc>
          <w:tcPr>
            <w:tcW w:w="4520" w:type="dxa"/>
            <w:vAlign w:val="bottom"/>
          </w:tcPr>
          <w:p>
            <w:pPr>
              <w:ind w:left="20"/>
              <w:spacing w:after="0" w:line="214"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180,000,000</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(138,750,000)</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41,250,000</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12 years</w:t>
            </w: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Customer Platforms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(39,775,000)</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3,225,000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 years</w:t>
            </w:r>
          </w:p>
        </w:tc>
      </w:tr>
      <w:tr>
        <w:trPr>
          <w:trHeight w:val="214"/>
        </w:trPr>
        <w:tc>
          <w:tcPr>
            <w:tcW w:w="4520" w:type="dxa"/>
            <w:vAlign w:val="bottom"/>
          </w:tcPr>
          <w:p>
            <w:pPr>
              <w:ind w:left="20"/>
              <w:spacing w:after="0"/>
              <w:rPr>
                <w:sz w:val="20"/>
                <w:szCs w:val="20"/>
                <w:color w:val="auto"/>
              </w:rPr>
            </w:pPr>
            <w:r>
              <w:rPr>
                <w:rFonts w:ascii="Arial" w:cs="Arial" w:eastAsia="Arial" w:hAnsi="Arial"/>
                <w:sz w:val="17"/>
                <w:szCs w:val="17"/>
                <w:color w:val="auto"/>
              </w:rPr>
              <w:t>Exclusive Licensing Agreement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96,000,000</w:t>
            </w:r>
          </w:p>
        </w:tc>
        <w:tc>
          <w:tcPr>
            <w:tcW w:w="42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96,000,000</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Indefinite</w:t>
            </w: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Vaporsens In-Process R&amp;D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r>
      <w:tr>
        <w:trPr>
          <w:trHeight w:val="214"/>
        </w:trPr>
        <w:tc>
          <w:tcPr>
            <w:tcW w:w="4520" w:type="dxa"/>
            <w:vAlign w:val="bottom"/>
          </w:tcPr>
          <w:p>
            <w:pPr>
              <w:ind w:left="20"/>
              <w:spacing w:after="0"/>
              <w:rPr>
                <w:sz w:val="20"/>
                <w:szCs w:val="20"/>
                <w:color w:val="auto"/>
              </w:rPr>
            </w:pPr>
            <w:r>
              <w:rPr>
                <w:rFonts w:ascii="Arial" w:cs="Arial" w:eastAsia="Arial" w:hAnsi="Arial"/>
                <w:sz w:val="17"/>
                <w:szCs w:val="17"/>
                <w:color w:val="auto"/>
              </w:rPr>
              <w:t>Argil In-Process R&amp;D</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6,278,132</w:t>
            </w:r>
          </w:p>
        </w:tc>
        <w:tc>
          <w:tcPr>
            <w:tcW w:w="42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6,278,132</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Indefinite</w:t>
            </w: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Air-Craftglass In-Process R&amp;D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r>
      <w:tr>
        <w:trPr>
          <w:trHeight w:val="214"/>
        </w:trPr>
        <w:tc>
          <w:tcPr>
            <w:tcW w:w="4520" w:type="dxa"/>
            <w:vAlign w:val="bottom"/>
          </w:tcPr>
          <w:p>
            <w:pPr>
              <w:ind w:left="20"/>
              <w:spacing w:after="0"/>
              <w:rPr>
                <w:sz w:val="20"/>
                <w:szCs w:val="20"/>
                <w:color w:val="auto"/>
              </w:rPr>
            </w:pPr>
            <w:r>
              <w:rPr>
                <w:rFonts w:ascii="Arial" w:cs="Arial" w:eastAsia="Arial" w:hAnsi="Arial"/>
                <w:sz w:val="17"/>
                <w:szCs w:val="17"/>
                <w:color w:val="auto"/>
              </w:rPr>
              <w:t>Guardian Trade Names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1,300,000</w:t>
            </w:r>
          </w:p>
        </w:tc>
        <w:tc>
          <w:tcPr>
            <w:tcW w:w="42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1,300,000</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Indefinite</w:t>
            </w: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Guardian In-Process R&amp;D</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r>
      <w:tr>
        <w:trPr>
          <w:trHeight w:val="206"/>
        </w:trPr>
        <w:tc>
          <w:tcPr>
            <w:tcW w:w="4520" w:type="dxa"/>
            <w:vAlign w:val="bottom"/>
          </w:tcPr>
          <w:p>
            <w:pPr>
              <w:ind w:left="800"/>
              <w:spacing w:after="0"/>
              <w:rPr>
                <w:sz w:val="20"/>
                <w:szCs w:val="20"/>
                <w:color w:val="auto"/>
              </w:rPr>
            </w:pPr>
            <w:r>
              <w:rPr>
                <w:rFonts w:ascii="Arial" w:cs="Arial" w:eastAsia="Arial" w:hAnsi="Arial"/>
                <w:sz w:val="17"/>
                <w:szCs w:val="17"/>
                <w:color w:val="auto"/>
              </w:rPr>
              <w:t>Total other identifiable intangible assets</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397,885,910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(178,525,000)</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219,360,910</w:t>
            </w:r>
          </w:p>
        </w:tc>
        <w:tc>
          <w:tcPr>
            <w:tcW w:w="168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vMerge w:val="restart"/>
          </w:tcPr>
          <w:p>
            <w:pPr>
              <w:ind w:left="1440"/>
              <w:spacing w:after="0"/>
              <w:rPr>
                <w:sz w:val="20"/>
                <w:szCs w:val="20"/>
                <w:color w:val="auto"/>
              </w:rPr>
            </w:pPr>
            <w:r>
              <w:rPr>
                <w:rFonts w:ascii="Arial" w:cs="Arial" w:eastAsia="Arial" w:hAnsi="Arial"/>
                <w:sz w:val="13"/>
                <w:szCs w:val="13"/>
                <w:b w:val="1"/>
                <w:bCs w:val="1"/>
                <w:color w:val="auto"/>
              </w:rPr>
              <w:t>Other Intangible Assets</w:t>
            </w:r>
          </w:p>
        </w:tc>
        <w:tc>
          <w:tcPr>
            <w:tcW w:w="380" w:type="dxa"/>
            <w:vAlign w:val="bottom"/>
          </w:tcPr>
          <w:p>
            <w:pPr>
              <w:spacing w:after="0"/>
              <w:rPr>
                <w:sz w:val="13"/>
                <w:szCs w:val="13"/>
                <w:color w:val="auto"/>
              </w:rPr>
            </w:pPr>
          </w:p>
        </w:tc>
        <w:tc>
          <w:tcPr>
            <w:tcW w:w="1240" w:type="dxa"/>
            <w:vAlign w:val="bottom"/>
            <w:vMerge w:val="restart"/>
          </w:tcPr>
          <w:p>
            <w:pPr>
              <w:jc w:val="right"/>
              <w:ind w:right="518"/>
              <w:spacing w:after="0"/>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3"/>
                <w:szCs w:val="13"/>
                <w:color w:val="auto"/>
              </w:rPr>
            </w:pPr>
          </w:p>
        </w:tc>
        <w:tc>
          <w:tcPr>
            <w:tcW w:w="1380" w:type="dxa"/>
            <w:vAlign w:val="bottom"/>
          </w:tcPr>
          <w:p>
            <w:pPr>
              <w:ind w:left="140"/>
              <w:spacing w:after="0"/>
              <w:rPr>
                <w:sz w:val="20"/>
                <w:szCs w:val="20"/>
                <w:color w:val="auto"/>
              </w:rPr>
            </w:pPr>
            <w:r>
              <w:rPr>
                <w:rFonts w:ascii="Arial" w:cs="Arial" w:eastAsia="Arial" w:hAnsi="Arial"/>
                <w:sz w:val="13"/>
                <w:szCs w:val="13"/>
                <w:b w:val="1"/>
                <w:bCs w:val="1"/>
                <w:color w:val="auto"/>
              </w:rPr>
              <w:t>Accumulated</w:t>
            </w:r>
          </w:p>
        </w:tc>
        <w:tc>
          <w:tcPr>
            <w:tcW w:w="360" w:type="dxa"/>
            <w:vAlign w:val="bottom"/>
          </w:tcPr>
          <w:p>
            <w:pPr>
              <w:spacing w:after="0"/>
              <w:rPr>
                <w:sz w:val="13"/>
                <w:szCs w:val="13"/>
                <w:color w:val="auto"/>
              </w:rPr>
            </w:pPr>
          </w:p>
        </w:tc>
        <w:tc>
          <w:tcPr>
            <w:tcW w:w="1280" w:type="dxa"/>
            <w:vAlign w:val="bottom"/>
            <w:vMerge w:val="restart"/>
          </w:tcPr>
          <w:p>
            <w:pPr>
              <w:jc w:val="right"/>
              <w:ind w:right="638"/>
              <w:spacing w:after="0"/>
              <w:rPr>
                <w:sz w:val="20"/>
                <w:szCs w:val="20"/>
                <w:color w:val="auto"/>
              </w:rPr>
            </w:pPr>
            <w:r>
              <w:rPr>
                <w:rFonts w:ascii="Arial" w:cs="Arial" w:eastAsia="Arial" w:hAnsi="Arial"/>
                <w:sz w:val="13"/>
                <w:szCs w:val="13"/>
                <w:b w:val="1"/>
                <w:bCs w:val="1"/>
                <w:color w:val="auto"/>
              </w:rPr>
              <w:t>Net</w:t>
            </w:r>
          </w:p>
        </w:tc>
        <w:tc>
          <w:tcPr>
            <w:tcW w:w="19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Assumed Useful Life</w:t>
            </w:r>
          </w:p>
        </w:tc>
        <w:tc>
          <w:tcPr>
            <w:tcW w:w="0" w:type="dxa"/>
            <w:vAlign w:val="bottom"/>
          </w:tcPr>
          <w:p>
            <w:pPr>
              <w:spacing w:after="0"/>
              <w:rPr>
                <w:sz w:val="1"/>
                <w:szCs w:val="1"/>
                <w:color w:val="auto"/>
              </w:rPr>
            </w:pPr>
          </w:p>
        </w:tc>
      </w:tr>
      <w:tr>
        <w:trPr>
          <w:trHeight w:val="173"/>
        </w:trPr>
        <w:tc>
          <w:tcPr>
            <w:tcW w:w="43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Amortization</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 Names and Trademarks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2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line="214"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180,000,000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(123,750,000)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56,250,000</w:t>
            </w:r>
          </w:p>
        </w:tc>
        <w:tc>
          <w:tcPr>
            <w:tcW w:w="196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Customer Platforms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(35,475,000)</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7,525,000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 years</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Exclusive Licensing Agreement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96,000,000</w:t>
            </w:r>
          </w:p>
        </w:tc>
        <w:tc>
          <w:tcPr>
            <w:tcW w:w="280" w:type="dxa"/>
            <w:vAlign w:val="bottom"/>
          </w:tcPr>
          <w:p>
            <w:pPr>
              <w:spacing w:after="0"/>
              <w:rPr>
                <w:sz w:val="18"/>
                <w:szCs w:val="18"/>
                <w:color w:val="auto"/>
              </w:rPr>
            </w:pPr>
          </w:p>
        </w:tc>
        <w:tc>
          <w:tcPr>
            <w:tcW w:w="1380" w:type="dxa"/>
            <w:vAlign w:val="bottom"/>
          </w:tcPr>
          <w:p>
            <w:pPr>
              <w:ind w:left="1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96,000,000</w:t>
            </w:r>
          </w:p>
        </w:tc>
        <w:tc>
          <w:tcPr>
            <w:tcW w:w="196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Vaporsens In-Process R&amp;D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Argil In-Process R&amp;D</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6,278,132</w:t>
            </w:r>
          </w:p>
        </w:tc>
        <w:tc>
          <w:tcPr>
            <w:tcW w:w="280" w:type="dxa"/>
            <w:vAlign w:val="bottom"/>
          </w:tcPr>
          <w:p>
            <w:pPr>
              <w:spacing w:after="0"/>
              <w:rPr>
                <w:sz w:val="18"/>
                <w:szCs w:val="18"/>
                <w:color w:val="auto"/>
              </w:rPr>
            </w:pPr>
          </w:p>
        </w:tc>
        <w:tc>
          <w:tcPr>
            <w:tcW w:w="1380" w:type="dxa"/>
            <w:vAlign w:val="bottom"/>
          </w:tcPr>
          <w:p>
            <w:pPr>
              <w:ind w:left="1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6,278,132</w:t>
            </w:r>
          </w:p>
        </w:tc>
        <w:tc>
          <w:tcPr>
            <w:tcW w:w="196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Air-Craftglass In-Process R&amp;D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Guardian Trade Names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1,384,856</w:t>
            </w:r>
          </w:p>
        </w:tc>
        <w:tc>
          <w:tcPr>
            <w:tcW w:w="280" w:type="dxa"/>
            <w:vAlign w:val="bottom"/>
          </w:tcPr>
          <w:p>
            <w:pPr>
              <w:spacing w:after="0"/>
              <w:rPr>
                <w:sz w:val="18"/>
                <w:szCs w:val="18"/>
                <w:color w:val="auto"/>
              </w:rPr>
            </w:pPr>
          </w:p>
        </w:tc>
        <w:tc>
          <w:tcPr>
            <w:tcW w:w="1380" w:type="dxa"/>
            <w:vAlign w:val="bottom"/>
          </w:tcPr>
          <w:p>
            <w:pPr>
              <w:ind w:left="1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1,384,856</w:t>
            </w:r>
          </w:p>
        </w:tc>
        <w:tc>
          <w:tcPr>
            <w:tcW w:w="196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Guardian In-Process R&amp;D</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7,243,860</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7,243,860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720"/>
              <w:spacing w:after="0"/>
              <w:rPr>
                <w:sz w:val="20"/>
                <w:szCs w:val="20"/>
                <w:color w:val="auto"/>
              </w:rPr>
            </w:pPr>
            <w:r>
              <w:rPr>
                <w:rFonts w:ascii="Arial" w:cs="Arial" w:eastAsia="Arial" w:hAnsi="Arial"/>
                <w:sz w:val="17"/>
                <w:szCs w:val="17"/>
                <w:color w:val="auto"/>
              </w:rPr>
              <w:t>Total other identifiable intangible assets</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398,414,626</w:t>
            </w:r>
          </w:p>
        </w:tc>
        <w:tc>
          <w:tcPr>
            <w:tcW w:w="2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(159,225,000)</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239,189,626</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Accumulated amortization on patents and intangible assets was approximately $206.3 million and $185.7 million at December 31, 2022 and 2021, respectively. Amortization expense on patents and other intangible assets was approximately $21.7 million, $22.2 million, and $22.4 million in calendar years 2022, 2021 and 2019, respectively. At December 31, 2022, patents had a weighted average amortized life of 11 years.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Excluding the impact of any future acquisitions, the Company anticipates amortization expense including patents and other intangible assets to be approximately: $20 million for the year ended December 31, 2023; $16 million for the year ended December 31, 2024; $13 million for the year ended December 31, 2025; and $12 million for the years ended December 31, 2026 and December 31, 2027.</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9"/>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REVENUE</w:t>
      </w:r>
    </w:p>
    <w:p>
      <w:pPr>
        <w:spacing w:after="0" w:line="232"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The following table shows the Company’s Automotive and Other Products revenue disaggregated by geographical location for Automotive Products for the years ended December 31, 2022, 2021, and 2020:</w:t>
      </w:r>
    </w:p>
    <w:p>
      <w:pPr>
        <w:spacing w:after="0" w:line="200" w:lineRule="exact"/>
        <w:rPr>
          <w:sz w:val="20"/>
          <w:szCs w:val="20"/>
          <w:color w:val="auto"/>
        </w:rPr>
      </w:pP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30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For the Years ended December 31,</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2022</w:t>
            </w:r>
          </w:p>
        </w:tc>
        <w:tc>
          <w:tcPr>
            <w:tcW w:w="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2020</w:t>
            </w:r>
          </w:p>
        </w:tc>
      </w:tr>
      <w:tr>
        <w:trPr>
          <w:trHeight w:val="207"/>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Automotive Products</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U.S.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579,531,611</w:t>
            </w:r>
          </w:p>
        </w:tc>
        <w:tc>
          <w:tcPr>
            <w:tcW w:w="66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542,690,346</w:t>
            </w:r>
          </w:p>
        </w:tc>
        <w:tc>
          <w:tcPr>
            <w:tcW w:w="280" w:type="dxa"/>
            <w:vAlign w:val="bottom"/>
          </w:tcPr>
          <w:p>
            <w:pPr>
              <w:spacing w:after="0"/>
              <w:rPr>
                <w:sz w:val="18"/>
                <w:szCs w:val="18"/>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519,337,271</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Germany</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266,498,398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234,994,551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228,652,827</w:t>
            </w: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Japan</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234,888,653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211,417,475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216,100,530</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Mexico</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121,553,711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111,761,245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127,157,684</w:t>
            </w:r>
          </w:p>
        </w:tc>
      </w:tr>
      <w:tr>
        <w:trPr>
          <w:trHeight w:val="214"/>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672,270,085</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596,324,417</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556,949,831</w:t>
            </w: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Automotive Products</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1,874,742,458</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1,697,188,034</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1,648,198,143</w:t>
            </w:r>
          </w:p>
        </w:tc>
      </w:tr>
      <w:tr>
        <w:trPr>
          <w:trHeight w:val="214"/>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Products (U.S.)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44,215,585</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33,981,895</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39,991,262</w:t>
            </w:r>
          </w:p>
        </w:tc>
      </w:tr>
      <w:tr>
        <w:trPr>
          <w:trHeight w:val="23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1,918,958,043</w:t>
            </w:r>
          </w:p>
        </w:tc>
        <w:tc>
          <w:tcPr>
            <w:tcW w:w="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1,731,169,929</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1,688,189,405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both"/>
        <w:ind w:left="600"/>
        <w:spacing w:after="0" w:line="257" w:lineRule="auto"/>
        <w:rPr>
          <w:sz w:val="20"/>
          <w:szCs w:val="20"/>
          <w:color w:val="auto"/>
        </w:rPr>
      </w:pPr>
      <w:r>
        <w:rPr>
          <w:rFonts w:ascii="Arial" w:cs="Arial" w:eastAsia="Arial" w:hAnsi="Arial"/>
          <w:sz w:val="17"/>
          <w:szCs w:val="17"/>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194"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The following table disaggregates the Company’s Automotive and Other revenue by major source for the years ended December 31, 2022, 2021, and 2020:</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3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0" w:type="dxa"/>
            <w:vAlign w:val="bottom"/>
            <w:gridSpan w:val="4"/>
            <w:shd w:val="clear" w:color="auto" w:fill="CCEEFF"/>
          </w:tcPr>
          <w:p>
            <w:pPr>
              <w:ind w:left="200"/>
              <w:spacing w:after="0"/>
              <w:rPr>
                <w:sz w:val="20"/>
                <w:szCs w:val="20"/>
                <w:color w:val="auto"/>
              </w:rPr>
            </w:pPr>
            <w:r>
              <w:rPr>
                <w:rFonts w:ascii="Arial" w:cs="Arial" w:eastAsia="Arial" w:hAnsi="Arial"/>
                <w:sz w:val="13"/>
                <w:szCs w:val="13"/>
                <w:b w:val="1"/>
                <w:bCs w:val="1"/>
                <w:color w:val="auto"/>
              </w:rPr>
              <w:t>For the Years Ended December 31,</w:t>
            </w: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b w:val="1"/>
                <w:bCs w:val="1"/>
                <w:color w:val="auto"/>
              </w:rPr>
              <w:t>2020</w:t>
            </w: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Automotive Segment</w:t>
            </w: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Automotive Mirrors &amp; Electronics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1,742,196,401</w:t>
            </w:r>
          </w:p>
        </w:tc>
        <w:tc>
          <w:tcPr>
            <w:tcW w:w="780" w:type="dxa"/>
            <w:vAlign w:val="bottom"/>
            <w:gridSpan w:val="2"/>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1,563,424,443</w:t>
            </w:r>
          </w:p>
        </w:tc>
        <w:tc>
          <w:tcPr>
            <w:tcW w:w="420" w:type="dxa"/>
            <w:vAlign w:val="bottom"/>
          </w:tcPr>
          <w:p>
            <w:pPr>
              <w:spacing w:after="0"/>
              <w:rPr>
                <w:sz w:val="18"/>
                <w:szCs w:val="18"/>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1,520,628,604</w:t>
            </w: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HomeLink Modules*</w:t>
            </w: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132,546,057</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133,763,591</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127,569,539</w:t>
            </w:r>
          </w:p>
        </w:tc>
      </w:tr>
      <w:tr>
        <w:trPr>
          <w:trHeight w:val="206"/>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Automotive Products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1,874,742,458</w:t>
            </w: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1,697,188,034</w:t>
            </w: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1,648,198,143</w:t>
            </w:r>
          </w:p>
        </w:tc>
      </w:tr>
      <w:tr>
        <w:trPr>
          <w:trHeight w:val="232"/>
        </w:trPr>
        <w:tc>
          <w:tcPr>
            <w:tcW w:w="3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4"/>
        </w:trPr>
        <w:tc>
          <w:tcPr>
            <w:tcW w:w="3800" w:type="dxa"/>
            <w:vAlign w:val="bottom"/>
          </w:tcPr>
          <w:p>
            <w:pPr>
              <w:ind w:left="20"/>
              <w:spacing w:after="0"/>
              <w:rPr>
                <w:sz w:val="20"/>
                <w:szCs w:val="20"/>
                <w:color w:val="auto"/>
              </w:rPr>
            </w:pPr>
            <w:r>
              <w:rPr>
                <w:rFonts w:ascii="Arial" w:cs="Arial" w:eastAsia="Arial" w:hAnsi="Arial"/>
                <w:sz w:val="17"/>
                <w:szCs w:val="17"/>
                <w:color w:val="auto"/>
              </w:rPr>
              <w:t>Other Segment</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Fire Protection Products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38,238,092</w:t>
            </w:r>
          </w:p>
        </w:tc>
        <w:tc>
          <w:tcPr>
            <w:tcW w:w="78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25,048,697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22,716,985</w:t>
            </w: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Windows Products</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5,977,493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8,914,798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17,274,277</w:t>
            </w: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Nanofiber Products</w:t>
            </w: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18,400</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44,215,585</w:t>
            </w: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33,981,895</w:t>
            </w: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39,991,262</w:t>
            </w:r>
          </w:p>
        </w:tc>
      </w:tr>
      <w:tr>
        <w:trPr>
          <w:trHeight w:val="232"/>
        </w:trPr>
        <w:tc>
          <w:tcPr>
            <w:tcW w:w="3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bl>
    <w:p>
      <w:pPr>
        <w:ind w:left="620"/>
        <w:spacing w:after="0"/>
        <w:rPr>
          <w:sz w:val="20"/>
          <w:szCs w:val="20"/>
          <w:color w:val="auto"/>
        </w:rPr>
      </w:pPr>
      <w:r>
        <w:rPr>
          <w:rFonts w:ascii="Arial" w:cs="Arial" w:eastAsia="Arial" w:hAnsi="Arial"/>
          <w:sz w:val="17"/>
          <w:szCs w:val="17"/>
          <w:color w:val="auto"/>
        </w:rPr>
        <w:t>*Excludes HomeLink revenue related to HomeLink modules integrated into automotive mirrors.</w:t>
      </w:r>
    </w:p>
    <w:p>
      <w:pPr>
        <w:spacing w:after="0" w:line="304"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entered into in the ordinary course of business and Purchase Orders ("PO") whereby the LTSA sometimes stipulates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600"/>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The Company does not incur any incremental cost to obtain contracts. Costs are incurred to fulfill contracts with the OEM. However, such costs are accounted for under ASC 340-10, and are not treated as fulfillment costs under ASC 340-40.</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Automotive Products Segment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Automotive Rearview Mirrors and Electronics</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7"/>
          <w:szCs w:val="17"/>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applications in the vehicle including the rearview mirror, interior visor, overhead console, or center console.</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HomeLink</w:t>
      </w:r>
      <w:r>
        <w:rPr>
          <w:rFonts w:ascii="Arial" w:cs="Arial" w:eastAsia="Arial" w:hAnsi="Arial"/>
          <w:sz w:val="21"/>
          <w:szCs w:val="21"/>
          <w:b w:val="1"/>
          <w:bCs w:val="1"/>
          <w:color w:val="auto"/>
          <w:vertAlign w:val="superscript"/>
        </w:rPr>
        <w:t>®</w:t>
      </w:r>
      <w:r>
        <w:rPr>
          <w:rFonts w:ascii="Arial" w:cs="Arial" w:eastAsia="Arial" w:hAnsi="Arial"/>
          <w:sz w:val="17"/>
          <w:szCs w:val="17"/>
          <w:b w:val="1"/>
          <w:bCs w:val="1"/>
          <w:color w:val="auto"/>
        </w:rPr>
        <w:t xml:space="preserve"> Modules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manufactures and sells HomeLink®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Segment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Dimmable Aircraft Windows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65405</wp:posOffset>
            </wp:positionV>
            <wp:extent cx="716724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40"/>
          </w:cols>
          <w:pgMar w:left="9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Fire Protection Products</w:t>
      </w:r>
    </w:p>
    <w:p>
      <w:pPr>
        <w:spacing w:after="0" w:line="232" w:lineRule="exact"/>
        <w:rPr>
          <w:sz w:val="20"/>
          <w:szCs w:val="20"/>
          <w:color w:val="auto"/>
        </w:rPr>
      </w:pPr>
    </w:p>
    <w:p>
      <w:pPr>
        <w:jc w:val="both"/>
        <w:ind w:left="600"/>
        <w:spacing w:after="0" w:line="255" w:lineRule="auto"/>
        <w:rPr>
          <w:sz w:val="20"/>
          <w:szCs w:val="20"/>
          <w:color w:val="auto"/>
        </w:rPr>
      </w:pPr>
      <w:r>
        <w:rPr>
          <w:rFonts w:ascii="Arial" w:cs="Arial" w:eastAsia="Arial" w:hAnsi="Arial"/>
          <w:sz w:val="17"/>
          <w:szCs w:val="17"/>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Nanofiber</w:t>
      </w:r>
    </w:p>
    <w:p>
      <w:pPr>
        <w:spacing w:after="0" w:line="232"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 xml:space="preserve">The Company acquired Vaporsens in early 2020, which specializes in nanofiber chemical sensing research and development. Vaporsens is primarily involved with research and development of technology related to nanofibers sensing a variety of chemicals and/or compounds. Refer to </w:t>
      </w:r>
      <w:r>
        <w:rPr>
          <w:rFonts w:ascii="Arial" w:cs="Arial" w:eastAsia="Arial" w:hAnsi="Arial"/>
          <w:sz w:val="17"/>
          <w:szCs w:val="17"/>
          <w:u w:val="single" w:color="auto"/>
          <w:color w:val="0000FF"/>
        </w:rPr>
        <w:t>Note 12, "Acquisitions"</w:t>
      </w:r>
      <w:r>
        <w:rPr>
          <w:rFonts w:ascii="Arial" w:cs="Arial" w:eastAsia="Arial" w:hAnsi="Arial"/>
          <w:sz w:val="17"/>
          <w:szCs w:val="17"/>
          <w:color w:val="auto"/>
        </w:rPr>
        <w:t>, for further information.</w:t>
      </w:r>
    </w:p>
    <w:p>
      <w:pPr>
        <w:spacing w:after="0" w:line="200" w:lineRule="exact"/>
        <w:rPr>
          <w:sz w:val="20"/>
          <w:szCs w:val="20"/>
          <w:color w:val="auto"/>
        </w:rPr>
      </w:pPr>
    </w:p>
    <w:p>
      <w:pPr>
        <w:spacing w:after="0" w:line="214" w:lineRule="exact"/>
        <w:rPr>
          <w:sz w:val="20"/>
          <w:szCs w:val="20"/>
          <w:color w:val="auto"/>
        </w:rPr>
      </w:pPr>
    </w:p>
    <w:p>
      <w:pPr>
        <w:ind w:left="480" w:hanging="479"/>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ACQUISITIONS</w:t>
      </w:r>
    </w:p>
    <w:p>
      <w:pPr>
        <w:spacing w:after="0" w:line="232"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On March 3, 2021 the Company acquired Guardian for approximately $12.0 million. Guardian is an Israeli research and development company that specializes in in-cabin sensing technologies for the automotive industry. The Company funded the acquisition with cash on hand. The valuation process was completed during the fourth quarter of 2021.</w:t>
      </w:r>
    </w:p>
    <w:p>
      <w:pPr>
        <w:spacing w:after="0" w:line="188"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 xml:space="preserve">Guardian is now a 100% owned subsidiary of the Company as Gentex Technologies (Israel), LTD, and is classified within the Automotive segment. The Company accounted for the acquisition under the provisions of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480" w:hanging="479"/>
        <w:spacing w:after="0"/>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SUBSEQUENT EVENTS</w:t>
      </w:r>
    </w:p>
    <w:p>
      <w:pPr>
        <w:spacing w:after="0" w:line="232" w:lineRule="exact"/>
        <w:rPr>
          <w:sz w:val="20"/>
          <w:szCs w:val="20"/>
          <w:color w:val="auto"/>
        </w:rPr>
      </w:pPr>
    </w:p>
    <w:p>
      <w:pPr>
        <w:jc w:val="both"/>
        <w:ind w:left="600"/>
        <w:spacing w:after="0" w:line="252" w:lineRule="auto"/>
        <w:rPr>
          <w:sz w:val="20"/>
          <w:szCs w:val="20"/>
          <w:color w:val="auto"/>
        </w:rPr>
      </w:pPr>
      <w:r>
        <w:rPr>
          <w:rFonts w:ascii="Arial" w:cs="Arial" w:eastAsia="Arial" w:hAnsi="Arial"/>
          <w:sz w:val="17"/>
          <w:szCs w:val="17"/>
          <w:color w:val="auto"/>
        </w:rPr>
        <w:t>On February 21, 2023, the Company entered into the Amended Credit Agreement that provided for, among other things, a three-year unsecured Revolving Credit Facility with a borrowing capacity of up to $250.0 million that matures on February 21, 2026, replacing in its entirety the Company's prior $150.0 million Revolver scheduled to mature on October 15, 2023. Included in the Revolving Credit Facility is a $20.0 million sublimit for standby letters of credit and a $ 35.0 million sublimit for swingline loans, each subject to certain conditions. Funds are available under the Revolving Credit Facility for working capital, capital expenditures, and other lawful corporate purposes, including, but not limited to, acquisitions and common stock repurchases, subject in each case to compliance with certain financial covenants as defined in the Amended Credit Agreement.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6"/>
              </w:rPr>
              <w:t>EXHIBIT INDEX</w:t>
            </w:r>
          </w:p>
        </w:tc>
        <w:tc>
          <w:tcPr>
            <w:tcW w:w="5000" w:type="dxa"/>
            <w:vAlign w:val="bottom"/>
            <w:gridSpan w:val="29"/>
          </w:tcPr>
          <w:p>
            <w:pPr>
              <w:spacing w:after="0"/>
              <w:rPr>
                <w:sz w:val="16"/>
                <w:szCs w:val="16"/>
                <w:color w:val="auto"/>
              </w:rPr>
            </w:pPr>
          </w:p>
        </w:tc>
      </w:tr>
      <w:tr>
        <w:trPr>
          <w:trHeight w:val="496"/>
        </w:trPr>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24"/>
                <w:szCs w:val="24"/>
                <w:color w:val="auto"/>
              </w:rPr>
            </w:pPr>
          </w:p>
        </w:tc>
        <w:tc>
          <w:tcPr>
            <w:tcW w:w="9920" w:type="dxa"/>
            <w:vAlign w:val="bottom"/>
            <w:gridSpan w:val="39"/>
          </w:tcPr>
          <w:p>
            <w:pPr>
              <w:spacing w:after="0"/>
              <w:rPr>
                <w:sz w:val="20"/>
                <w:szCs w:val="20"/>
                <w:color w:val="auto"/>
              </w:rPr>
            </w:pPr>
            <w:r>
              <w:rPr>
                <w:rFonts w:ascii="Arial" w:cs="Arial" w:eastAsia="Arial" w:hAnsi="Arial"/>
                <w:sz w:val="13"/>
                <w:szCs w:val="13"/>
                <w:b w:val="1"/>
                <w:bCs w:val="1"/>
                <w:color w:val="auto"/>
              </w:rPr>
              <w:t>DESCRIPTION</w:t>
            </w:r>
          </w:p>
        </w:tc>
      </w:tr>
      <w:tr>
        <w:trPr>
          <w:trHeight w:val="207"/>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20" w:type="dxa"/>
            <w:vAlign w:val="bottom"/>
            <w:tcBorders>
              <w:top w:val="single" w:sz="8" w:color="auto"/>
            </w:tcBorders>
            <w:gridSpan w:val="39"/>
          </w:tcPr>
          <w:p>
            <w:pPr>
              <w:spacing w:after="0"/>
              <w:rPr>
                <w:rFonts w:ascii="Arial" w:cs="Arial" w:eastAsia="Arial" w:hAnsi="Arial"/>
                <w:sz w:val="17"/>
                <w:szCs w:val="17"/>
                <w:color w:val="0000FF"/>
                <w:w w:val="98"/>
              </w:rPr>
            </w:pPr>
            <w:hyperlink r:id="rId97">
              <w:r>
                <w:rPr>
                  <w:rFonts w:ascii="Arial" w:cs="Arial" w:eastAsia="Arial" w:hAnsi="Arial"/>
                  <w:sz w:val="17"/>
                  <w:szCs w:val="17"/>
                  <w:color w:val="0000FF"/>
                  <w:w w:val="98"/>
                </w:rPr>
                <w:t>Registrant's Restated Articles of Incorporation, adopted on August 20, 2004, were filed as Exhibit 3(a) to Registrant's Report on Form</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9"/>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10-Q dated November 2, 2004, and an Amendment to the Registrant's Restated Articles of Incorporation, adopted as of May 18,</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20"/>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2012, was filed as Exhibit 3.1(i) to the Registrant's Form 8-K dated May 22, 2012, and the same are hereby incorporated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39"/>
          </w:tcPr>
          <w:p>
            <w:pPr>
              <w:spacing w:after="0" w:line="156" w:lineRule="exact"/>
              <w:rPr>
                <w:rFonts w:ascii="Arial" w:cs="Arial" w:eastAsia="Arial" w:hAnsi="Arial"/>
                <w:sz w:val="17"/>
                <w:szCs w:val="17"/>
                <w:color w:val="0000FF"/>
                <w:w w:val="99"/>
              </w:rPr>
            </w:pPr>
            <w:hyperlink r:id="rId99">
              <w:r>
                <w:rPr>
                  <w:rFonts w:ascii="Arial" w:cs="Arial" w:eastAsia="Arial" w:hAnsi="Arial"/>
                  <w:sz w:val="17"/>
                  <w:szCs w:val="17"/>
                  <w:color w:val="0000FF"/>
                  <w:w w:val="99"/>
                </w:rPr>
                <w:t>reference, together with an Amendment to the Registrant's Restated Articles of Incorporation adopted as of May 15, 2014 which was</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22"/>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included in the Registrant's Proxy statement which was filed with the Commission March 31, 2014 and the same is hereby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Borders>
              <w:bottom w:val="single" w:sz="8" w:color="0000FF"/>
            </w:tcBorders>
            <w:gridSpan w:val="3"/>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incorporated by reference.</w:t>
              </w:r>
            </w:hyperlink>
          </w:p>
        </w:tc>
        <w:tc>
          <w:tcPr>
            <w:tcW w:w="8220" w:type="dxa"/>
            <w:vAlign w:val="bottom"/>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0">
              <w:r>
                <w:rPr>
                  <w:rFonts w:ascii="Arial" w:cs="Arial" w:eastAsia="Arial" w:hAnsi="Arial"/>
                  <w:sz w:val="17"/>
                  <w:szCs w:val="17"/>
                  <w:color w:val="0000FF"/>
                </w:rPr>
                <w:t>Registrant’s Bylaws as amended and restated February 27, 2003, was filed as Exhibit 3(b)(1) to Registrant’s report on Form 10-Q</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3"/>
          </w:tcPr>
          <w:p>
            <w:pPr>
              <w:spacing w:after="0" w:line="144" w:lineRule="exact"/>
              <w:rPr>
                <w:rFonts w:ascii="Arial" w:cs="Arial" w:eastAsia="Arial" w:hAnsi="Arial"/>
                <w:sz w:val="16"/>
                <w:szCs w:val="16"/>
                <w:color w:val="0000FF"/>
              </w:rPr>
            </w:pPr>
            <w:hyperlink r:id="rId101">
              <w:r>
                <w:rPr>
                  <w:rFonts w:ascii="Arial" w:cs="Arial" w:eastAsia="Arial" w:hAnsi="Arial"/>
                  <w:sz w:val="16"/>
                  <w:szCs w:val="16"/>
                  <w:color w:val="0000FF"/>
                </w:rPr>
                <w:t>dated May 5, 2003, and an Amendment to Registrant’s Bylaws adopted as of February 16, 2012 was filed as Exhibit 3(b)(ii)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26"/>
          </w:tcPr>
          <w:p>
            <w:pPr>
              <w:spacing w:after="0" w:line="144" w:lineRule="exact"/>
              <w:rPr>
                <w:rFonts w:ascii="Arial" w:cs="Arial" w:eastAsia="Arial" w:hAnsi="Arial"/>
                <w:sz w:val="16"/>
                <w:szCs w:val="16"/>
                <w:color w:val="0000FF"/>
              </w:rPr>
            </w:pPr>
            <w:hyperlink r:id="rId101">
              <w:r>
                <w:rPr>
                  <w:rFonts w:ascii="Arial" w:cs="Arial" w:eastAsia="Arial" w:hAnsi="Arial"/>
                  <w:sz w:val="16"/>
                  <w:szCs w:val="16"/>
                  <w:color w:val="0000FF"/>
                </w:rPr>
                <w:t>Registrant’s Form 8-K dated February 21, 2012 and the same is hereby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97">
              <w:r>
                <w:rPr>
                  <w:rFonts w:ascii="Arial" w:cs="Arial" w:eastAsia="Arial" w:hAnsi="Arial"/>
                  <w:sz w:val="17"/>
                  <w:szCs w:val="17"/>
                  <w:color w:val="0000FF"/>
                </w:rPr>
                <w:t>A specimen form of certificate for the Registrant’s common stock, par value $.06 per share, was filed as part of a Registration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5"/>
          </w:tcPr>
          <w:p>
            <w:pPr>
              <w:spacing w:after="0" w:line="144" w:lineRule="exact"/>
              <w:rPr>
                <w:rFonts w:ascii="Arial" w:cs="Arial" w:eastAsia="Arial" w:hAnsi="Arial"/>
                <w:sz w:val="16"/>
                <w:szCs w:val="16"/>
                <w:color w:val="0000FF"/>
              </w:rPr>
            </w:pPr>
            <w:hyperlink r:id="rId97">
              <w:r>
                <w:rPr>
                  <w:rFonts w:ascii="Arial" w:cs="Arial" w:eastAsia="Arial" w:hAnsi="Arial"/>
                  <w:sz w:val="16"/>
                  <w:szCs w:val="16"/>
                  <w:color w:val="0000FF"/>
                </w:rPr>
                <w:t>Statement (Registration Number 2-74226C) as Exhibit 3(a), as amended by Amendment No. 3 to such Registration Statement, and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28"/>
          </w:tcPr>
          <w:p>
            <w:pPr>
              <w:spacing w:after="0" w:line="144" w:lineRule="exact"/>
              <w:rPr>
                <w:rFonts w:ascii="Arial" w:cs="Arial" w:eastAsia="Arial" w:hAnsi="Arial"/>
                <w:sz w:val="16"/>
                <w:szCs w:val="16"/>
                <w:color w:val="0000FF"/>
              </w:rPr>
            </w:pPr>
            <w:hyperlink r:id="rId97">
              <w:r>
                <w:rPr>
                  <w:rFonts w:ascii="Arial" w:cs="Arial" w:eastAsia="Arial" w:hAnsi="Arial"/>
                  <w:sz w:val="16"/>
                  <w:szCs w:val="16"/>
                  <w:color w:val="0000FF"/>
                </w:rPr>
                <w:t>the same is hereby incorporated herein by reference.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2">
              <w:r>
                <w:rPr>
                  <w:rFonts w:ascii="Arial" w:cs="Arial" w:eastAsia="Arial" w:hAnsi="Arial"/>
                  <w:sz w:val="17"/>
                  <w:szCs w:val="17"/>
                  <w:color w:val="0000FF"/>
                </w:rPr>
                <w:t>Description of Registrant's Securities Registered Pursuant to Section 12 of the Securities Exchange Act of 1934, as amended, was</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80" w:type="dxa"/>
            <w:vAlign w:val="bottom"/>
            <w:tcBorders>
              <w:top w:val="single" w:sz="8" w:color="0000FF"/>
            </w:tcBorders>
            <w:gridSpan w:val="37"/>
          </w:tcPr>
          <w:p>
            <w:pPr>
              <w:spacing w:after="0" w:line="144" w:lineRule="exact"/>
              <w:rPr>
                <w:rFonts w:ascii="Arial" w:cs="Arial" w:eastAsia="Arial" w:hAnsi="Arial"/>
                <w:sz w:val="16"/>
                <w:szCs w:val="16"/>
                <w:color w:val="0000FF"/>
              </w:rPr>
            </w:pPr>
            <w:hyperlink r:id="rId102">
              <w:r>
                <w:rPr>
                  <w:rFonts w:ascii="Arial" w:cs="Arial" w:eastAsia="Arial" w:hAnsi="Arial"/>
                  <w:sz w:val="16"/>
                  <w:szCs w:val="16"/>
                  <w:color w:val="0000FF"/>
                </w:rPr>
                <w:t>filed as Exhibit 4.2 of the Registrant's Form 10-K for the year ended December 31, 2019 with the Commission on February 26, 2020</w:t>
              </w:r>
            </w:hyperlink>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5"/>
          </w:tcPr>
          <w:p>
            <w:pPr>
              <w:spacing w:after="0" w:line="144" w:lineRule="exact"/>
              <w:rPr>
                <w:rFonts w:ascii="Arial" w:cs="Arial" w:eastAsia="Arial" w:hAnsi="Arial"/>
                <w:sz w:val="16"/>
                <w:szCs w:val="16"/>
                <w:color w:val="0000FF"/>
              </w:rPr>
            </w:pPr>
            <w:hyperlink r:id="rId102">
              <w:r>
                <w:rPr>
                  <w:rFonts w:ascii="Arial" w:cs="Arial" w:eastAsia="Arial" w:hAnsi="Arial"/>
                  <w:sz w:val="16"/>
                  <w:szCs w:val="16"/>
                  <w:color w:val="0000FF"/>
                </w:rPr>
                <w:t>and the same is incorporated herein by reference.</w:t>
              </w:r>
            </w:hyperlink>
          </w:p>
        </w:tc>
        <w:tc>
          <w:tcPr>
            <w:tcW w:w="64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3">
              <w:r>
                <w:rPr>
                  <w:rFonts w:ascii="Arial" w:cs="Arial" w:eastAsia="Arial" w:hAnsi="Arial"/>
                  <w:sz w:val="17"/>
                  <w:szCs w:val="17"/>
                  <w:color w:val="0000FF"/>
                </w:rPr>
                <w:t>Gentex Corporation Second Restricted Stock Plan was filed as Exhibit 10(b)(2) to Registrant’s Report on Form 10-Q dated April 27,</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bottom w:val="single" w:sz="8" w:color="0000FF"/>
            </w:tcBorders>
            <w:gridSpan w:val="9"/>
          </w:tcPr>
          <w:p>
            <w:pPr>
              <w:spacing w:after="0" w:line="144" w:lineRule="exact"/>
              <w:rPr>
                <w:rFonts w:ascii="Arial" w:cs="Arial" w:eastAsia="Arial" w:hAnsi="Arial"/>
                <w:sz w:val="16"/>
                <w:szCs w:val="16"/>
                <w:color w:val="0000FF"/>
              </w:rPr>
            </w:pPr>
            <w:hyperlink r:id="rId103">
              <w:r>
                <w:rPr>
                  <w:rFonts w:ascii="Arial" w:cs="Arial" w:eastAsia="Arial" w:hAnsi="Arial"/>
                  <w:sz w:val="16"/>
                  <w:szCs w:val="16"/>
                  <w:color w:val="0000FF"/>
                </w:rPr>
                <w:t>2001, and the same is hereby incorporated herein by reference.</w:t>
              </w:r>
            </w:hyperlink>
          </w:p>
        </w:tc>
        <w:tc>
          <w:tcPr>
            <w:tcW w:w="544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w w:val="99"/>
              </w:rPr>
            </w:pPr>
            <w:hyperlink r:id="rId104">
              <w:r>
                <w:rPr>
                  <w:rFonts w:ascii="Arial" w:cs="Arial" w:eastAsia="Arial" w:hAnsi="Arial"/>
                  <w:sz w:val="17"/>
                  <w:szCs w:val="17"/>
                  <w:color w:val="0000FF"/>
                  <w:w w:val="99"/>
                </w:rPr>
                <w:t>First Amendment to the Gentex Corporation Second Restricted Stock Plan was filed as Exhibit 10(b)(5) to the Registrant’s Report 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0" w:type="dxa"/>
            <w:vAlign w:val="bottom"/>
            <w:tcBorders>
              <w:top w:val="single" w:sz="8" w:color="0000FF"/>
              <w:bottom w:val="single" w:sz="8" w:color="0000FF"/>
            </w:tcBorders>
            <w:gridSpan w:val="13"/>
          </w:tcPr>
          <w:p>
            <w:pPr>
              <w:spacing w:after="0" w:line="144" w:lineRule="exact"/>
              <w:rPr>
                <w:rFonts w:ascii="Arial" w:cs="Arial" w:eastAsia="Arial" w:hAnsi="Arial"/>
                <w:sz w:val="16"/>
                <w:szCs w:val="16"/>
                <w:color w:val="0000FF"/>
              </w:rPr>
            </w:pPr>
            <w:hyperlink r:id="rId104">
              <w:r>
                <w:rPr>
                  <w:rFonts w:ascii="Arial" w:cs="Arial" w:eastAsia="Arial" w:hAnsi="Arial"/>
                  <w:sz w:val="16"/>
                  <w:szCs w:val="16"/>
                  <w:color w:val="0000FF"/>
                </w:rPr>
                <w:t>Form 10-Q dated August 4, 2008, and the same is hereby incorporated herein by reference.</w:t>
              </w:r>
            </w:hyperlink>
          </w:p>
        </w:tc>
        <w:tc>
          <w:tcPr>
            <w:tcW w:w="320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5">
              <w:r>
                <w:rPr>
                  <w:rFonts w:ascii="Arial" w:cs="Arial" w:eastAsia="Arial" w:hAnsi="Arial"/>
                  <w:sz w:val="17"/>
                  <w:szCs w:val="17"/>
                  <w:color w:val="0000FF"/>
                </w:rPr>
                <w:t>Gentex Corporation 2012 Amended and Restated Non-Employee Director Stock Option Plan (effective February 16, 2012 and</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105">
              <w:r>
                <w:rPr>
                  <w:rFonts w:ascii="Arial" w:cs="Arial" w:eastAsia="Arial" w:hAnsi="Arial"/>
                  <w:sz w:val="16"/>
                  <w:szCs w:val="16"/>
                  <w:color w:val="0000FF"/>
                </w:rPr>
                <w:t>approved by the shareholders on May 17, 2012), was filed as Exhibit 10(b)(10) to Registrant's Report on Form 10-Q dated August 2,</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8"/>
          </w:tcPr>
          <w:p>
            <w:pPr>
              <w:spacing w:after="0" w:line="144" w:lineRule="exact"/>
              <w:rPr>
                <w:rFonts w:ascii="Arial" w:cs="Arial" w:eastAsia="Arial" w:hAnsi="Arial"/>
                <w:sz w:val="16"/>
                <w:szCs w:val="16"/>
                <w:color w:val="0000FF"/>
              </w:rPr>
            </w:pPr>
            <w:hyperlink r:id="rId105">
              <w:r>
                <w:rPr>
                  <w:rFonts w:ascii="Arial" w:cs="Arial" w:eastAsia="Arial" w:hAnsi="Arial"/>
                  <w:sz w:val="16"/>
                  <w:szCs w:val="16"/>
                  <w:color w:val="0000FF"/>
                </w:rPr>
                <w:t>2012, and the same is incorporated herein by reference.</w:t>
              </w:r>
            </w:hyperlink>
          </w:p>
        </w:tc>
        <w:tc>
          <w:tcPr>
            <w:tcW w:w="5940" w:type="dxa"/>
            <w:vAlign w:val="bottom"/>
            <w:tcBorders>
              <w:top w:val="single" w:sz="8" w:color="0000FF"/>
            </w:tcBorders>
            <w:gridSpan w:val="21"/>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6">
              <w:r>
                <w:rPr>
                  <w:rFonts w:ascii="Arial" w:cs="Arial" w:eastAsia="Arial" w:hAnsi="Arial"/>
                  <w:sz w:val="17"/>
                  <w:szCs w:val="17"/>
                  <w:color w:val="0000FF"/>
                </w:rPr>
                <w:t>Specimen form of Grant Agreement for the Gentex Corporation 2012 Amended and Restated Non-Employee Director Stock Option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bottom w:val="single" w:sz="8" w:color="0000FF"/>
            </w:tcBorders>
            <w:gridSpan w:val="35"/>
          </w:tcPr>
          <w:p>
            <w:pPr>
              <w:spacing w:after="0" w:line="144" w:lineRule="exact"/>
              <w:rPr>
                <w:rFonts w:ascii="Arial" w:cs="Arial" w:eastAsia="Arial" w:hAnsi="Arial"/>
                <w:sz w:val="16"/>
                <w:szCs w:val="16"/>
                <w:color w:val="0000FF"/>
              </w:rPr>
            </w:pPr>
            <w:hyperlink r:id="rId106">
              <w:r>
                <w:rPr>
                  <w:rFonts w:ascii="Arial" w:cs="Arial" w:eastAsia="Arial" w:hAnsi="Arial"/>
                  <w:sz w:val="16"/>
                  <w:szCs w:val="16"/>
                  <w:color w:val="0000FF"/>
                </w:rPr>
                <w:t>Plan, was filed as Exhibit 10(b)(11) to Registrant's Report on Form 10-Q dated August 2, 2012, and the same is incorporated herein</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0000FF"/>
            </w:tcBorders>
            <w:gridSpan w:val="2"/>
          </w:tcPr>
          <w:p>
            <w:pPr>
              <w:spacing w:after="0" w:line="144" w:lineRule="exact"/>
              <w:rPr>
                <w:rFonts w:ascii="Arial" w:cs="Arial" w:eastAsia="Arial" w:hAnsi="Arial"/>
                <w:sz w:val="16"/>
                <w:szCs w:val="16"/>
                <w:color w:val="0000FF"/>
              </w:rPr>
            </w:pPr>
            <w:hyperlink r:id="rId106">
              <w:r>
                <w:rPr>
                  <w:rFonts w:ascii="Arial" w:cs="Arial" w:eastAsia="Arial" w:hAnsi="Arial"/>
                  <w:sz w:val="16"/>
                  <w:szCs w:val="16"/>
                  <w:color w:val="0000FF"/>
                </w:rPr>
                <w:t>by reference.</w:t>
              </w:r>
            </w:hyperlink>
          </w:p>
        </w:tc>
        <w:tc>
          <w:tcPr>
            <w:tcW w:w="9280" w:type="dxa"/>
            <w:vAlign w:val="bottom"/>
            <w:gridSpan w:val="34"/>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w w:val="98"/>
              </w:rPr>
            </w:pPr>
            <w:hyperlink r:id="rId107">
              <w:r>
                <w:rPr>
                  <w:rFonts w:ascii="Arial" w:cs="Arial" w:eastAsia="Arial" w:hAnsi="Arial"/>
                  <w:sz w:val="17"/>
                  <w:szCs w:val="17"/>
                  <w:color w:val="0000FF"/>
                  <w:w w:val="98"/>
                </w:rPr>
                <w:t>2013 Gentex Corporation Employee Stock Purchase Plan was included in Registrant's Proxy Statement filed with the Commission 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7"/>
          </w:tcPr>
          <w:p>
            <w:pPr>
              <w:spacing w:after="0" w:line="144" w:lineRule="exact"/>
              <w:rPr>
                <w:rFonts w:ascii="Arial" w:cs="Arial" w:eastAsia="Arial" w:hAnsi="Arial"/>
                <w:sz w:val="16"/>
                <w:szCs w:val="16"/>
                <w:color w:val="0000FF"/>
              </w:rPr>
            </w:pPr>
            <w:hyperlink r:id="rId107">
              <w:r>
                <w:rPr>
                  <w:rFonts w:ascii="Arial" w:cs="Arial" w:eastAsia="Arial" w:hAnsi="Arial"/>
                  <w:sz w:val="16"/>
                  <w:szCs w:val="16"/>
                  <w:color w:val="0000FF"/>
                </w:rPr>
                <w:t>April 5, 2013, and is incorporated herein by reference.</w:t>
              </w:r>
            </w:hyperlink>
          </w:p>
        </w:tc>
        <w:tc>
          <w:tcPr>
            <w:tcW w:w="6140" w:type="dxa"/>
            <w:vAlign w:val="bottom"/>
            <w:tcBorders>
              <w:top w:val="single" w:sz="8" w:color="0000FF"/>
            </w:tcBorders>
            <w:gridSpan w:val="2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8">
              <w:r>
                <w:rPr>
                  <w:rFonts w:ascii="Arial" w:cs="Arial" w:eastAsia="Arial" w:hAnsi="Arial"/>
                  <w:sz w:val="17"/>
                  <w:szCs w:val="17"/>
                  <w:color w:val="0000FF"/>
                </w:rPr>
                <w:t>The form of Indemnity Agreement between Registrant and each of the Registrant’s directors and certain officers was filed as Exhibit</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08">
              <w:r>
                <w:rPr>
                  <w:rFonts w:ascii="Arial" w:cs="Arial" w:eastAsia="Arial" w:hAnsi="Arial"/>
                  <w:sz w:val="16"/>
                  <w:szCs w:val="16"/>
                  <w:color w:val="0000FF"/>
                </w:rPr>
                <w:t>10(e) to Registrant’s Report on Form 10-Q dated October 31, 2002, and the same is hereby incorporated herein by reference.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840" w:type="dxa"/>
            <w:vAlign w:val="bottom"/>
            <w:gridSpan w:val="11"/>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99">
              <w:r>
                <w:rPr>
                  <w:rFonts w:ascii="Arial" w:cs="Arial" w:eastAsia="Arial" w:hAnsi="Arial"/>
                  <w:sz w:val="17"/>
                  <w:szCs w:val="17"/>
                  <w:color w:val="0000FF"/>
                </w:rPr>
                <w:t>Gentex Corporation Employee Stock Option Plan (as amended and restated, effective February 20, 2014) was included in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Registrant's Proxy Statement filed with the Commission on March 31, 2014, and the same is hereby incorporated herein by</w:t>
              </w:r>
            </w:hyperlink>
          </w:p>
        </w:tc>
        <w:tc>
          <w:tcPr>
            <w:tcW w:w="120" w:type="dxa"/>
            <w:vAlign w:val="bottom"/>
            <w:gridSpan w:val="6"/>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reference.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09">
              <w:r>
                <w:rPr>
                  <w:rFonts w:ascii="Arial" w:cs="Arial" w:eastAsia="Arial" w:hAnsi="Arial"/>
                  <w:sz w:val="17"/>
                  <w:szCs w:val="17"/>
                  <w:color w:val="0000FF"/>
                </w:rPr>
                <w:t>Specimen form of Grant Agreement for the Gentex Corporation Employee Stock Option Plan (as amended and restated, effective</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00" w:type="dxa"/>
            <w:vAlign w:val="bottom"/>
            <w:tcBorders>
              <w:top w:val="single" w:sz="8" w:color="0000FF"/>
            </w:tcBorders>
            <w:gridSpan w:val="38"/>
          </w:tcPr>
          <w:p>
            <w:pPr>
              <w:spacing w:after="0" w:line="144" w:lineRule="exact"/>
              <w:rPr>
                <w:rFonts w:ascii="Arial" w:cs="Arial" w:eastAsia="Arial" w:hAnsi="Arial"/>
                <w:sz w:val="16"/>
                <w:szCs w:val="16"/>
                <w:color w:val="0000FF"/>
              </w:rPr>
            </w:pPr>
            <w:hyperlink r:id="rId109">
              <w:r>
                <w:rPr>
                  <w:rFonts w:ascii="Arial" w:cs="Arial" w:eastAsia="Arial" w:hAnsi="Arial"/>
                  <w:sz w:val="16"/>
                  <w:szCs w:val="16"/>
                  <w:color w:val="0000FF"/>
                </w:rPr>
                <w:t>February 10, 2014 was filed as exhibit 10.3 to Registrant's Report on Form 10-Q filed August 7, 2014, and the same is hereby</w:t>
              </w:r>
            </w:hyperlink>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09">
              <w:r>
                <w:rPr>
                  <w:rFonts w:ascii="Arial" w:cs="Arial" w:eastAsia="Arial" w:hAnsi="Arial"/>
                  <w:sz w:val="16"/>
                  <w:szCs w:val="16"/>
                  <w:color w:val="0000FF"/>
                </w:rPr>
                <w:t>incorporated herein by reference.</w:t>
              </w:r>
            </w:hyperlink>
          </w:p>
        </w:tc>
        <w:tc>
          <w:tcPr>
            <w:tcW w:w="180" w:type="dxa"/>
            <w:vAlign w:val="bottom"/>
            <w:gridSpan w:val="9"/>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97" w:type="dxa"/>
            <w:vAlign w:val="bottom"/>
            <w:gridSpan w:val="5"/>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99">
              <w:r>
                <w:rPr>
                  <w:rFonts w:ascii="Arial" w:cs="Arial" w:eastAsia="Arial" w:hAnsi="Arial"/>
                  <w:sz w:val="17"/>
                  <w:szCs w:val="17"/>
                  <w:color w:val="0000FF"/>
                </w:rPr>
                <w:t>Amendment to the Gentex Corporation 2012 Amended and Restated Non-Employee Director Stock Option Plan (effective February</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3"/>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16, 2012) was included in the Registrant's Proxy Statement filed with the Commission on March 31, 2014, and the same is hereby</w:t>
              </w:r>
            </w:hyperlink>
          </w:p>
        </w:tc>
        <w:tc>
          <w:tcPr>
            <w:tcW w:w="20" w:type="dxa"/>
            <w:vAlign w:val="bottom"/>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7"/>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incorporated herein by reference.</w:t>
              </w:r>
            </w:hyperlink>
          </w:p>
        </w:tc>
        <w:tc>
          <w:tcPr>
            <w:tcW w:w="160" w:type="dxa"/>
            <w:vAlign w:val="bottom"/>
            <w:gridSpan w:val="7"/>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4294966997" w:type="dxa"/>
            <w:vAlign w:val="bottom"/>
            <w:gridSpan w:val="5"/>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10">
              <w:r>
                <w:rPr>
                  <w:rFonts w:ascii="Arial" w:cs="Arial" w:eastAsia="Arial" w:hAnsi="Arial"/>
                  <w:sz w:val="17"/>
                  <w:szCs w:val="17"/>
                  <w:color w:val="0000FF"/>
                </w:rPr>
                <w:t>Specimen form of Grant Agreement for the Gentex Corporation 2012 Amended and Restated Non-Employee Director Stock Option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tcBorders>
              <w:top w:val="single" w:sz="8" w:color="0000FF"/>
            </w:tcBorders>
            <w:gridSpan w:val="34"/>
          </w:tcPr>
          <w:p>
            <w:pPr>
              <w:spacing w:after="0" w:line="144" w:lineRule="exact"/>
              <w:rPr>
                <w:rFonts w:ascii="Arial" w:cs="Arial" w:eastAsia="Arial" w:hAnsi="Arial"/>
                <w:sz w:val="16"/>
                <w:szCs w:val="16"/>
                <w:color w:val="0000FF"/>
              </w:rPr>
            </w:pPr>
            <w:hyperlink r:id="rId110">
              <w:r>
                <w:rPr>
                  <w:rFonts w:ascii="Arial" w:cs="Arial" w:eastAsia="Arial" w:hAnsi="Arial"/>
                  <w:sz w:val="16"/>
                  <w:szCs w:val="16"/>
                  <w:color w:val="0000FF"/>
                </w:rPr>
                <w:t>Plan, as amended was filed as exhibit 10.5 to Registrant's Report on Form 10-Q filed August 7, 2014, and the same is hereby</w:t>
              </w:r>
            </w:hyperlink>
          </w:p>
        </w:tc>
        <w:tc>
          <w:tcPr>
            <w:tcW w:w="4294966997" w:type="dxa"/>
            <w:vAlign w:val="bottom"/>
            <w:gridSpan w:val="5"/>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4" w:lineRule="exact"/>
              <w:rPr>
                <w:rFonts w:ascii="Arial" w:cs="Arial" w:eastAsia="Arial" w:hAnsi="Arial"/>
                <w:sz w:val="16"/>
                <w:szCs w:val="16"/>
                <w:color w:val="0000FF"/>
              </w:rPr>
            </w:pPr>
            <w:hyperlink r:id="rId110">
              <w:r>
                <w:rPr>
                  <w:rFonts w:ascii="Arial" w:cs="Arial" w:eastAsia="Arial" w:hAnsi="Arial"/>
                  <w:sz w:val="16"/>
                  <w:szCs w:val="16"/>
                  <w:color w:val="0000FF"/>
                </w:rPr>
                <w:t>incorporated herein by reference.</w:t>
              </w:r>
            </w:hyperlink>
          </w:p>
        </w:tc>
        <w:tc>
          <w:tcPr>
            <w:tcW w:w="4294967117" w:type="dxa"/>
            <w:vAlign w:val="bottom"/>
            <w:gridSpan w:val="10"/>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60" w:type="dxa"/>
            <w:vAlign w:val="bottom"/>
            <w:gridSpan w:val="23"/>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w w:val="99"/>
              </w:rPr>
            </w:pPr>
            <w:hyperlink r:id="rId111">
              <w:r>
                <w:rPr>
                  <w:rFonts w:ascii="Arial" w:cs="Arial" w:eastAsia="Arial" w:hAnsi="Arial"/>
                  <w:sz w:val="17"/>
                  <w:szCs w:val="17"/>
                  <w:color w:val="0000FF"/>
                  <w:w w:val="99"/>
                </w:rPr>
                <w:t>Second amendment to the Gentex Corporation Second Restricted Stock Plan (as amended on February 8, 2008) was included in the</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111">
              <w:r>
                <w:rPr>
                  <w:rFonts w:ascii="Arial" w:cs="Arial" w:eastAsia="Arial" w:hAnsi="Arial"/>
                  <w:sz w:val="16"/>
                  <w:szCs w:val="16"/>
                  <w:color w:val="0000FF"/>
                </w:rPr>
                <w:t>Registrant's proxy Statement filed with the Commission on April 2, 2015, and the same is hereby incorporated herein by reference.</w:t>
              </w:r>
            </w:hyperlink>
          </w:p>
        </w:tc>
        <w:tc>
          <w:tcPr>
            <w:tcW w:w="4294967077" w:type="dxa"/>
            <w:vAlign w:val="bottom"/>
            <w:gridSpan w:val="9"/>
          </w:tcPr>
          <w:p>
            <w:pPr>
              <w:spacing w:after="0"/>
              <w:rPr>
                <w:sz w:val="12"/>
                <w:szCs w:val="12"/>
                <w:color w:val="auto"/>
              </w:rPr>
            </w:pPr>
          </w:p>
        </w:tc>
      </w:tr>
      <w:tr>
        <w:trPr>
          <w:trHeight w:val="927"/>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9"/>
          </w:tcPr>
          <w:p>
            <w:pPr>
              <w:ind w:left="4220"/>
              <w:spacing w:after="0"/>
              <w:rPr>
                <w:sz w:val="20"/>
                <w:szCs w:val="20"/>
                <w:color w:val="auto"/>
              </w:rPr>
            </w:pPr>
            <w:r>
              <w:rPr>
                <w:rFonts w:ascii="Arial" w:cs="Arial" w:eastAsia="Arial" w:hAnsi="Arial"/>
                <w:sz w:val="17"/>
                <w:szCs w:val="17"/>
                <w:color w:val="auto"/>
              </w:rPr>
              <w:t>75</w:t>
            </w:r>
          </w:p>
        </w:tc>
        <w:tc>
          <w:tcPr>
            <w:tcW w:w="20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6917" w:type="dxa"/>
            <w:vAlign w:val="bottom"/>
          </w:tcPr>
          <w:p>
            <w:pPr>
              <w:spacing w:after="0"/>
              <w:rPr>
                <w:sz w:val="24"/>
                <w:szCs w:val="24"/>
                <w:color w:val="auto"/>
              </w:rPr>
            </w:pPr>
          </w:p>
        </w:tc>
      </w:tr>
      <w:tr>
        <w:trPr>
          <w:trHeight w:val="102"/>
        </w:trPr>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94966917"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7" w:name="page78"/>
    <w:bookmarkEnd w:id="77"/>
    <w:tbl>
      <w:tblPr>
        <w:tblLayout w:type="fixed"/>
        <w:tblInd w:w="3" w:type="dxa"/>
        <w:tblCellMar>
          <w:top w:w="0" w:type="dxa"/>
          <w:left w:w="0" w:type="dxa"/>
          <w:bottom w:w="0" w:type="dxa"/>
          <w:right w:w="0" w:type="dxa"/>
        </w:tblCellMar>
      </w:tblPr>
      <w:tr>
        <w:trPr>
          <w:trHeight w:val="195"/>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*10.12</w:t>
            </w:r>
          </w:p>
        </w:tc>
        <w:tc>
          <w:tcPr>
            <w:tcW w:w="10100" w:type="dxa"/>
            <w:vAlign w:val="bottom"/>
            <w:gridSpan w:val="23"/>
          </w:tcPr>
          <w:p>
            <w:pPr>
              <w:spacing w:after="0"/>
              <w:rPr>
                <w:rFonts w:ascii="Arial" w:cs="Arial" w:eastAsia="Arial" w:hAnsi="Arial"/>
                <w:sz w:val="17"/>
                <w:szCs w:val="17"/>
                <w:color w:val="0000FF"/>
              </w:rPr>
            </w:pPr>
            <w:hyperlink r:id="rId111">
              <w:r>
                <w:rPr>
                  <w:rFonts w:ascii="Arial" w:cs="Arial" w:eastAsia="Arial" w:hAnsi="Arial"/>
                  <w:sz w:val="17"/>
                  <w:szCs w:val="17"/>
                  <w:color w:val="0000FF"/>
                </w:rPr>
                <w:t>Amendment to the Gentex Corporation 2013 Employee Stock Purchase Plan (effective February 14, 2013) was included in the</w:t>
              </w:r>
            </w:hyperlink>
          </w:p>
        </w:tc>
      </w:tr>
      <w:tr>
        <w:trPr>
          <w:trHeight w:val="144"/>
        </w:trPr>
        <w:tc>
          <w:tcPr>
            <w:tcW w:w="1280" w:type="dxa"/>
            <w:vAlign w:val="bottom"/>
          </w:tcPr>
          <w:p>
            <w:pPr>
              <w:spacing w:after="0"/>
              <w:rPr>
                <w:sz w:val="12"/>
                <w:szCs w:val="12"/>
                <w:color w:val="auto"/>
              </w:rPr>
            </w:pPr>
          </w:p>
        </w:tc>
        <w:tc>
          <w:tcPr>
            <w:tcW w:w="8960" w:type="dxa"/>
            <w:vAlign w:val="bottom"/>
            <w:tcBorders>
              <w:top w:val="single" w:sz="8" w:color="0000FF"/>
              <w:bottom w:val="single" w:sz="8" w:color="0000FF"/>
            </w:tcBorders>
            <w:gridSpan w:val="9"/>
          </w:tcPr>
          <w:p>
            <w:pPr>
              <w:spacing w:after="0" w:line="144" w:lineRule="exact"/>
              <w:rPr>
                <w:rFonts w:ascii="Arial" w:cs="Arial" w:eastAsia="Arial" w:hAnsi="Arial"/>
                <w:sz w:val="16"/>
                <w:szCs w:val="16"/>
                <w:color w:val="0000FF"/>
              </w:rPr>
            </w:pPr>
            <w:hyperlink r:id="rId111">
              <w:r>
                <w:rPr>
                  <w:rFonts w:ascii="Arial" w:cs="Arial" w:eastAsia="Arial" w:hAnsi="Arial"/>
                  <w:sz w:val="16"/>
                  <w:szCs w:val="16"/>
                  <w:color w:val="0000FF"/>
                </w:rPr>
                <w:t>Registrant's Proxy Statement filed with the Commission on April 2, 2015, and is hereby incorporated herein by reference.</w:t>
              </w:r>
            </w:hyperlink>
          </w:p>
        </w:tc>
        <w:tc>
          <w:tcPr>
            <w:tcW w:w="11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r>
      <w:tr>
        <w:trPr>
          <w:trHeight w:val="30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*10.13</w:t>
            </w:r>
          </w:p>
        </w:tc>
        <w:tc>
          <w:tcPr>
            <w:tcW w:w="10100" w:type="dxa"/>
            <w:vAlign w:val="bottom"/>
            <w:gridSpan w:val="23"/>
          </w:tcPr>
          <w:p>
            <w:pPr>
              <w:spacing w:after="0"/>
              <w:rPr>
                <w:rFonts w:ascii="Arial" w:cs="Arial" w:eastAsia="Arial" w:hAnsi="Arial"/>
                <w:sz w:val="17"/>
                <w:szCs w:val="17"/>
                <w:color w:val="0000FF"/>
              </w:rPr>
            </w:pPr>
            <w:hyperlink r:id="rId114">
              <w:r>
                <w:rPr>
                  <w:rFonts w:ascii="Arial" w:cs="Arial" w:eastAsia="Arial" w:hAnsi="Arial"/>
                  <w:sz w:val="17"/>
                  <w:szCs w:val="17"/>
                  <w:color w:val="0000FF"/>
                </w:rPr>
                <w:t>Gentex Corporation Amended and Restated Annual Incentive Performance-Based Bonus Plan (as amended on February 15, 2018)</w:t>
              </w:r>
            </w:hyperlink>
          </w:p>
        </w:tc>
      </w:tr>
      <w:tr>
        <w:trPr>
          <w:trHeight w:val="144"/>
        </w:trPr>
        <w:tc>
          <w:tcPr>
            <w:tcW w:w="1280" w:type="dxa"/>
            <w:vAlign w:val="bottom"/>
          </w:tcPr>
          <w:p>
            <w:pPr>
              <w:spacing w:after="0"/>
              <w:rPr>
                <w:sz w:val="12"/>
                <w:szCs w:val="12"/>
                <w:color w:val="auto"/>
              </w:rPr>
            </w:pPr>
          </w:p>
        </w:tc>
        <w:tc>
          <w:tcPr>
            <w:tcW w:w="9880" w:type="dxa"/>
            <w:vAlign w:val="bottom"/>
            <w:tcBorders>
              <w:top w:val="single" w:sz="8" w:color="0000FF"/>
            </w:tcBorders>
            <w:gridSpan w:val="12"/>
          </w:tcPr>
          <w:p>
            <w:pPr>
              <w:spacing w:after="0" w:line="144" w:lineRule="exact"/>
              <w:rPr>
                <w:rFonts w:ascii="Arial" w:cs="Arial" w:eastAsia="Arial" w:hAnsi="Arial"/>
                <w:sz w:val="16"/>
                <w:szCs w:val="16"/>
                <w:color w:val="0000FF"/>
              </w:rPr>
            </w:pPr>
            <w:hyperlink r:id="rId114">
              <w:r>
                <w:rPr>
                  <w:rFonts w:ascii="Arial" w:cs="Arial" w:eastAsia="Arial" w:hAnsi="Arial"/>
                  <w:sz w:val="16"/>
                  <w:szCs w:val="16"/>
                  <w:color w:val="0000FF"/>
                </w:rPr>
                <w:t>filed as an exhibit to Registrant's Report on Form 10-K dated February 21,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*10.14</w:t>
            </w:r>
          </w:p>
        </w:tc>
        <w:tc>
          <w:tcPr>
            <w:tcW w:w="10100" w:type="dxa"/>
            <w:vAlign w:val="bottom"/>
            <w:gridSpan w:val="23"/>
          </w:tcPr>
          <w:p>
            <w:pPr>
              <w:spacing w:after="0"/>
              <w:rPr>
                <w:sz w:val="20"/>
                <w:szCs w:val="20"/>
                <w:color w:val="auto"/>
              </w:rPr>
            </w:pPr>
            <w:r>
              <w:rPr>
                <w:rFonts w:ascii="Arial" w:cs="Arial" w:eastAsia="Arial" w:hAnsi="Arial"/>
                <w:sz w:val="17"/>
                <w:szCs w:val="17"/>
                <w:color w:val="0000FF"/>
              </w:rPr>
              <w:t>Amended Credit Agreement by Gentex Corporation as the Borrower, the Guarantors from Time to Time Party Hereto, and the</w:t>
            </w:r>
          </w:p>
        </w:tc>
      </w:tr>
      <w:tr>
        <w:trPr>
          <w:trHeight w:val="144"/>
        </w:trPr>
        <w:tc>
          <w:tcPr>
            <w:tcW w:w="128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3"/>
          </w:tcPr>
          <w:p>
            <w:pPr>
              <w:spacing w:after="0" w:line="144" w:lineRule="exact"/>
              <w:rPr>
                <w:sz w:val="20"/>
                <w:szCs w:val="20"/>
                <w:color w:val="auto"/>
              </w:rPr>
            </w:pPr>
            <w:r>
              <w:rPr>
                <w:rFonts w:ascii="Arial" w:cs="Arial" w:eastAsia="Arial" w:hAnsi="Arial"/>
                <w:sz w:val="16"/>
                <w:szCs w:val="16"/>
                <w:color w:val="0000FF"/>
              </w:rPr>
              <w:t>Lenders Party Hereto, and PNC, National Association as Administrative Agent, dated as of February 21, 2023, filed as exhibit to</w:t>
            </w: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32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7"/>
                <w:szCs w:val="17"/>
                <w:color w:val="0000FF"/>
                <w:w w:val="98"/>
              </w:rPr>
              <w:t>Registrant's Report on Form 10-K filed February 22, 2023.</w:t>
            </w:r>
          </w:p>
        </w:tc>
        <w:tc>
          <w:tcPr>
            <w:tcW w:w="560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*10.15</w:t>
            </w:r>
          </w:p>
        </w:tc>
        <w:tc>
          <w:tcPr>
            <w:tcW w:w="10100" w:type="dxa"/>
            <w:vAlign w:val="bottom"/>
            <w:gridSpan w:val="23"/>
          </w:tcPr>
          <w:p>
            <w:pPr>
              <w:spacing w:after="0"/>
              <w:rPr>
                <w:rFonts w:ascii="Arial" w:cs="Arial" w:eastAsia="Arial" w:hAnsi="Arial"/>
                <w:sz w:val="17"/>
                <w:szCs w:val="17"/>
                <w:color w:val="0000FF"/>
              </w:rPr>
            </w:pPr>
            <w:hyperlink r:id="rId115">
              <w:r>
                <w:rPr>
                  <w:rFonts w:ascii="Arial" w:cs="Arial" w:eastAsia="Arial" w:hAnsi="Arial"/>
                  <w:sz w:val="17"/>
                  <w:szCs w:val="17"/>
                  <w:color w:val="0000FF"/>
                </w:rPr>
                <w:t>Gentex Corporation 2019 Omnibus Incentive Plan filed as exhibit to Registrant's Report on Form 10-K dated February 22, 2019</w:t>
              </w:r>
            </w:hyperlink>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*10.16</w:t>
            </w:r>
          </w:p>
        </w:tc>
        <w:tc>
          <w:tcPr>
            <w:tcW w:w="10100" w:type="dxa"/>
            <w:vAlign w:val="bottom"/>
            <w:gridSpan w:val="23"/>
          </w:tcPr>
          <w:p>
            <w:pPr>
              <w:spacing w:after="0"/>
              <w:rPr>
                <w:rFonts w:ascii="Arial" w:cs="Arial" w:eastAsia="Arial" w:hAnsi="Arial"/>
                <w:sz w:val="17"/>
                <w:szCs w:val="17"/>
                <w:color w:val="0000FF"/>
              </w:rPr>
            </w:pPr>
            <w:hyperlink r:id="rId116">
              <w:r>
                <w:rPr>
                  <w:rFonts w:ascii="Arial" w:cs="Arial" w:eastAsia="Arial" w:hAnsi="Arial"/>
                  <w:sz w:val="17"/>
                  <w:szCs w:val="17"/>
                  <w:color w:val="0000FF"/>
                </w:rPr>
                <w:t>Israeli Appendix to the Gentex Corporation 2019 Omnibus Incentive Plan filed as an exhibit to Registrant's Form 10-K dated February</w:t>
              </w:r>
            </w:hyperlink>
          </w:p>
        </w:tc>
      </w:tr>
      <w:tr>
        <w:trPr>
          <w:trHeight w:val="144"/>
        </w:trPr>
        <w:tc>
          <w:tcPr>
            <w:tcW w:w="12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44" w:lineRule="exact"/>
              <w:rPr>
                <w:rFonts w:ascii="Arial" w:cs="Arial" w:eastAsia="Arial" w:hAnsi="Arial"/>
                <w:sz w:val="16"/>
                <w:szCs w:val="16"/>
                <w:color w:val="0000FF"/>
              </w:rPr>
            </w:pPr>
            <w:hyperlink r:id="rId116">
              <w:r>
                <w:rPr>
                  <w:rFonts w:ascii="Arial" w:cs="Arial" w:eastAsia="Arial" w:hAnsi="Arial"/>
                  <w:sz w:val="16"/>
                  <w:szCs w:val="16"/>
                  <w:color w:val="0000FF"/>
                </w:rPr>
                <w:t>22, 2021</w:t>
              </w:r>
            </w:hyperlink>
          </w:p>
        </w:tc>
        <w:tc>
          <w:tcPr>
            <w:tcW w:w="35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*10.17</w:t>
            </w:r>
          </w:p>
        </w:tc>
        <w:tc>
          <w:tcPr>
            <w:tcW w:w="9140" w:type="dxa"/>
            <w:vAlign w:val="bottom"/>
            <w:tcBorders>
              <w:bottom w:val="single" w:sz="8" w:color="0000FF"/>
            </w:tcBorders>
            <w:gridSpan w:val="10"/>
          </w:tcPr>
          <w:p>
            <w:pPr>
              <w:spacing w:after="0"/>
              <w:rPr>
                <w:rFonts w:ascii="Arial" w:cs="Arial" w:eastAsia="Arial" w:hAnsi="Arial"/>
                <w:sz w:val="17"/>
                <w:szCs w:val="17"/>
                <w:color w:val="0000FF"/>
                <w:w w:val="98"/>
              </w:rPr>
            </w:pPr>
            <w:hyperlink r:id="rId117">
              <w:r>
                <w:rPr>
                  <w:rFonts w:ascii="Arial" w:cs="Arial" w:eastAsia="Arial" w:hAnsi="Arial"/>
                  <w:sz w:val="17"/>
                  <w:szCs w:val="17"/>
                  <w:color w:val="0000FF"/>
                  <w:w w:val="98"/>
                </w:rPr>
                <w:t>Gentex Corporation Long-Term Incentive Plan filed as exhibit to Registrant's Report on Form 10-K dated February 22, 2019</w:t>
              </w:r>
            </w:hyperlink>
          </w:p>
        </w:tc>
        <w:tc>
          <w:tcPr>
            <w:tcW w:w="960" w:type="dxa"/>
            <w:vAlign w:val="bottom"/>
            <w:gridSpan w:val="13"/>
          </w:tcPr>
          <w:p>
            <w:pPr>
              <w:spacing w:after="0"/>
              <w:rPr>
                <w:sz w:val="22"/>
                <w:szCs w:val="22"/>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*10.18</w:t>
            </w:r>
          </w:p>
        </w:tc>
        <w:tc>
          <w:tcPr>
            <w:tcW w:w="10100" w:type="dxa"/>
            <w:vAlign w:val="bottom"/>
            <w:gridSpan w:val="23"/>
          </w:tcPr>
          <w:p>
            <w:pPr>
              <w:spacing w:after="0"/>
              <w:rPr>
                <w:rFonts w:ascii="Arial" w:cs="Arial" w:eastAsia="Arial" w:hAnsi="Arial"/>
                <w:sz w:val="17"/>
                <w:szCs w:val="17"/>
                <w:color w:val="0000FF"/>
              </w:rPr>
            </w:pPr>
            <w:hyperlink r:id="rId118">
              <w:r>
                <w:rPr>
                  <w:rFonts w:ascii="Arial" w:cs="Arial" w:eastAsia="Arial" w:hAnsi="Arial"/>
                  <w:sz w:val="17"/>
                  <w:szCs w:val="17"/>
                  <w:color w:val="0000FF"/>
                </w:rPr>
                <w:t>Specimen form of Performance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3"/>
          </w:tcPr>
          <w:p>
            <w:pPr>
              <w:spacing w:after="0" w:line="144" w:lineRule="exact"/>
              <w:rPr>
                <w:rFonts w:ascii="Arial" w:cs="Arial" w:eastAsia="Arial" w:hAnsi="Arial"/>
                <w:sz w:val="16"/>
                <w:szCs w:val="16"/>
                <w:color w:val="0000FF"/>
              </w:rPr>
            </w:pPr>
            <w:hyperlink r:id="rId118">
              <w:r>
                <w:rPr>
                  <w:rFonts w:ascii="Arial" w:cs="Arial" w:eastAsia="Arial" w:hAnsi="Arial"/>
                  <w:sz w:val="16"/>
                  <w:szCs w:val="16"/>
                  <w:color w:val="0000FF"/>
                </w:rPr>
                <w:t>Registrant's Report on Form 10-K filed February 22, 2019.</w:t>
              </w:r>
            </w:hyperlink>
          </w:p>
        </w:tc>
        <w:tc>
          <w:tcPr>
            <w:tcW w:w="572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*10.19</w:t>
            </w:r>
          </w:p>
        </w:tc>
        <w:tc>
          <w:tcPr>
            <w:tcW w:w="10100" w:type="dxa"/>
            <w:vAlign w:val="bottom"/>
            <w:gridSpan w:val="23"/>
          </w:tcPr>
          <w:p>
            <w:pPr>
              <w:spacing w:after="0"/>
              <w:rPr>
                <w:rFonts w:ascii="Arial" w:cs="Arial" w:eastAsia="Arial" w:hAnsi="Arial"/>
                <w:sz w:val="17"/>
                <w:szCs w:val="17"/>
                <w:color w:val="0000FF"/>
              </w:rPr>
            </w:pPr>
            <w:hyperlink r:id="rId119">
              <w:r>
                <w:rPr>
                  <w:rFonts w:ascii="Arial" w:cs="Arial" w:eastAsia="Arial" w:hAnsi="Arial"/>
                  <w:sz w:val="17"/>
                  <w:szCs w:val="17"/>
                  <w:color w:val="0000FF"/>
                </w:rPr>
                <w:t>Specimen form of Restricted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9960" w:type="dxa"/>
            <w:vAlign w:val="bottom"/>
            <w:tcBorders>
              <w:top w:val="single" w:sz="8" w:color="0000FF"/>
            </w:tcBorders>
            <w:gridSpan w:val="16"/>
          </w:tcPr>
          <w:p>
            <w:pPr>
              <w:spacing w:after="0" w:line="144" w:lineRule="exact"/>
              <w:rPr>
                <w:rFonts w:ascii="Arial" w:cs="Arial" w:eastAsia="Arial" w:hAnsi="Arial"/>
                <w:sz w:val="16"/>
                <w:szCs w:val="16"/>
                <w:color w:val="0000FF"/>
              </w:rPr>
            </w:pPr>
            <w:hyperlink r:id="rId119">
              <w:r>
                <w:rPr>
                  <w:rFonts w:ascii="Arial" w:cs="Arial" w:eastAsia="Arial" w:hAnsi="Arial"/>
                  <w:sz w:val="16"/>
                  <w:szCs w:val="16"/>
                  <w:color w:val="0000FF"/>
                </w:rPr>
                <w:t>Registrant's Report on Form 10-K filed February 22,2019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*10.20</w:t>
            </w:r>
          </w:p>
        </w:tc>
        <w:tc>
          <w:tcPr>
            <w:tcW w:w="10100" w:type="dxa"/>
            <w:vAlign w:val="bottom"/>
            <w:gridSpan w:val="23"/>
          </w:tcPr>
          <w:p>
            <w:pPr>
              <w:spacing w:after="0"/>
              <w:rPr>
                <w:rFonts w:ascii="Arial" w:cs="Arial" w:eastAsia="Arial" w:hAnsi="Arial"/>
                <w:sz w:val="17"/>
                <w:szCs w:val="17"/>
                <w:color w:val="0000FF"/>
              </w:rPr>
            </w:pPr>
            <w:hyperlink r:id="rId120">
              <w:r>
                <w:rPr>
                  <w:rFonts w:ascii="Arial" w:cs="Arial" w:eastAsia="Arial" w:hAnsi="Arial"/>
                  <w:sz w:val="17"/>
                  <w:szCs w:val="17"/>
                  <w:color w:val="0000FF"/>
                </w:rPr>
                <w:t>Gentex Corporation Executive Deferred Compensation Plan dated as of May 1, 2019 was filed as an exhibit to Registrant's Report on</w:t>
              </w:r>
            </w:hyperlink>
          </w:p>
        </w:tc>
      </w:tr>
      <w:tr>
        <w:trPr>
          <w:trHeight w:val="144"/>
        </w:trPr>
        <w:tc>
          <w:tcPr>
            <w:tcW w:w="1280" w:type="dxa"/>
            <w:vAlign w:val="bottom"/>
          </w:tcPr>
          <w:p>
            <w:pPr>
              <w:spacing w:after="0"/>
              <w:rPr>
                <w:sz w:val="12"/>
                <w:szCs w:val="12"/>
                <w:color w:val="auto"/>
              </w:rPr>
            </w:pPr>
          </w:p>
        </w:tc>
        <w:tc>
          <w:tcPr>
            <w:tcW w:w="998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20">
              <w:r>
                <w:rPr>
                  <w:rFonts w:ascii="Arial" w:cs="Arial" w:eastAsia="Arial" w:hAnsi="Arial"/>
                  <w:sz w:val="16"/>
                  <w:szCs w:val="16"/>
                  <w:color w:val="0000FF"/>
                </w:rPr>
                <w:t>Form 10-Q dated May 3, 2019, and is hereby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*10.21</w:t>
            </w:r>
          </w:p>
        </w:tc>
        <w:tc>
          <w:tcPr>
            <w:tcW w:w="10100" w:type="dxa"/>
            <w:vAlign w:val="bottom"/>
            <w:gridSpan w:val="23"/>
          </w:tcPr>
          <w:p>
            <w:pPr>
              <w:spacing w:after="0"/>
              <w:rPr>
                <w:rFonts w:ascii="Arial" w:cs="Arial" w:eastAsia="Arial" w:hAnsi="Arial"/>
                <w:sz w:val="17"/>
                <w:szCs w:val="17"/>
                <w:color w:val="0000FF"/>
              </w:rPr>
            </w:pPr>
            <w:hyperlink r:id="rId121">
              <w:r>
                <w:rPr>
                  <w:rFonts w:ascii="Arial" w:cs="Arial" w:eastAsia="Arial" w:hAnsi="Arial"/>
                  <w:sz w:val="17"/>
                  <w:szCs w:val="17"/>
                  <w:color w:val="0000FF"/>
                </w:rPr>
                <w:t>Rabbi Trust Agreement between Wells Fargo Bank, N.A. and Gentex Corporation dated as of May 1, 2019 was filed as an exhibit to</w:t>
              </w:r>
            </w:hyperlink>
          </w:p>
        </w:tc>
      </w:tr>
      <w:tr>
        <w:trPr>
          <w:trHeight w:val="144"/>
        </w:trPr>
        <w:tc>
          <w:tcPr>
            <w:tcW w:w="1280" w:type="dxa"/>
            <w:vAlign w:val="bottom"/>
          </w:tcPr>
          <w:p>
            <w:pPr>
              <w:spacing w:after="0"/>
              <w:rPr>
                <w:sz w:val="12"/>
                <w:szCs w:val="12"/>
                <w:color w:val="auto"/>
              </w:rPr>
            </w:pPr>
          </w:p>
        </w:tc>
        <w:tc>
          <w:tcPr>
            <w:tcW w:w="7580" w:type="dxa"/>
            <w:vAlign w:val="bottom"/>
            <w:tcBorders>
              <w:top w:val="single" w:sz="8" w:color="0000FF"/>
              <w:bottom w:val="single" w:sz="8" w:color="0000FF"/>
            </w:tcBorders>
            <w:gridSpan w:val="7"/>
          </w:tcPr>
          <w:p>
            <w:pPr>
              <w:spacing w:after="0" w:line="144" w:lineRule="exact"/>
              <w:rPr>
                <w:rFonts w:ascii="Arial" w:cs="Arial" w:eastAsia="Arial" w:hAnsi="Arial"/>
                <w:sz w:val="16"/>
                <w:szCs w:val="16"/>
                <w:color w:val="0000FF"/>
              </w:rPr>
            </w:pPr>
            <w:hyperlink r:id="rId121">
              <w:r>
                <w:rPr>
                  <w:rFonts w:ascii="Arial" w:cs="Arial" w:eastAsia="Arial" w:hAnsi="Arial"/>
                  <w:sz w:val="16"/>
                  <w:szCs w:val="16"/>
                  <w:color w:val="0000FF"/>
                </w:rPr>
                <w:t>Registrant's Report on Form 10-Q dated May 3, 2019, and is hereby incorporated herein by reference.</w:t>
              </w:r>
            </w:hyperlink>
          </w:p>
        </w:tc>
        <w:tc>
          <w:tcPr>
            <w:tcW w:w="24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*10.22</w:t>
            </w:r>
          </w:p>
        </w:tc>
        <w:tc>
          <w:tcPr>
            <w:tcW w:w="10100" w:type="dxa"/>
            <w:vAlign w:val="bottom"/>
            <w:gridSpan w:val="23"/>
          </w:tcPr>
          <w:p>
            <w:pPr>
              <w:spacing w:after="0"/>
              <w:rPr>
                <w:rFonts w:ascii="Arial" w:cs="Arial" w:eastAsia="Arial" w:hAnsi="Arial"/>
                <w:sz w:val="17"/>
                <w:szCs w:val="17"/>
                <w:color w:val="0000FF"/>
              </w:rPr>
            </w:pPr>
            <w:hyperlink r:id="rId122">
              <w:r>
                <w:rPr>
                  <w:rFonts w:ascii="Arial" w:cs="Arial" w:eastAsia="Arial" w:hAnsi="Arial"/>
                  <w:sz w:val="17"/>
                  <w:szCs w:val="17"/>
                  <w:color w:val="0000FF"/>
                </w:rPr>
                <w:t>Specimen Form of Gentex Corporation Non-Employee Director Restricted Stock Agreement was filed as an exhibit to Registrant's</w:t>
              </w:r>
            </w:hyperlink>
          </w:p>
        </w:tc>
      </w:tr>
      <w:tr>
        <w:trPr>
          <w:trHeight w:val="144"/>
        </w:trPr>
        <w:tc>
          <w:tcPr>
            <w:tcW w:w="1280" w:type="dxa"/>
            <w:vAlign w:val="bottom"/>
          </w:tcPr>
          <w:p>
            <w:pPr>
              <w:spacing w:after="0"/>
              <w:rPr>
                <w:sz w:val="12"/>
                <w:szCs w:val="12"/>
                <w:color w:val="auto"/>
              </w:rPr>
            </w:pPr>
          </w:p>
        </w:tc>
        <w:tc>
          <w:tcPr>
            <w:tcW w:w="1006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22">
              <w:r>
                <w:rPr>
                  <w:rFonts w:ascii="Arial" w:cs="Arial" w:eastAsia="Arial" w:hAnsi="Arial"/>
                  <w:sz w:val="16"/>
                  <w:szCs w:val="16"/>
                  <w:color w:val="0000FF"/>
                </w:rPr>
                <w:t>Report on Form 10-Q dated November 1, 2019, and is hereby incorporated herein by reference.</w:t>
              </w:r>
            </w:hyperlink>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*10.23</w:t>
            </w:r>
          </w:p>
        </w:tc>
        <w:tc>
          <w:tcPr>
            <w:tcW w:w="10100" w:type="dxa"/>
            <w:vAlign w:val="bottom"/>
            <w:gridSpan w:val="23"/>
          </w:tcPr>
          <w:p>
            <w:pPr>
              <w:spacing w:after="0"/>
              <w:rPr>
                <w:rFonts w:ascii="Arial" w:cs="Arial" w:eastAsia="Arial" w:hAnsi="Arial"/>
                <w:sz w:val="17"/>
                <w:szCs w:val="17"/>
                <w:color w:val="0000FF"/>
              </w:rPr>
            </w:pPr>
            <w:hyperlink r:id="rId123">
              <w:r>
                <w:rPr>
                  <w:rFonts w:ascii="Arial" w:cs="Arial" w:eastAsia="Arial" w:hAnsi="Arial"/>
                  <w:sz w:val="17"/>
                  <w:szCs w:val="17"/>
                  <w:color w:val="0000FF"/>
                </w:rPr>
                <w:t>Specimen form of Performance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10040" w:type="dxa"/>
            <w:vAlign w:val="bottom"/>
            <w:tcBorders>
              <w:top w:val="single" w:sz="8" w:color="0000FF"/>
            </w:tcBorders>
            <w:gridSpan w:val="20"/>
          </w:tcPr>
          <w:p>
            <w:pPr>
              <w:spacing w:after="0" w:line="144" w:lineRule="exact"/>
              <w:rPr>
                <w:rFonts w:ascii="Arial" w:cs="Arial" w:eastAsia="Arial" w:hAnsi="Arial"/>
                <w:sz w:val="16"/>
                <w:szCs w:val="16"/>
                <w:color w:val="0000FF"/>
              </w:rPr>
            </w:pPr>
            <w:hyperlink r:id="rId123">
              <w:r>
                <w:rPr>
                  <w:rFonts w:ascii="Arial" w:cs="Arial" w:eastAsia="Arial" w:hAnsi="Arial"/>
                  <w:sz w:val="16"/>
                  <w:szCs w:val="16"/>
                  <w:color w:val="0000FF"/>
                </w:rPr>
                <w:t>Registrant's Report on Form 10-K filed February 23, 2022, and is hereby incorporated herein by reference.</w:t>
              </w:r>
            </w:hyperlink>
          </w:p>
        </w:tc>
        <w:tc>
          <w:tcPr>
            <w:tcW w:w="60" w:type="dxa"/>
            <w:vAlign w:val="bottom"/>
            <w:gridSpan w:val="3"/>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gridSpan w:val="5"/>
            <w:shd w:val="clear" w:color="auto" w:fill="0000FF"/>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*10.24</w:t>
            </w:r>
          </w:p>
        </w:tc>
        <w:tc>
          <w:tcPr>
            <w:tcW w:w="10100" w:type="dxa"/>
            <w:vAlign w:val="bottom"/>
            <w:gridSpan w:val="23"/>
          </w:tcPr>
          <w:p>
            <w:pPr>
              <w:spacing w:after="0"/>
              <w:rPr>
                <w:rFonts w:ascii="Arial" w:cs="Arial" w:eastAsia="Arial" w:hAnsi="Arial"/>
                <w:sz w:val="17"/>
                <w:szCs w:val="17"/>
                <w:color w:val="0000FF"/>
              </w:rPr>
            </w:pPr>
            <w:hyperlink r:id="rId124">
              <w:r>
                <w:rPr>
                  <w:rFonts w:ascii="Arial" w:cs="Arial" w:eastAsia="Arial" w:hAnsi="Arial"/>
                  <w:sz w:val="17"/>
                  <w:szCs w:val="17"/>
                  <w:color w:val="0000FF"/>
                </w:rPr>
                <w:t>2022 Gentex Corporation Employee Stock Purchase Plan was included in Registrant's Proxy Statement filed with the Commission on</w:t>
              </w:r>
            </w:hyperlink>
          </w:p>
        </w:tc>
      </w:tr>
      <w:tr>
        <w:trPr>
          <w:trHeight w:val="144"/>
        </w:trPr>
        <w:tc>
          <w:tcPr>
            <w:tcW w:w="1280" w:type="dxa"/>
            <w:vAlign w:val="bottom"/>
          </w:tcPr>
          <w:p>
            <w:pPr>
              <w:spacing w:after="0"/>
              <w:rPr>
                <w:sz w:val="12"/>
                <w:szCs w:val="12"/>
                <w:color w:val="auto"/>
              </w:rPr>
            </w:pPr>
          </w:p>
        </w:tc>
        <w:tc>
          <w:tcPr>
            <w:tcW w:w="10020" w:type="dxa"/>
            <w:vAlign w:val="bottom"/>
            <w:tcBorders>
              <w:top w:val="single" w:sz="8" w:color="0000FF"/>
            </w:tcBorders>
            <w:gridSpan w:val="19"/>
          </w:tcPr>
          <w:p>
            <w:pPr>
              <w:spacing w:after="0" w:line="144" w:lineRule="exact"/>
              <w:rPr>
                <w:rFonts w:ascii="Arial" w:cs="Arial" w:eastAsia="Arial" w:hAnsi="Arial"/>
                <w:sz w:val="16"/>
                <w:szCs w:val="16"/>
                <w:color w:val="0000FF"/>
              </w:rPr>
            </w:pPr>
            <w:hyperlink r:id="rId124">
              <w:r>
                <w:rPr>
                  <w:rFonts w:ascii="Arial" w:cs="Arial" w:eastAsia="Arial" w:hAnsi="Arial"/>
                  <w:sz w:val="16"/>
                  <w:szCs w:val="16"/>
                  <w:color w:val="0000FF"/>
                </w:rPr>
                <w:t>August 5, 2022, and is incorporated herein by reference.</w:t>
              </w:r>
            </w:hyperlink>
          </w:p>
        </w:tc>
        <w:tc>
          <w:tcPr>
            <w:tcW w:w="80" w:type="dxa"/>
            <w:vAlign w:val="bottom"/>
            <w:gridSpan w:val="4"/>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5760" w:type="dxa"/>
            <w:vAlign w:val="bottom"/>
            <w:gridSpan w:val="1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57"/>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*10.25</w:t>
            </w:r>
          </w:p>
        </w:tc>
        <w:tc>
          <w:tcPr>
            <w:tcW w:w="10100" w:type="dxa"/>
            <w:vAlign w:val="bottom"/>
            <w:gridSpan w:val="23"/>
          </w:tcPr>
          <w:p>
            <w:pPr>
              <w:spacing w:after="0"/>
              <w:rPr>
                <w:sz w:val="20"/>
                <w:szCs w:val="20"/>
                <w:color w:val="auto"/>
              </w:rPr>
            </w:pPr>
            <w:r>
              <w:rPr>
                <w:rFonts w:ascii="Arial" w:cs="Arial" w:eastAsia="Arial" w:hAnsi="Arial"/>
                <w:sz w:val="17"/>
                <w:szCs w:val="17"/>
                <w:color w:val="0000FF"/>
              </w:rPr>
              <w:t>Specimen form of Performance Share Award Agreement for the Gentex Corporation Long-Term Incentive Plan filed as an exhibit to</w:t>
            </w:r>
          </w:p>
        </w:tc>
      </w:tr>
      <w:tr>
        <w:trPr>
          <w:trHeight w:val="144"/>
        </w:trPr>
        <w:tc>
          <w:tcPr>
            <w:tcW w:w="128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3"/>
          </w:tcPr>
          <w:p>
            <w:pPr>
              <w:spacing w:after="0" w:line="144" w:lineRule="exact"/>
              <w:rPr>
                <w:sz w:val="20"/>
                <w:szCs w:val="20"/>
                <w:color w:val="auto"/>
              </w:rPr>
            </w:pPr>
            <w:r>
              <w:rPr>
                <w:rFonts w:ascii="Arial" w:cs="Arial" w:eastAsia="Arial" w:hAnsi="Arial"/>
                <w:sz w:val="16"/>
                <w:szCs w:val="16"/>
                <w:color w:val="0000FF"/>
              </w:rPr>
              <w:t>Registrant's Report on Form 10-K filed February 22, 2023.</w:t>
            </w:r>
          </w:p>
        </w:tc>
        <w:tc>
          <w:tcPr>
            <w:tcW w:w="5620" w:type="dxa"/>
            <w:vAlign w:val="bottom"/>
            <w:tcBorders>
              <w:top w:val="single" w:sz="8" w:color="0000FF"/>
            </w:tcBorders>
            <w:gridSpan w:val="12"/>
          </w:tcPr>
          <w:p>
            <w:pPr>
              <w:spacing w:after="0"/>
              <w:rPr>
                <w:sz w:val="12"/>
                <w:szCs w:val="12"/>
                <w:color w:val="auto"/>
              </w:rPr>
            </w:pPr>
          </w:p>
        </w:tc>
        <w:tc>
          <w:tcPr>
            <w:tcW w:w="160" w:type="dxa"/>
            <w:vAlign w:val="bottom"/>
            <w:gridSpan w:val="8"/>
          </w:tcPr>
          <w:p>
            <w:pPr>
              <w:spacing w:after="0"/>
              <w:rPr>
                <w:sz w:val="12"/>
                <w:szCs w:val="12"/>
                <w:color w:val="auto"/>
              </w:rPr>
            </w:pPr>
          </w:p>
        </w:tc>
      </w:tr>
    </w:tbl>
    <w:p>
      <w:pPr>
        <w:spacing w:after="0" w:line="122" w:lineRule="exact"/>
        <w:rPr>
          <w:sz w:val="20"/>
          <w:szCs w:val="20"/>
          <w:color w:val="auto"/>
        </w:rPr>
      </w:pPr>
    </w:p>
    <w:p>
      <w:pPr>
        <w:ind w:left="1283" w:hanging="1283"/>
        <w:spacing w:after="0"/>
        <w:tabs>
          <w:tab w:leader="none" w:pos="128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0000FF"/>
        </w:rPr>
        <w:t>List of Company Subsidiaries</w:t>
      </w:r>
    </w:p>
    <w:p>
      <w:pPr>
        <w:spacing w:after="0" w:line="54"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23.1</w:t>
            </w:r>
          </w:p>
        </w:tc>
        <w:tc>
          <w:tcPr>
            <w:tcW w:w="9900" w:type="dxa"/>
            <w:vAlign w:val="bottom"/>
            <w:gridSpan w:val="5"/>
          </w:tcPr>
          <w:p>
            <w:pPr>
              <w:spacing w:after="0"/>
              <w:rPr>
                <w:sz w:val="20"/>
                <w:szCs w:val="20"/>
                <w:color w:val="auto"/>
              </w:rPr>
            </w:pPr>
            <w:r>
              <w:rPr>
                <w:rFonts w:ascii="Arial" w:cs="Arial" w:eastAsia="Arial" w:hAnsi="Arial"/>
                <w:sz w:val="17"/>
                <w:szCs w:val="17"/>
                <w:color w:val="0000FF"/>
              </w:rPr>
              <w:t>Consent of Independent Registered Public Accounting Firm</w:t>
            </w: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31.1</w:t>
            </w:r>
          </w:p>
        </w:tc>
        <w:tc>
          <w:tcPr>
            <w:tcW w:w="9900" w:type="dxa"/>
            <w:vAlign w:val="bottom"/>
            <w:gridSpan w:val="5"/>
          </w:tcPr>
          <w:p>
            <w:pPr>
              <w:spacing w:after="0"/>
              <w:rPr>
                <w:sz w:val="20"/>
                <w:szCs w:val="20"/>
                <w:color w:val="auto"/>
              </w:rPr>
            </w:pPr>
            <w:r>
              <w:rPr>
                <w:rFonts w:ascii="Arial" w:cs="Arial" w:eastAsia="Arial" w:hAnsi="Arial"/>
                <w:sz w:val="17"/>
                <w:szCs w:val="17"/>
                <w:color w:val="0000FF"/>
              </w:rPr>
              <w:t>Certificate of the Chief Executive Officer of Gentex Corporation pursuant to Section 302 of the Sarbanes-Oxley Act of 2002 (18</w:t>
            </w:r>
          </w:p>
        </w:tc>
      </w:tr>
      <w:tr>
        <w:trPr>
          <w:trHeight w:val="144"/>
        </w:trPr>
        <w:tc>
          <w:tcPr>
            <w:tcW w:w="128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2"/>
          </w:tcPr>
          <w:p>
            <w:pPr>
              <w:spacing w:after="0" w:line="144" w:lineRule="exact"/>
              <w:rPr>
                <w:sz w:val="20"/>
                <w:szCs w:val="20"/>
                <w:color w:val="auto"/>
              </w:rPr>
            </w:pPr>
            <w:r>
              <w:rPr>
                <w:rFonts w:ascii="Arial" w:cs="Arial" w:eastAsia="Arial" w:hAnsi="Arial"/>
                <w:sz w:val="16"/>
                <w:szCs w:val="16"/>
                <w:color w:val="0000FF"/>
              </w:rPr>
              <w:t>U.S.C. 1350).</w:t>
            </w:r>
          </w:p>
        </w:tc>
        <w:tc>
          <w:tcPr>
            <w:tcW w:w="886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31.2</w:t>
            </w:r>
          </w:p>
        </w:tc>
        <w:tc>
          <w:tcPr>
            <w:tcW w:w="99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8"/>
              </w:rPr>
              <w:t>Certificate of the Chief Financial Officer of Gentex Corporation pursuant to Section 302 of the Sarbanes-Oxley Act of 2002 (18 U.S.C.</w:t>
            </w:r>
          </w:p>
        </w:tc>
      </w:tr>
      <w:tr>
        <w:trPr>
          <w:trHeight w:val="144"/>
        </w:trPr>
        <w:tc>
          <w:tcPr>
            <w:tcW w:w="1280" w:type="dxa"/>
            <w:vAlign w:val="bottom"/>
          </w:tcPr>
          <w:p>
            <w:pPr>
              <w:spacing w:after="0"/>
              <w:rPr>
                <w:sz w:val="12"/>
                <w:szCs w:val="12"/>
                <w:color w:val="auto"/>
              </w:rPr>
            </w:pPr>
          </w:p>
        </w:tc>
        <w:tc>
          <w:tcPr>
            <w:tcW w:w="480" w:type="dxa"/>
            <w:vAlign w:val="bottom"/>
            <w:tcBorders>
              <w:bottom w:val="single" w:sz="8" w:color="0000FF"/>
            </w:tcBorders>
          </w:tcPr>
          <w:p>
            <w:pPr>
              <w:spacing w:after="0" w:line="144" w:lineRule="exact"/>
              <w:rPr>
                <w:sz w:val="20"/>
                <w:szCs w:val="20"/>
                <w:color w:val="auto"/>
              </w:rPr>
            </w:pPr>
            <w:r>
              <w:rPr>
                <w:rFonts w:ascii="Arial" w:cs="Arial" w:eastAsia="Arial" w:hAnsi="Arial"/>
                <w:sz w:val="16"/>
                <w:szCs w:val="16"/>
                <w:color w:val="0000FF"/>
              </w:rPr>
              <w:t>1350).</w:t>
            </w:r>
          </w:p>
        </w:tc>
        <w:tc>
          <w:tcPr>
            <w:tcW w:w="5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84" w:lineRule="exact"/>
        <w:rPr>
          <w:sz w:val="20"/>
          <w:szCs w:val="20"/>
          <w:color w:val="auto"/>
        </w:rPr>
      </w:pPr>
    </w:p>
    <w:p>
      <w:pPr>
        <w:ind w:left="1283" w:hanging="1283"/>
        <w:spacing w:after="0" w:line="236" w:lineRule="auto"/>
        <w:tabs>
          <w:tab w:leader="none" w:pos="128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0000FF"/>
        </w:rPr>
        <w:t>Certificate of the Chief Executive Officer and Chief Financial Officer of Gentex Corporation pursuant to Section 906 of the Sarbanes-Oxley Act of 2002 (18 U.S.C. § 1350).</w:t>
      </w:r>
    </w:p>
    <w:p>
      <w:pPr>
        <w:spacing w:after="0" w:line="6" w:lineRule="exact"/>
        <w:rPr>
          <w:sz w:val="20"/>
          <w:szCs w:val="20"/>
          <w:color w:val="auto"/>
        </w:rPr>
      </w:pPr>
    </w:p>
    <w:tbl>
      <w:tblPr>
        <w:tblLayout w:type="fixed"/>
        <w:tblInd w:w="3"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101.INS</w:t>
            </w:r>
          </w:p>
        </w:tc>
        <w:tc>
          <w:tcPr>
            <w:tcW w:w="4040" w:type="dxa"/>
            <w:vAlign w:val="bottom"/>
          </w:tcPr>
          <w:p>
            <w:pPr>
              <w:ind w:left="300"/>
              <w:spacing w:after="0"/>
              <w:rPr>
                <w:sz w:val="20"/>
                <w:szCs w:val="20"/>
                <w:color w:val="auto"/>
              </w:rPr>
            </w:pPr>
            <w:r>
              <w:rPr>
                <w:rFonts w:ascii="Arial" w:cs="Arial" w:eastAsia="Arial" w:hAnsi="Arial"/>
                <w:sz w:val="17"/>
                <w:szCs w:val="17"/>
                <w:color w:val="auto"/>
              </w:rPr>
              <w:t>XBRL Instance Document</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101.SCH</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Schema</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101.CAL</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Calculation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101.DEF</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Definition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101.LAB</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Label Linkbase</w:t>
            </w:r>
          </w:p>
        </w:tc>
      </w:t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101.PRE</w:t>
            </w:r>
          </w:p>
        </w:tc>
        <w:tc>
          <w:tcPr>
            <w:tcW w:w="4040" w:type="dxa"/>
            <w:vAlign w:val="bottom"/>
          </w:tcPr>
          <w:p>
            <w:pPr>
              <w:ind w:left="300"/>
              <w:spacing w:after="0"/>
              <w:rPr>
                <w:sz w:val="20"/>
                <w:szCs w:val="20"/>
                <w:color w:val="auto"/>
              </w:rPr>
            </w:pPr>
            <w:r>
              <w:rPr>
                <w:rFonts w:ascii="Arial" w:cs="Arial" w:eastAsia="Arial" w:hAnsi="Arial"/>
                <w:sz w:val="17"/>
                <w:szCs w:val="17"/>
                <w:color w:val="auto"/>
                <w:w w:val="97"/>
              </w:rPr>
              <w:t>XBRL Taxonomy Extension Presentation Linkbase</w:t>
            </w:r>
          </w:p>
        </w:tc>
      </w:tr>
    </w:tbl>
    <w:p>
      <w:pPr>
        <w:spacing w:after="0" w:line="68" w:lineRule="exact"/>
        <w:rPr>
          <w:sz w:val="20"/>
          <w:szCs w:val="20"/>
          <w:color w:val="auto"/>
        </w:rPr>
      </w:pPr>
    </w:p>
    <w:p>
      <w:pPr>
        <w:ind w:left="23"/>
        <w:spacing w:after="0"/>
        <w:rPr>
          <w:sz w:val="20"/>
          <w:szCs w:val="20"/>
          <w:color w:val="auto"/>
        </w:rPr>
      </w:pPr>
      <w:r>
        <w:rPr>
          <w:rFonts w:ascii="Arial" w:cs="Arial" w:eastAsia="Arial" w:hAnsi="Arial"/>
          <w:sz w:val="17"/>
          <w:szCs w:val="17"/>
          <w:color w:val="auto"/>
        </w:rPr>
        <w:t>*Indicates a compensatory plan or arrangement.</w:t>
      </w:r>
    </w:p>
    <w:p>
      <w:pPr>
        <w:spacing w:after="0" w:line="200" w:lineRule="exact"/>
        <w:rPr>
          <w:sz w:val="20"/>
          <w:szCs w:val="20"/>
          <w:color w:val="auto"/>
        </w:rPr>
      </w:pPr>
    </w:p>
    <w:p>
      <w:pPr>
        <w:spacing w:after="0" w:line="322"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183"/>
          </w:cols>
          <w:pgMar w:left="337" w:top="862" w:right="37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CREDIT AGREEMENT</w:t>
      </w:r>
    </w:p>
    <w:p>
      <w:pPr>
        <w:spacing w:after="0" w:line="177" w:lineRule="exact"/>
        <w:rPr>
          <w:sz w:val="20"/>
          <w:szCs w:val="20"/>
          <w:color w:val="auto"/>
        </w:rPr>
      </w:pPr>
    </w:p>
    <w:p>
      <w:pPr>
        <w:jc w:val="both"/>
        <w:ind w:firstLine="604"/>
        <w:spacing w:after="0" w:line="225" w:lineRule="auto"/>
        <w:rPr>
          <w:sz w:val="20"/>
          <w:szCs w:val="20"/>
          <w:color w:val="auto"/>
        </w:rPr>
      </w:pPr>
      <w:r>
        <w:rPr>
          <w:rFonts w:ascii="Times New Roman" w:cs="Times New Roman" w:eastAsia="Times New Roman" w:hAnsi="Times New Roman"/>
          <w:sz w:val="20"/>
          <w:szCs w:val="20"/>
          <w:color w:val="auto"/>
        </w:rPr>
        <w:t>THIS FIRST AMENDMENT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February 21, 2023, is made by and among GENTEX CORPORATION, a Michigan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of the GUARANTORS (as defined in the Credit Agreement), the LENDERS (as defined in the Credit Agreement), and PNC BANK, NATIONAL ASSOCIATION, in its capacity as the Administrative Agent to the Lenders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173" w:lineRule="exact"/>
        <w:rPr>
          <w:sz w:val="20"/>
          <w:szCs w:val="20"/>
          <w:color w:val="auto"/>
        </w:rPr>
      </w:pPr>
    </w:p>
    <w:p>
      <w:pPr>
        <w:jc w:val="both"/>
        <w:ind w:firstLine="604"/>
        <w:spacing w:after="0" w:line="242" w:lineRule="auto"/>
        <w:rPr>
          <w:sz w:val="20"/>
          <w:szCs w:val="20"/>
          <w:color w:val="auto"/>
        </w:rPr>
      </w:pPr>
      <w:r>
        <w:rPr>
          <w:rFonts w:ascii="Times New Roman" w:cs="Times New Roman" w:eastAsia="Times New Roman" w:hAnsi="Times New Roman"/>
          <w:sz w:val="20"/>
          <w:szCs w:val="20"/>
          <w:color w:val="auto"/>
        </w:rPr>
        <w:t>WHEREAS, the Borrower, the Guarantors, the other Loan Parties from time to time party thereto, the Lenders at the time party thereto, and the Administrative Agent are parties to that certain Credit Agreement, dated as of October 15, 2018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jc w:val="both"/>
        <w:ind w:firstLine="604"/>
        <w:spacing w:after="0" w:line="230" w:lineRule="auto"/>
        <w:rPr>
          <w:sz w:val="20"/>
          <w:szCs w:val="20"/>
          <w:color w:val="auto"/>
        </w:rPr>
      </w:pPr>
      <w:r>
        <w:rPr>
          <w:rFonts w:ascii="Times New Roman" w:cs="Times New Roman" w:eastAsia="Times New Roman" w:hAnsi="Times New Roman"/>
          <w:sz w:val="20"/>
          <w:szCs w:val="20"/>
          <w:color w:val="auto"/>
        </w:rPr>
        <w:t>WHEREAS, the Loan Parties haves requested that the Lenders and the Administrative Agent extend the maturity date, make certain amendments to the Credit Agreement, and provide certain other accommodations, all as hereinafter provided, and, subject to the terms and conditions hereof, the Lenders and Administrative Agent are willing to do so.</w:t>
      </w:r>
    </w:p>
    <w:p>
      <w:pPr>
        <w:spacing w:after="0" w:line="144" w:lineRule="exact"/>
        <w:rPr>
          <w:sz w:val="20"/>
          <w:szCs w:val="20"/>
          <w:color w:val="auto"/>
        </w:rPr>
      </w:pPr>
    </w:p>
    <w:p>
      <w:pPr>
        <w:jc w:val="both"/>
        <w:ind w:firstLine="604"/>
        <w:spacing w:after="0" w:line="242" w:lineRule="auto"/>
        <w:rPr>
          <w:sz w:val="20"/>
          <w:szCs w:val="20"/>
          <w:color w:val="auto"/>
        </w:rPr>
      </w:pPr>
      <w:r>
        <w:rPr>
          <w:rFonts w:ascii="Times New Roman" w:cs="Times New Roman" w:eastAsia="Times New Roman" w:hAnsi="Times New Roman"/>
          <w:sz w:val="20"/>
          <w:szCs w:val="20"/>
          <w:color w:val="auto"/>
        </w:rPr>
        <w:t>NOW, THEREFORE, the parties hereto, in consideration of their mutual covenants and agreements hereinafter set forth and intending to be legally bound hereby, covenant and agree as follows:</w:t>
      </w:r>
    </w:p>
    <w:p>
      <w:pPr>
        <w:spacing w:after="0" w:line="140" w:lineRule="exact"/>
        <w:rPr>
          <w:sz w:val="20"/>
          <w:szCs w:val="20"/>
          <w:color w:val="auto"/>
        </w:rPr>
      </w:pPr>
    </w:p>
    <w:p>
      <w:pPr>
        <w:jc w:val="both"/>
        <w:ind w:firstLine="604"/>
        <w:spacing w:after="0" w:line="230" w:lineRule="auto"/>
        <w:tabs>
          <w:tab w:leader="none" w:pos="120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Except as set forth in this Amendment, defined terms used herein shall have the meanings given to them in the Credit Agreement and the rules of construction set forth in Section 1.1 [Certain Definitions] of the Credit Agreement shall apply to this Amendment.</w:t>
      </w:r>
    </w:p>
    <w:p>
      <w:pPr>
        <w:spacing w:after="0" w:line="143" w:lineRule="exact"/>
        <w:rPr>
          <w:rFonts w:ascii="Times New Roman" w:cs="Times New Roman" w:eastAsia="Times New Roman" w:hAnsi="Times New Roman"/>
          <w:sz w:val="20"/>
          <w:szCs w:val="20"/>
          <w:color w:val="auto"/>
        </w:rPr>
      </w:pPr>
    </w:p>
    <w:p>
      <w:pPr>
        <w:jc w:val="both"/>
        <w:ind w:firstLine="604"/>
        <w:spacing w:after="0"/>
        <w:tabs>
          <w:tab w:leader="none" w:pos="120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LIBOR Rate Loans</w:t>
      </w:r>
      <w:r>
        <w:rPr>
          <w:rFonts w:ascii="Times New Roman" w:cs="Times New Roman" w:eastAsia="Times New Roman" w:hAnsi="Times New Roman"/>
          <w:sz w:val="20"/>
          <w:szCs w:val="20"/>
          <w:color w:val="auto"/>
        </w:rPr>
        <w:t>. Notwithstanding anything contained in this Amendment, the terms of the Credit Agreement applicable to Loans under the LIBOR Rate Option (as defined in the Credit Agreement immediately prior to the date hereof) shall continue in full force and effect and shall continue to apply to each Loan under the LIBOR Rate Option with an Interest Period that commenced prior to the First Amendment Effective Date until the expiration of the then current Interest Period for such Loan under the LIBOR Rate Option.</w:t>
      </w:r>
    </w:p>
    <w:p>
      <w:pPr>
        <w:spacing w:after="0" w:line="287" w:lineRule="exact"/>
        <w:rPr>
          <w:rFonts w:ascii="Times New Roman" w:cs="Times New Roman" w:eastAsia="Times New Roman" w:hAnsi="Times New Roman"/>
          <w:sz w:val="20"/>
          <w:szCs w:val="20"/>
          <w:color w:val="auto"/>
        </w:rPr>
      </w:pPr>
    </w:p>
    <w:p>
      <w:pPr>
        <w:ind w:left="1200" w:hanging="596"/>
        <w:spacing w:after="0"/>
        <w:tabs>
          <w:tab w:leader="none" w:pos="12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1208"/>
        <w:spacing w:after="0" w:line="222" w:lineRule="auto"/>
        <w:tabs>
          <w:tab w:leader="none" w:pos="180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color w:val="00B05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00B050"/>
        </w:rPr>
        <w:t>double-underlined text</w:t>
      </w:r>
      <w:r>
        <w:rPr>
          <w:rFonts w:ascii="Times New Roman" w:cs="Times New Roman" w:eastAsia="Times New Roman" w:hAnsi="Times New Roman"/>
          <w:sz w:val="20"/>
          <w:szCs w:val="20"/>
          <w:color w:val="auto"/>
        </w:rPr>
        <w:t xml:space="preserve">) as set forth in the pages of the amended Credit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Schedule, Exhibit or other attachment to the Credit Agreement not amended pursuant to the terms of this Amendment or otherwise included as part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remain in effect without any amendment or other modification thereto.</w:t>
      </w:r>
    </w:p>
    <w:p>
      <w:pPr>
        <w:spacing w:after="0" w:line="144"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07"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Schedules 1.1(A) and 1.1(B) of the Credit Agreement</w:t>
      </w:r>
      <w:r>
        <w:rPr>
          <w:rFonts w:ascii="Times New Roman" w:cs="Times New Roman" w:eastAsia="Times New Roman" w:hAnsi="Times New Roman"/>
          <w:sz w:val="20"/>
          <w:szCs w:val="20"/>
          <w:color w:val="auto"/>
        </w:rPr>
        <w:t xml:space="preserve">. Schedules 1.1(A) [Pricing] and Schedule 1.1(B) [Commitments of Lenders and Addresses for Notice] of the Credit Agreement is hereby amended and restated in full as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43" w:lineRule="exact"/>
        <w:rPr>
          <w:rFonts w:ascii="Times New Roman" w:cs="Times New Roman" w:eastAsia="Times New Roman" w:hAnsi="Times New Roman"/>
          <w:sz w:val="20"/>
          <w:szCs w:val="20"/>
          <w:color w:val="auto"/>
        </w:rPr>
      </w:pPr>
    </w:p>
    <w:p>
      <w:pPr>
        <w:ind w:firstLine="1208"/>
        <w:spacing w:after="0" w:line="242" w:lineRule="auto"/>
        <w:tabs>
          <w:tab w:leader="none" w:pos="180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 2.5.1 of the Credit Agreement</w:t>
      </w:r>
      <w:r>
        <w:rPr>
          <w:rFonts w:ascii="Times New Roman" w:cs="Times New Roman" w:eastAsia="Times New Roman" w:hAnsi="Times New Roman"/>
          <w:sz w:val="20"/>
          <w:szCs w:val="20"/>
          <w:color w:val="auto"/>
        </w:rPr>
        <w:t xml:space="preserve">. Exhibit 2.5.1 [Loan Request] of the Credit Agreement is hereby amended and restated in full as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05" w:right="339" w:bottom="1440" w:gutter="0" w:footer="0" w:header="0"/>
        </w:sectPr>
      </w:pPr>
    </w:p>
    <w:bookmarkStart w:id="79" w:name="page80"/>
    <w:bookmarkEnd w:id="79"/>
    <w:p>
      <w:pPr>
        <w:ind w:firstLine="604"/>
        <w:spacing w:after="0" w:line="242" w:lineRule="auto"/>
        <w:tabs>
          <w:tab w:leader="none" w:pos="120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Loan Parties and the Administrative Agent acknowledge and agree that the amendments set forth herein shall only be effective upon the occurrence of all the following conditions precedent:</w:t>
      </w:r>
    </w:p>
    <w:p>
      <w:pPr>
        <w:spacing w:after="0" w:line="140" w:lineRule="exact"/>
        <w:rPr>
          <w:rFonts w:ascii="Times New Roman" w:cs="Times New Roman" w:eastAsia="Times New Roman" w:hAnsi="Times New Roman"/>
          <w:sz w:val="20"/>
          <w:szCs w:val="20"/>
          <w:color w:val="auto"/>
        </w:rPr>
      </w:pPr>
    </w:p>
    <w:p>
      <w:pPr>
        <w:jc w:val="both"/>
        <w:ind w:firstLine="1208"/>
        <w:spacing w:after="0"/>
        <w:tabs>
          <w:tab w:leader="none" w:pos="180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Administrative Agent shall have received a counterpart signature page (whether the same or different counterparts) to this Amendment duly executed and delivered by each Loan Party, the Lenders and the Administrative Agent and an amended and restated revolving credit Note duly executed by the Borrower, and if an original signature page is not delivered on or before the First Amendment Effective Date, the Loan Parties covenant to deliver such original not later than the fifth (5th) Business Day thereafter.</w:t>
      </w:r>
    </w:p>
    <w:p>
      <w:pPr>
        <w:spacing w:after="0" w:line="287" w:lineRule="exact"/>
        <w:rPr>
          <w:rFonts w:ascii="Times New Roman" w:cs="Times New Roman" w:eastAsia="Times New Roman" w:hAnsi="Times New Roman"/>
          <w:sz w:val="20"/>
          <w:szCs w:val="20"/>
          <w:color w:val="auto"/>
        </w:rPr>
      </w:pPr>
    </w:p>
    <w:p>
      <w:pPr>
        <w:jc w:val="both"/>
        <w:ind w:firstLine="1208"/>
        <w:spacing w:after="0" w:line="225" w:lineRule="auto"/>
        <w:tabs>
          <w:tab w:leader="none" w:pos="180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Borrower shall have paid to the Administrative Agent: (i) the fees and expenses set forth in the first amendment fee letter, dated as of the date hereof, executed by the Borrower and the Administrative Agent and (ii) all reasonable, documented out-of-pocket costs and expenses of the Administrative Agent, including without limitation, reasonable, documented fees of the Administrative Agent's counsel in connection with this Amendment.</w:t>
      </w:r>
    </w:p>
    <w:p>
      <w:pPr>
        <w:spacing w:after="0" w:line="143" w:lineRule="exact"/>
        <w:rPr>
          <w:rFonts w:ascii="Times New Roman" w:cs="Times New Roman" w:eastAsia="Times New Roman" w:hAnsi="Times New Roman"/>
          <w:sz w:val="20"/>
          <w:szCs w:val="20"/>
          <w:color w:val="auto"/>
        </w:rPr>
      </w:pPr>
    </w:p>
    <w:p>
      <w:pPr>
        <w:jc w:val="both"/>
        <w:ind w:firstLine="1208"/>
        <w:spacing w:after="0"/>
        <w:tabs>
          <w:tab w:leader="none" w:pos="180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The Administrative Agent shall have received a certificate, dated as of the date hereof, signed by an Authorized Officer stating that (i) all representations and warranties of the Loan Parties set forth in the Credit Agreement are true and correct in all material respects, (ii) the Loan Parties are in compliance with each of the covenants and conditions of the Credit Agreement, (iii) no Event of Default or Potential Default exists, and (iv) no Material Adverse Change has occurred since December 31, 2021;</w:t>
      </w:r>
    </w:p>
    <w:p>
      <w:pPr>
        <w:spacing w:after="0" w:line="287" w:lineRule="exact"/>
        <w:rPr>
          <w:rFonts w:ascii="Times New Roman" w:cs="Times New Roman" w:eastAsia="Times New Roman" w:hAnsi="Times New Roman"/>
          <w:sz w:val="20"/>
          <w:szCs w:val="20"/>
          <w:color w:val="auto"/>
        </w:rPr>
      </w:pPr>
    </w:p>
    <w:p>
      <w:pPr>
        <w:jc w:val="both"/>
        <w:ind w:firstLine="1208"/>
        <w:spacing w:after="0" w:line="220" w:lineRule="auto"/>
        <w:tabs>
          <w:tab w:leader="none" w:pos="180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Certificate</w:t>
      </w:r>
      <w:r>
        <w:rPr>
          <w:rFonts w:ascii="Times New Roman" w:cs="Times New Roman" w:eastAsia="Times New Roman" w:hAnsi="Times New Roman"/>
          <w:sz w:val="20"/>
          <w:szCs w:val="20"/>
          <w:color w:val="auto"/>
        </w:rPr>
        <w:t>. The Administrative Agent shall have received a certificate, dated as of the date hereof, signed by the Secretary or an Assistant Secretary of each of the Loan Parties, certifying as appropriate as to: (a) all action taken by each Loan Party in connection with this Amendment; (b) the names of the Authorized Officers authorized to sign the Loan Documents and their true signatures; and (c) copies of its organizational documents as in effect on the First Amendment Effective Date certified by the appropriate state official where such documents are filed in a state office together with certificates from the appropriate state officials as to the continued existence and good standing of each Loan Party in each state where organized;</w:t>
      </w:r>
    </w:p>
    <w:p>
      <w:pPr>
        <w:spacing w:after="0" w:line="144" w:lineRule="exact"/>
        <w:rPr>
          <w:rFonts w:ascii="Times New Roman" w:cs="Times New Roman" w:eastAsia="Times New Roman" w:hAnsi="Times New Roman"/>
          <w:sz w:val="20"/>
          <w:szCs w:val="20"/>
          <w:color w:val="auto"/>
        </w:rPr>
      </w:pPr>
    </w:p>
    <w:p>
      <w:pPr>
        <w:ind w:firstLine="1208"/>
        <w:spacing w:after="0" w:line="242" w:lineRule="auto"/>
        <w:tabs>
          <w:tab w:leader="none" w:pos="180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w:t>
      </w:r>
      <w:r>
        <w:rPr>
          <w:rFonts w:ascii="Times New Roman" w:cs="Times New Roman" w:eastAsia="Times New Roman" w:hAnsi="Times New Roman"/>
          <w:sz w:val="20"/>
          <w:szCs w:val="20"/>
          <w:color w:val="auto"/>
        </w:rPr>
        <w:t>. The Administrative Agent shall have received a written opinion of counsel for the Loan Parties, dated as of the date hereof, and in form and substance satisfactory to the Administrative Agent;</w:t>
      </w:r>
    </w:p>
    <w:p>
      <w:pPr>
        <w:spacing w:after="0" w:line="140"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11"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Administrative Agent shall have received evidence that adequate insurance required to be maintained under the Credit Agreement is in full force and effect, with additional insured special endorsements attached thereto in form and substance reasonably satisfactory to the Administrative Agent and its counsel naming the Administrative Agent as additional insured;</w:t>
      </w:r>
    </w:p>
    <w:p>
      <w:pPr>
        <w:spacing w:after="0" w:line="143" w:lineRule="exact"/>
        <w:rPr>
          <w:rFonts w:ascii="Times New Roman" w:cs="Times New Roman" w:eastAsia="Times New Roman" w:hAnsi="Times New Roman"/>
          <w:sz w:val="20"/>
          <w:szCs w:val="20"/>
          <w:color w:val="auto"/>
        </w:rPr>
      </w:pPr>
    </w:p>
    <w:p>
      <w:pPr>
        <w:jc w:val="both"/>
        <w:ind w:firstLine="1208"/>
        <w:spacing w:after="0"/>
        <w:tabs>
          <w:tab w:leader="none" w:pos="180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Consents</w:t>
      </w:r>
      <w:r>
        <w:rPr>
          <w:rFonts w:ascii="Times New Roman" w:cs="Times New Roman" w:eastAsia="Times New Roman" w:hAnsi="Times New Roman"/>
          <w:sz w:val="20"/>
          <w:szCs w:val="20"/>
          <w:color w:val="auto"/>
        </w:rPr>
        <w:t>. The Loan Parties shall have received all material consents, licenses and approvals required for the delivery and performance by any Loan Party of any Loan Document and the enforceability of any Loan Document against such Loan Party;</w:t>
      </w:r>
    </w:p>
    <w:p>
      <w:pPr>
        <w:spacing w:after="0" w:line="338" w:lineRule="exact"/>
        <w:rPr>
          <w:rFonts w:ascii="Times New Roman" w:cs="Times New Roman" w:eastAsia="Times New Roman" w:hAnsi="Times New Roman"/>
          <w:sz w:val="20"/>
          <w:szCs w:val="20"/>
          <w:color w:val="auto"/>
        </w:rPr>
      </w:pPr>
    </w:p>
    <w:p>
      <w:pPr>
        <w:ind w:left="1800" w:hanging="592"/>
        <w:spacing w:after="0"/>
        <w:tabs>
          <w:tab w:leader="none" w:pos="18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The Administrative Agent shall have received lien searches in acceptable scope and with acceptable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w:t>
      </w:r>
    </w:p>
    <w:p>
      <w:pPr>
        <w:spacing w:after="0" w:line="150" w:lineRule="exact"/>
        <w:rPr>
          <w:rFonts w:ascii="Times New Roman" w:cs="Times New Roman" w:eastAsia="Times New Roman" w:hAnsi="Times New Roman"/>
          <w:sz w:val="20"/>
          <w:szCs w:val="20"/>
          <w:color w:val="auto"/>
        </w:rPr>
      </w:pPr>
    </w:p>
    <w:p>
      <w:pPr>
        <w:ind w:firstLine="1208"/>
        <w:spacing w:after="0" w:line="242" w:lineRule="auto"/>
        <w:tabs>
          <w:tab w:leader="none" w:pos="18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The Administrative Agent shall have received such other documents, agreements, instruments, deliverables and items deemed reasonably necessary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09" w:right="339" w:bottom="1440" w:gutter="0" w:footer="0" w:header="0"/>
        </w:sectPr>
      </w:pPr>
    </w:p>
    <w:bookmarkStart w:id="80" w:name="page81"/>
    <w:bookmarkEnd w:id="80"/>
    <w:p>
      <w:pPr>
        <w:ind w:firstLine="604"/>
        <w:spacing w:after="0" w:line="242" w:lineRule="auto"/>
        <w:tabs>
          <w:tab w:leader="none" w:pos="120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covenants and agrees with and represents and warrants to the Administrative Agent and the Lenders as follows:</w:t>
      </w:r>
    </w:p>
    <w:p>
      <w:pPr>
        <w:spacing w:after="0" w:line="140"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08"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possesses all of the powers requisite for it to enter into and carry out the transactions referred to herein and to execute, enter into and perform the terms and conditions of this Amendment, the Credit Agreement and the other Loan Documents and any other documents contemplated herein that are to be performed by such Loan Party;</w:t>
      </w:r>
    </w:p>
    <w:p>
      <w:pPr>
        <w:spacing w:after="0" w:line="143"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07"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that any and all actions required or necessary pursuant to such Loan Party's organizational documents or otherwise have been taken to authorize the due execution, delivery and performance by such Loan Party of the terms and conditions of this Amendment;</w:t>
      </w:r>
    </w:p>
    <w:p>
      <w:pPr>
        <w:spacing w:after="0" w:line="137" w:lineRule="exact"/>
        <w:rPr>
          <w:rFonts w:ascii="Times New Roman" w:cs="Times New Roman" w:eastAsia="Times New Roman" w:hAnsi="Times New Roman"/>
          <w:sz w:val="20"/>
          <w:szCs w:val="20"/>
          <w:color w:val="auto"/>
        </w:rPr>
      </w:pPr>
    </w:p>
    <w:p>
      <w:pPr>
        <w:ind w:left="1800" w:hanging="592"/>
        <w:spacing w:after="0"/>
        <w:tabs>
          <w:tab w:leader="none" w:pos="1800"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officer of such Loan Party executing this Amendment are the duly elected, qualified and acting officers of such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Party;</w:t>
      </w:r>
    </w:p>
    <w:p>
      <w:pPr>
        <w:spacing w:after="0" w:line="150" w:lineRule="exact"/>
        <w:rPr>
          <w:rFonts w:ascii="Times New Roman" w:cs="Times New Roman" w:eastAsia="Times New Roman" w:hAnsi="Times New Roman"/>
          <w:sz w:val="20"/>
          <w:szCs w:val="20"/>
          <w:color w:val="auto"/>
        </w:rPr>
      </w:pPr>
    </w:p>
    <w:p>
      <w:pPr>
        <w:jc w:val="both"/>
        <w:ind w:firstLine="1208"/>
        <w:spacing w:after="0" w:line="212" w:lineRule="auto"/>
        <w:tabs>
          <w:tab w:leader="none" w:pos="1807"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the Credit Agreement and the other Loan Documents and any other documents contemplated herein (i) do not violate any provisions of (A) any applicable law, statute, rule, regulation, ordinance or tariff, (B) any order of any Official Body binding on such Loan Party or any of its properties, or (C) the certificate of incorporation, bylaws, certificate of limited partnership, partnership agreement, certificate of formation, limited liability company agreement or other organizational documents of any Loan Party; (ii) are not in conflict with, and do not result in a breach or default of or constitute an event of default, or an event, fact, condition or circumstance which, with notice or passage of time, or both, would constitute or result in a conflict, breach, default or event of default under, any indenture, agreement or other instrument to which such Loan Party is a party, or by which the properties or assets of such Loan Party is bound, the effect of which would constitute a Material Adverse Change;</w:t>
      </w:r>
    </w:p>
    <w:p>
      <w:pPr>
        <w:spacing w:after="0" w:line="7" w:lineRule="exact"/>
        <w:rPr>
          <w:rFonts w:ascii="Times New Roman" w:cs="Times New Roman" w:eastAsia="Times New Roman" w:hAnsi="Times New Roman"/>
          <w:sz w:val="20"/>
          <w:szCs w:val="20"/>
          <w:color w:val="auto"/>
        </w:rPr>
      </w:pPr>
    </w:p>
    <w:p>
      <w:pPr>
        <w:jc w:val="both"/>
        <w:ind w:firstLine="1"/>
        <w:spacing w:after="0" w:line="216" w:lineRule="auto"/>
        <w:tabs>
          <w:tab w:leader="none" w:pos="36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require authorizations, approvals, actions, notices and filings other than those that have been (or contemporaneously herewith will be) duly obtained, taken, given or made and are (or, upon obtaining, taking, giving or making any such authorization, approval, action, notice or filing, will be) in full force and effect and (iv) when executed and delivered, will constitute the legal, valid and binding obligation of such Loan Party, enforceable against such Loan Party in accordance with its terms, subject to the effect of any applicable bankruptcy, moratorium, insolvency, reorganization or other similar law affecting the enforceability of creditors' rights generally and to the effect of general principles of equity which may limit the availability of equitable remedies (whether in a proceeding at law or in equity).</w:t>
      </w:r>
    </w:p>
    <w:p>
      <w:pPr>
        <w:spacing w:after="0" w:line="145" w:lineRule="exact"/>
        <w:rPr>
          <w:rFonts w:ascii="Times New Roman" w:cs="Times New Roman" w:eastAsia="Times New Roman" w:hAnsi="Times New Roman"/>
          <w:sz w:val="20"/>
          <w:szCs w:val="20"/>
          <w:color w:val="auto"/>
        </w:rPr>
      </w:pPr>
    </w:p>
    <w:p>
      <w:pPr>
        <w:jc w:val="both"/>
        <w:ind w:firstLine="1208"/>
        <w:spacing w:after="0" w:line="220" w:lineRule="auto"/>
        <w:tabs>
          <w:tab w:leader="none" w:pos="1808"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made by each Loan Party in the Credit Agreement and the other Loan Documents are true and correct in all material respects (unless qualified by materiality or reference to the absence of a Material Adverse Change, in which event shall be true and correct), except to the extent that such representations and warranties specifically refer to an earlier date, in which case they shall be true and correct as of such earlier date, and the representations and warranties contained in Section 6.1.7 [Financial Statements] of the Credit Agreement shall be deemed to refer to the most recent statements furnished pursuant to Section 8.3 [Reporting Requirements]of the Credit Agreement;</w:t>
      </w:r>
    </w:p>
    <w:p>
      <w:pPr>
        <w:spacing w:after="0" w:line="137" w:lineRule="exact"/>
        <w:rPr>
          <w:rFonts w:ascii="Times New Roman" w:cs="Times New Roman" w:eastAsia="Times New Roman" w:hAnsi="Times New Roman"/>
          <w:sz w:val="20"/>
          <w:szCs w:val="20"/>
          <w:color w:val="auto"/>
        </w:rPr>
      </w:pPr>
    </w:p>
    <w:p>
      <w:pPr>
        <w:ind w:left="1820" w:hanging="612"/>
        <w:spacing w:after="0"/>
        <w:tabs>
          <w:tab w:leader="none" w:pos="182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Potential Default or Event of Default has occurred and is continuing under the Credit Agreement or the other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Documents;</w:t>
      </w:r>
    </w:p>
    <w:p>
      <w:pPr>
        <w:spacing w:after="0" w:line="150" w:lineRule="exact"/>
        <w:rPr>
          <w:rFonts w:ascii="Times New Roman" w:cs="Times New Roman" w:eastAsia="Times New Roman" w:hAnsi="Times New Roman"/>
          <w:sz w:val="20"/>
          <w:szCs w:val="20"/>
          <w:color w:val="auto"/>
        </w:rPr>
      </w:pPr>
    </w:p>
    <w:p>
      <w:pPr>
        <w:ind w:firstLine="1208"/>
        <w:spacing w:after="0" w:line="242" w:lineRule="auto"/>
        <w:tabs>
          <w:tab w:leader="none" w:pos="1807"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Adverse Change shall have occurred since the date of the last audited financial statements of the Borrower delivered to the Administrative Agent; and</w:t>
      </w:r>
    </w:p>
    <w:p>
      <w:pPr>
        <w:spacing w:after="0" w:line="140" w:lineRule="exact"/>
        <w:rPr>
          <w:rFonts w:ascii="Times New Roman" w:cs="Times New Roman" w:eastAsia="Times New Roman" w:hAnsi="Times New Roman"/>
          <w:sz w:val="20"/>
          <w:szCs w:val="20"/>
          <w:color w:val="auto"/>
        </w:rPr>
      </w:pPr>
    </w:p>
    <w:p>
      <w:pPr>
        <w:ind w:firstLine="1208"/>
        <w:spacing w:after="0" w:line="242" w:lineRule="auto"/>
        <w:tabs>
          <w:tab w:leader="none" w:pos="1807"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not a substitution, novation, discharge or release of any Loan Party's obligations under the Credit Agreement or any of the other Loan Documents, all of which shall and are intended to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09" w:right="339" w:bottom="1440" w:gutter="0" w:footer="0" w:header="0"/>
        </w:sectPr>
      </w:pPr>
    </w:p>
    <w:bookmarkStart w:id="81" w:name="page82"/>
    <w:bookmarkEnd w:id="81"/>
    <w:p>
      <w:pPr>
        <w:jc w:val="both"/>
        <w:ind w:firstLine="604"/>
        <w:spacing w:after="0" w:line="220"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Except as expressly modified herein and hereby, the Credit Agreement and the other Loan Documents are hereby ratified and confirmed and shall be and remain in full force and effect in accordance with their respective terms, and this Amendment shall not be construed to waive or impair any rights, powers or remedies of the Administrative Agent under the Credit Agreement or the other Loan Documents. In the event of any inconsistency between the terms of this Amendment and the Credit Agreement or the other Loan Documents, this Amendment shall govern. This Amendment shall be construed without regard to any presumption or rule requiring that it be construed against the party causing this Amendment or any part hereof to be drafted.</w:t>
      </w:r>
    </w:p>
    <w:p>
      <w:pPr>
        <w:spacing w:after="0" w:line="144" w:lineRule="exact"/>
        <w:rPr>
          <w:rFonts w:ascii="Times New Roman" w:cs="Times New Roman" w:eastAsia="Times New Roman" w:hAnsi="Times New Roman"/>
          <w:sz w:val="20"/>
          <w:szCs w:val="20"/>
          <w:color w:val="auto"/>
        </w:rPr>
      </w:pPr>
    </w:p>
    <w:p>
      <w:pPr>
        <w:ind w:firstLine="604"/>
        <w:spacing w:after="0" w:line="242"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deemed to be a contract under the Laws of the State of New York without regard to its conflict of laws principles other than Section 5-1401 and Section 5-1402 of the New York General Obligations Law.</w:t>
      </w:r>
    </w:p>
    <w:p>
      <w:pPr>
        <w:spacing w:after="0" w:line="140" w:lineRule="exact"/>
        <w:rPr>
          <w:rFonts w:ascii="Times New Roman" w:cs="Times New Roman" w:eastAsia="Times New Roman" w:hAnsi="Times New Roman"/>
          <w:sz w:val="20"/>
          <w:szCs w:val="20"/>
          <w:color w:val="auto"/>
        </w:rPr>
      </w:pPr>
    </w:p>
    <w:p>
      <w:pPr>
        <w:jc w:val="both"/>
        <w:ind w:firstLine="604"/>
        <w:spacing w:after="0" w:line="230"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Effective Date</w:t>
      </w:r>
      <w:r>
        <w:rPr>
          <w:rFonts w:ascii="Times New Roman" w:cs="Times New Roman" w:eastAsia="Times New Roman" w:hAnsi="Times New Roman"/>
          <w:sz w:val="20"/>
          <w:szCs w:val="20"/>
          <w:color w:val="auto"/>
        </w:rPr>
        <w:t>. This Amendment may be executed in counterparts (and by different parties hereto in different counterparts), each of which shall constitute an original, but all of which when taken together shall constitute a single contract. This Amendment shall be effective as of the date first set forth above.</w:t>
      </w:r>
    </w:p>
    <w:p>
      <w:pPr>
        <w:spacing w:after="0" w:line="143" w:lineRule="exact"/>
        <w:rPr>
          <w:rFonts w:ascii="Times New Roman" w:cs="Times New Roman" w:eastAsia="Times New Roman" w:hAnsi="Times New Roman"/>
          <w:sz w:val="20"/>
          <w:szCs w:val="20"/>
          <w:color w:val="auto"/>
        </w:rPr>
      </w:pPr>
    </w:p>
    <w:p>
      <w:pPr>
        <w:jc w:val="both"/>
        <w:ind w:firstLine="604"/>
        <w:spacing w:after="0" w:line="225"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Amendment are intended to be severable. If any provision of this Amendment shall be held invalid or unenforceable in whole or in part in any jurisdiction, such provision shall, as to such jurisdiction, be ineffective to the extent of such invalidity or enforceability without in any manner affecting the validity or enforceability of such provision in any other jurisdiction or the remaining provisions of this Amendment in any jurisdiction.</w:t>
      </w:r>
    </w:p>
    <w:p>
      <w:pPr>
        <w:spacing w:after="0" w:line="144" w:lineRule="exact"/>
        <w:rPr>
          <w:rFonts w:ascii="Times New Roman" w:cs="Times New Roman" w:eastAsia="Times New Roman" w:hAnsi="Times New Roman"/>
          <w:sz w:val="20"/>
          <w:szCs w:val="20"/>
          <w:color w:val="auto"/>
        </w:rPr>
      </w:pPr>
    </w:p>
    <w:p>
      <w:pPr>
        <w:ind w:firstLine="604"/>
        <w:spacing w:after="0" w:line="242"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with respect to this Amendment shall be given in the manner provided for in Section 11.5 [Notices; Effectiveness; Electronic Communication] of the Credit Agreement.</w:t>
      </w:r>
    </w:p>
    <w:p>
      <w:pPr>
        <w:spacing w:after="0" w:line="140" w:lineRule="exact"/>
        <w:rPr>
          <w:rFonts w:ascii="Times New Roman" w:cs="Times New Roman" w:eastAsia="Times New Roman" w:hAnsi="Times New Roman"/>
          <w:sz w:val="20"/>
          <w:szCs w:val="20"/>
          <w:color w:val="auto"/>
        </w:rPr>
      </w:pPr>
    </w:p>
    <w:p>
      <w:pPr>
        <w:ind w:firstLine="604"/>
        <w:spacing w:after="0" w:line="242" w:lineRule="auto"/>
        <w:tabs>
          <w:tab w:leader="none" w:pos="12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representations, warranties, covenants, agreements, undertakings, waivers and releases of the Loan Parties contained herein shall survive payment in full of the Obligations.</w:t>
      </w:r>
    </w:p>
    <w:p>
      <w:pPr>
        <w:spacing w:after="0" w:line="140" w:lineRule="exact"/>
        <w:rPr>
          <w:rFonts w:ascii="Times New Roman" w:cs="Times New Roman" w:eastAsia="Times New Roman" w:hAnsi="Times New Roman"/>
          <w:sz w:val="20"/>
          <w:szCs w:val="20"/>
          <w:color w:val="auto"/>
        </w:rPr>
      </w:pPr>
    </w:p>
    <w:p>
      <w:pPr>
        <w:ind w:firstLine="604"/>
        <w:spacing w:after="0" w:line="242"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No amendment, modification, rescission, waiver or release of any provision of this Amendment shall be effective unless the same shall be in writing and signed by the parties hereto.</w:t>
      </w:r>
    </w:p>
    <w:p>
      <w:pPr>
        <w:spacing w:after="0" w:line="140" w:lineRule="exact"/>
        <w:rPr>
          <w:rFonts w:ascii="Times New Roman" w:cs="Times New Roman" w:eastAsia="Times New Roman" w:hAnsi="Times New Roman"/>
          <w:sz w:val="20"/>
          <w:szCs w:val="20"/>
          <w:color w:val="auto"/>
        </w:rPr>
      </w:pPr>
    </w:p>
    <w:p>
      <w:pPr>
        <w:jc w:val="both"/>
        <w:ind w:firstLine="604"/>
        <w:spacing w:after="0" w:line="220"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THE CREDIT AGREEMENT AND THE LOAN DOCUMENTS EMBODY THE FINAL, ENTIRE AGREEMENT AMONG THE PARTIES HERETO AND SUPERSEDE ANY AND ALL PRIOR COMMITMENTS, AGREEMENTS, REPRESENTATIONS, AND UNDERSTANDINGS, WHETHER WRITTEN OR ORAL, RELATING TO THE SUBJECT MATTER HEREOF AND MAY NOT BE CONTRADICTED OR VARIED BY EVIDENCE OF PRIOR, CONTEMPORANEOUS OR SUBSEQUENT ORAL AGREEMENTS OR DISCUSSIONS OF THE PARTIES HERETO. THERE ARE NO ORAL AGREEMENTS AMONG THE PARTIES HERETO.</w:t>
      </w:r>
    </w:p>
    <w:p>
      <w:pPr>
        <w:spacing w:after="0" w:line="144" w:lineRule="exact"/>
        <w:rPr>
          <w:rFonts w:ascii="Times New Roman" w:cs="Times New Roman" w:eastAsia="Times New Roman" w:hAnsi="Times New Roman"/>
          <w:sz w:val="20"/>
          <w:szCs w:val="20"/>
          <w:color w:val="auto"/>
        </w:rPr>
      </w:pPr>
    </w:p>
    <w:p>
      <w:pPr>
        <w:ind w:firstLine="604"/>
        <w:spacing w:after="0" w:line="242"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Defenses</w:t>
      </w:r>
      <w:r>
        <w:rPr>
          <w:rFonts w:ascii="Times New Roman" w:cs="Times New Roman" w:eastAsia="Times New Roman" w:hAnsi="Times New Roman"/>
          <w:sz w:val="20"/>
          <w:szCs w:val="20"/>
          <w:color w:val="auto"/>
        </w:rPr>
        <w:t>. The Loan Parties acknowledge and agree that the Credit Agreement and the Loan Documents are valid and enforceable and that none of them has any offsets or defenses to the enforcement of the terms and provisions contained in any thereof.</w:t>
      </w:r>
    </w:p>
    <w:p>
      <w:pPr>
        <w:spacing w:after="0" w:line="140" w:lineRule="exact"/>
        <w:rPr>
          <w:rFonts w:ascii="Times New Roman" w:cs="Times New Roman" w:eastAsia="Times New Roman" w:hAnsi="Times New Roman"/>
          <w:sz w:val="20"/>
          <w:szCs w:val="20"/>
          <w:color w:val="auto"/>
        </w:rPr>
      </w:pPr>
    </w:p>
    <w:p>
      <w:pPr>
        <w:jc w:val="both"/>
        <w:ind w:firstLine="604"/>
        <w:spacing w:after="0" w:line="230" w:lineRule="auto"/>
        <w:tabs>
          <w:tab w:leader="none" w:pos="120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and Release</w:t>
      </w:r>
      <w:r>
        <w:rPr>
          <w:rFonts w:ascii="Times New Roman" w:cs="Times New Roman" w:eastAsia="Times New Roman" w:hAnsi="Times New Roman"/>
          <w:sz w:val="20"/>
          <w:szCs w:val="20"/>
          <w:color w:val="auto"/>
        </w:rPr>
        <w:t>. Each of the Loan Parties, by signing below, hereby waives and releases the Administrative Agent and the Lenders and their directors, officers, employees, attorneys, affiliates and subsidiaries from any and all claims, offsets, defenses and counterclaims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09" w:right="339" w:bottom="1440" w:gutter="0" w:footer="0" w:header="0"/>
        </w:sectPr>
      </w:pPr>
    </w:p>
    <w:bookmarkStart w:id="82" w:name="page83"/>
    <w:bookmarkEnd w:id="82"/>
    <w:p>
      <w:pPr>
        <w:spacing w:after="0" w:line="242" w:lineRule="auto"/>
        <w:rPr>
          <w:sz w:val="20"/>
          <w:szCs w:val="20"/>
          <w:color w:val="auto"/>
        </w:rPr>
      </w:pPr>
      <w:r>
        <w:rPr>
          <w:rFonts w:ascii="Times New Roman" w:cs="Times New Roman" w:eastAsia="Times New Roman" w:hAnsi="Times New Roman"/>
          <w:sz w:val="20"/>
          <w:szCs w:val="20"/>
          <w:color w:val="auto"/>
        </w:rPr>
        <w:t>of which any Loan Party is aware, such waiver and release being with full knowledge and understanding of the circumstances and effect thereof and after having consulted legal counsel with respect thereto.</w:t>
      </w:r>
    </w:p>
    <w:p>
      <w:pPr>
        <w:spacing w:after="0" w:line="140" w:lineRule="exact"/>
        <w:rPr>
          <w:sz w:val="20"/>
          <w:szCs w:val="20"/>
          <w:color w:val="auto"/>
        </w:rPr>
      </w:pPr>
    </w:p>
    <w:p>
      <w:pPr>
        <w:jc w:val="both"/>
        <w:ind w:firstLine="604"/>
        <w:spacing w:after="0" w:line="225" w:lineRule="auto"/>
        <w:tabs>
          <w:tab w:leader="none" w:pos="120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as Loan Document; Incorporation into Loan Documents</w:t>
      </w:r>
      <w:r>
        <w:rPr>
          <w:rFonts w:ascii="Times New Roman" w:cs="Times New Roman" w:eastAsia="Times New Roman" w:hAnsi="Times New Roman"/>
          <w:sz w:val="20"/>
          <w:szCs w:val="20"/>
          <w:color w:val="auto"/>
        </w:rPr>
        <w:t>. The parties hereto acknowledge and agree that this Amendment constitutes a Loan Document. This Amendment shall be incorporated into the Credit Agreement by this reference and each reference to the Credit Agreement that is made in the Credit Agreement or any other document executed or to be executed in connection therewith shall hereafter be construed as a reference to the Credit Agreement as amended hereby.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09" w:right="339" w:bottom="1440" w:gutter="0" w:footer="0" w:header="0"/>
        </w:sectPr>
      </w:pPr>
    </w:p>
    <w:bookmarkStart w:id="83" w:name="page84"/>
    <w:bookmarkEnd w:id="83"/>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TO FIRST AMENDMENT TO CREDIT AGREEMENT]</w:t>
      </w:r>
    </w:p>
    <w:p>
      <w:pPr>
        <w:spacing w:after="0" w:line="177" w:lineRule="exact"/>
        <w:rPr>
          <w:sz w:val="20"/>
          <w:szCs w:val="20"/>
          <w:color w:val="auto"/>
        </w:rPr>
      </w:pPr>
    </w:p>
    <w:p>
      <w:pPr>
        <w:ind w:firstLine="604"/>
        <w:spacing w:after="0" w:line="242" w:lineRule="auto"/>
        <w:rPr>
          <w:sz w:val="20"/>
          <w:szCs w:val="20"/>
          <w:color w:val="auto"/>
        </w:rPr>
      </w:pPr>
      <w:r>
        <w:rPr>
          <w:rFonts w:ascii="Times New Roman" w:cs="Times New Roman" w:eastAsia="Times New Roman" w:hAnsi="Times New Roman"/>
          <w:sz w:val="20"/>
          <w:szCs w:val="20"/>
          <w:color w:val="auto"/>
        </w:rPr>
        <w:t>IN WITNESS WHEREOF, and intending to be legally bound, the parties hereto, by their officers thereunto duly authorized, have executed this Amendment as of the day and year first above written.</w:t>
      </w:r>
    </w:p>
    <w:p>
      <w:pPr>
        <w:spacing w:after="0" w:line="13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17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GENTEX CORPORATION</w:t>
      </w:r>
      <w:r>
        <w:rPr>
          <w:rFonts w:ascii="Times New Roman" w:cs="Times New Roman" w:eastAsia="Times New Roman" w:hAnsi="Times New Roman"/>
          <w:sz w:val="20"/>
          <w:szCs w:val="20"/>
          <w:color w:val="auto"/>
        </w:rPr>
        <w:t>, a Michigan corporation</w:t>
      </w:r>
    </w:p>
    <w:p>
      <w:pPr>
        <w:spacing w:after="0" w:line="200" w:lineRule="exact"/>
        <w:rPr>
          <w:sz w:val="20"/>
          <w:szCs w:val="20"/>
          <w:color w:val="auto"/>
        </w:rPr>
      </w:pPr>
    </w:p>
    <w:p>
      <w:pPr>
        <w:spacing w:after="0" w:line="37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-5080</wp:posOffset>
            </wp:positionV>
            <wp:extent cx="7670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ind w:left="3620"/>
        <w:spacing w:after="0" w:line="210"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-5080</wp:posOffset>
            </wp:positionV>
            <wp:extent cx="767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ind w:left="36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-23495</wp:posOffset>
            </wp:positionV>
            <wp:extent cx="767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color w:val="auto"/>
        </w:rPr>
        <w:t>[SIGNATURE PAGE TO FIRST AMENDMENT TO CREDIT AGREEMENT]</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individually and as Administrative Agent</w:t>
      </w:r>
    </w:p>
    <w:p>
      <w:pPr>
        <w:spacing w:after="0" w:line="37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-5080</wp:posOffset>
            </wp:positionV>
            <wp:extent cx="767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ind w:left="2500"/>
        <w:spacing w:after="0" w:line="210"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1930400</wp:posOffset>
            </wp:positionH>
            <wp:positionV relativeFrom="paragraph">
              <wp:posOffset>-5080</wp:posOffset>
            </wp:positionV>
            <wp:extent cx="767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ind w:left="2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-23495</wp:posOffset>
            </wp:positionV>
            <wp:extent cx="7670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ectPr>
          <w:pgSz w:w="11900" w:h="16838" w:orient="portrait"/>
          <w:cols w:equalWidth="0" w:num="1">
            <w:col w:w="9600"/>
          </w:cols>
          <w:pgMar w:left="1440" w:top="1440" w:right="859" w:bottom="1440" w:gutter="0" w:footer="0" w:header="0"/>
        </w:sectPr>
      </w:pPr>
    </w:p>
    <w:bookmarkStart w:id="85" w:name="page86"/>
    <w:bookmarkEnd w:id="85"/>
    <w:p>
      <w:pPr>
        <w:spacing w:after="0" w:line="9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COMPOSITE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37785003_4</w:t>
      </w:r>
    </w:p>
    <w:p>
      <w:pPr>
        <w:sectPr>
          <w:pgSz w:w="11900" w:h="16838" w:orient="portrait"/>
          <w:cols w:equalWidth="0" w:num="1">
            <w:col w:w="10139"/>
          </w:cols>
          <w:pgMar w:left="320" w:top="1440" w:right="1440" w:bottom="1440" w:gutter="0" w:footer="0" w:header="0"/>
        </w:sectPr>
      </w:pPr>
    </w:p>
    <w:bookmarkStart w:id="86" w:name="page87"/>
    <w:bookmarkEnd w:id="86"/>
    <w:p>
      <w:pPr>
        <w:ind w:left="2900"/>
        <w:spacing w:after="0"/>
        <w:rPr>
          <w:sz w:val="20"/>
          <w:szCs w:val="20"/>
          <w:color w:val="auto"/>
        </w:rPr>
      </w:pPr>
      <w:r>
        <w:rPr>
          <w:rFonts w:ascii="Times New Roman" w:cs="Times New Roman" w:eastAsia="Times New Roman" w:hAnsi="Times New Roman"/>
          <w:sz w:val="20"/>
          <w:szCs w:val="20"/>
          <w:b w:val="1"/>
          <w:bCs w:val="1"/>
          <w:u w:val="single" w:color="auto"/>
          <w:color w:val="0000FF"/>
        </w:rPr>
        <w:t>Conformed through the First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color w:val="FF0000"/>
          <w:strike w:val="1"/>
        </w:rPr>
        <w:t>150,000,000</w:t>
      </w:r>
      <w:r>
        <w:rPr>
          <w:rFonts w:ascii="Times New Roman" w:cs="Times New Roman" w:eastAsia="Times New Roman" w:hAnsi="Times New Roman"/>
          <w:sz w:val="20"/>
          <w:szCs w:val="20"/>
          <w:b w:val="1"/>
          <w:bCs w:val="1"/>
          <w:u w:val="single" w:color="auto"/>
          <w:color w:val="0000FF"/>
        </w:rPr>
        <w:t>250,000,000</w:t>
      </w:r>
      <w:r>
        <w:rPr>
          <w:rFonts w:ascii="Times New Roman" w:cs="Times New Roman" w:eastAsia="Times New Roman" w:hAnsi="Times New Roman"/>
          <w:sz w:val="20"/>
          <w:szCs w:val="20"/>
          <w:b w:val="1"/>
          <w:bCs w:val="1"/>
          <w:color w:val="auto"/>
        </w:rPr>
        <w:t xml:space="preserve"> REVOLVING CREDIT FACILITY</w:t>
      </w:r>
    </w:p>
    <w:p>
      <w:pPr>
        <w:spacing w:after="0" w:line="3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GENTEX CORPORATION, as the Borrower</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THE GUARANTORS FROM TIME TO TIME PARTY HERETO</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PNC BANK, NATIONAL ASSOCIATION, as Administrative Agent</w:t>
      </w:r>
    </w:p>
    <w:p>
      <w:pPr>
        <w:spacing w:after="0" w:line="200" w:lineRule="exact"/>
        <w:rPr>
          <w:sz w:val="20"/>
          <w:szCs w:val="20"/>
          <w:color w:val="auto"/>
        </w:rPr>
      </w:pPr>
    </w:p>
    <w:p>
      <w:pPr>
        <w:spacing w:after="0" w:line="3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Dated as of October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37785003_4</w:t>
      </w:r>
    </w:p>
    <w:p>
      <w:pPr>
        <w:sectPr>
          <w:pgSz w:w="11900" w:h="16838" w:orient="portrait"/>
          <w:cols w:equalWidth="0" w:num="1">
            <w:col w:w="10139"/>
          </w:cols>
          <w:pgMar w:left="320" w:top="1305" w:right="1440" w:bottom="1440" w:gutter="0" w:footer="0" w:header="0"/>
        </w:sectPr>
      </w:pPr>
    </w:p>
    <w:bookmarkStart w:id="87" w:name="page88"/>
    <w:bookmarkEnd w:id="87"/>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20" w:type="dxa"/>
            <w:vAlign w:val="bottom"/>
            <w:gridSpan w:val="19"/>
          </w:tcPr>
          <w:p>
            <w:pPr>
              <w:ind w:left="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0" w:type="dxa"/>
            <w:vAlign w:val="bottom"/>
          </w:tcPr>
          <w:p>
            <w:pPr>
              <w:spacing w:after="0"/>
              <w:rPr>
                <w:sz w:val="1"/>
                <w:szCs w:val="1"/>
                <w:color w:val="auto"/>
              </w:rPr>
            </w:pPr>
          </w:p>
        </w:tc>
      </w:tr>
      <w:tr>
        <w:trPr>
          <w:trHeight w:val="383"/>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383"/>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3"/>
              </w:rPr>
              <w:t>1.</w:t>
            </w:r>
          </w:p>
        </w:tc>
        <w:tc>
          <w:tcPr>
            <w:tcW w:w="2480" w:type="dxa"/>
            <w:vAlign w:val="bottom"/>
            <w:gridSpan w:val="14"/>
          </w:tcPr>
          <w:p>
            <w:pPr>
              <w:ind w:left="160"/>
              <w:spacing w:after="0"/>
              <w:rPr>
                <w:sz w:val="20"/>
                <w:szCs w:val="20"/>
                <w:color w:val="auto"/>
              </w:rPr>
            </w:pPr>
            <w:r>
              <w:rPr>
                <w:rFonts w:ascii="Times New Roman" w:cs="Times New Roman" w:eastAsia="Times New Roman" w:hAnsi="Times New Roman"/>
                <w:sz w:val="20"/>
                <w:szCs w:val="20"/>
                <w:color w:val="0000FF"/>
              </w:rPr>
              <w:t>CERTAIN DEFINITIONS</w:t>
            </w:r>
          </w:p>
        </w:tc>
        <w:tc>
          <w:tcPr>
            <w:tcW w:w="320" w:type="dxa"/>
            <w:vAlign w:val="bottom"/>
            <w:gridSpan w:val="3"/>
          </w:tcPr>
          <w:p>
            <w:pPr>
              <w:jc w:val="center"/>
              <w:ind w:right="39"/>
              <w:spacing w:after="0"/>
              <w:rPr>
                <w:sz w:val="20"/>
                <w:szCs w:val="20"/>
                <w:color w:val="auto"/>
              </w:rPr>
            </w:pPr>
            <w:r>
              <w:rPr>
                <w:rFonts w:ascii="Times New Roman" w:cs="Times New Roman" w:eastAsia="Times New Roman" w:hAnsi="Times New Roman"/>
                <w:sz w:val="20"/>
                <w:szCs w:val="20"/>
                <w:color w:val="auto"/>
                <w:w w:val="99"/>
              </w:rPr>
              <w:t>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bottom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87"/>
              </w:rPr>
              <w:t>1.</w:t>
            </w:r>
            <w:r>
              <w:rPr>
                <w:rFonts w:ascii="Times New Roman" w:cs="Times New Roman" w:eastAsia="Times New Roman" w:hAnsi="Times New Roman"/>
                <w:sz w:val="20"/>
                <w:szCs w:val="20"/>
                <w:u w:val="single" w:color="auto"/>
                <w:color w:val="0000FF"/>
                <w:w w:val="87"/>
              </w:rPr>
              <w:t>1</w:t>
            </w:r>
          </w:p>
        </w:tc>
        <w:tc>
          <w:tcPr>
            <w:tcW w:w="160" w:type="dxa"/>
            <w:vAlign w:val="bottom"/>
            <w:tcBorders>
              <w:top w:val="single" w:sz="8" w:color="0000FF"/>
            </w:tcBorders>
          </w:tcPr>
          <w:p>
            <w:pPr>
              <w:spacing w:after="0"/>
              <w:rPr>
                <w:sz w:val="17"/>
                <w:szCs w:val="17"/>
                <w:color w:val="auto"/>
              </w:rPr>
            </w:pPr>
          </w:p>
        </w:tc>
        <w:tc>
          <w:tcPr>
            <w:tcW w:w="1440" w:type="dxa"/>
            <w:vAlign w:val="bottom"/>
            <w:tcBorders>
              <w:top w:val="single" w:sz="8" w:color="0000FF"/>
              <w:bottom w:val="single" w:sz="8" w:color="0000FF"/>
            </w:tcBorders>
            <w:gridSpan w:val="7"/>
          </w:tcPr>
          <w:p>
            <w:pPr>
              <w:spacing w:after="0" w:line="207" w:lineRule="exact"/>
              <w:rPr>
                <w:sz w:val="20"/>
                <w:szCs w:val="20"/>
                <w:color w:val="auto"/>
              </w:rPr>
            </w:pPr>
            <w:r>
              <w:rPr>
                <w:rFonts w:ascii="Times New Roman" w:cs="Times New Roman" w:eastAsia="Times New Roman" w:hAnsi="Times New Roman"/>
                <w:sz w:val="20"/>
                <w:szCs w:val="20"/>
                <w:color w:val="0000FF"/>
                <w:w w:val="89"/>
              </w:rPr>
              <w:t>Certain Definitions.</w:t>
            </w:r>
          </w:p>
        </w:tc>
        <w:tc>
          <w:tcPr>
            <w:tcW w:w="100" w:type="dxa"/>
            <w:vAlign w:val="bottom"/>
            <w:tcBorders>
              <w:bottom w:val="single" w:sz="8" w:color="0000FF"/>
            </w:tcBorders>
          </w:tcPr>
          <w:p>
            <w:pPr>
              <w:spacing w:after="0"/>
              <w:rPr>
                <w:sz w:val="17"/>
                <w:szCs w:val="17"/>
                <w:color w:val="auto"/>
              </w:rPr>
            </w:pPr>
          </w:p>
        </w:tc>
        <w:tc>
          <w:tcPr>
            <w:tcW w:w="6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0000FF"/>
                <w:w w:val="87"/>
              </w:rPr>
              <w:t>1.</w:t>
            </w:r>
            <w:r>
              <w:rPr>
                <w:rFonts w:ascii="Times New Roman" w:cs="Times New Roman" w:eastAsia="Times New Roman" w:hAnsi="Times New Roman"/>
                <w:sz w:val="20"/>
                <w:szCs w:val="20"/>
                <w:u w:val="single" w:color="auto"/>
                <w:color w:val="0000FF"/>
                <w:w w:val="87"/>
              </w:rPr>
              <w:t>2</w:t>
            </w:r>
          </w:p>
        </w:tc>
        <w:tc>
          <w:tcPr>
            <w:tcW w:w="160" w:type="dxa"/>
            <w:vAlign w:val="bottom"/>
          </w:tcPr>
          <w:p>
            <w:pPr>
              <w:spacing w:after="0"/>
              <w:rPr>
                <w:sz w:val="16"/>
                <w:szCs w:val="16"/>
                <w:color w:val="auto"/>
              </w:rPr>
            </w:pPr>
          </w:p>
        </w:tc>
        <w:tc>
          <w:tcPr>
            <w:tcW w:w="1100" w:type="dxa"/>
            <w:vAlign w:val="bottom"/>
            <w:gridSpan w:val="5"/>
          </w:tcPr>
          <w:p>
            <w:pPr>
              <w:spacing w:after="0" w:line="194" w:lineRule="exact"/>
              <w:rPr>
                <w:sz w:val="20"/>
                <w:szCs w:val="20"/>
                <w:color w:val="auto"/>
              </w:rPr>
            </w:pPr>
            <w:r>
              <w:rPr>
                <w:rFonts w:ascii="Times New Roman" w:cs="Times New Roman" w:eastAsia="Times New Roman" w:hAnsi="Times New Roman"/>
                <w:sz w:val="20"/>
                <w:szCs w:val="20"/>
                <w:color w:val="0000FF"/>
                <w:w w:val="99"/>
              </w:rPr>
              <w:t>Construction.</w:t>
            </w:r>
          </w:p>
        </w:tc>
        <w:tc>
          <w:tcPr>
            <w:tcW w:w="200" w:type="dxa"/>
            <w:vAlign w:val="bottom"/>
          </w:tcPr>
          <w:p>
            <w:pPr>
              <w:spacing w:after="0"/>
              <w:rPr>
                <w:sz w:val="16"/>
                <w:szCs w:val="16"/>
                <w:color w:val="auto"/>
              </w:rPr>
            </w:pPr>
          </w:p>
        </w:tc>
        <w:tc>
          <w:tcPr>
            <w:tcW w:w="24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20"/>
                <w:szCs w:val="20"/>
                <w:color w:val="FF0000"/>
                <w:strike w:val="1"/>
                <w:w w:val="89"/>
              </w:rPr>
              <w:t>27</w:t>
            </w:r>
          </w:p>
        </w:tc>
        <w:tc>
          <w:tcPr>
            <w:tcW w:w="200" w:type="dxa"/>
            <w:vAlign w:val="bottom"/>
            <w:gridSpan w:val="4"/>
          </w:tcPr>
          <w:p>
            <w:pPr>
              <w:jc w:val="right"/>
              <w:ind w:right="40"/>
              <w:spacing w:after="0" w:line="193" w:lineRule="exact"/>
              <w:rPr>
                <w:sz w:val="20"/>
                <w:szCs w:val="20"/>
                <w:color w:val="auto"/>
              </w:rPr>
            </w:pPr>
            <w:r>
              <w:rPr>
                <w:rFonts w:ascii="Times New Roman" w:cs="Times New Roman" w:eastAsia="Times New Roman" w:hAnsi="Times New Roman"/>
                <w:sz w:val="19"/>
                <w:szCs w:val="19"/>
                <w:color w:val="0000FF"/>
                <w:w w:val="73"/>
              </w:rPr>
              <w:t>33</w:t>
            </w:r>
          </w:p>
        </w:tc>
        <w:tc>
          <w:tcPr>
            <w:tcW w:w="1900" w:type="dxa"/>
            <w:vAlign w:val="bottom"/>
            <w:gridSpan w:val="16"/>
            <w:vMerge w:val="restart"/>
          </w:tcPr>
          <w:p>
            <w:pPr>
              <w:ind w:left="160"/>
              <w:spacing w:after="0"/>
              <w:rPr>
                <w:sz w:val="20"/>
                <w:szCs w:val="20"/>
                <w:color w:val="auto"/>
              </w:rPr>
            </w:pPr>
            <w:r>
              <w:rPr>
                <w:rFonts w:ascii="Times New Roman" w:cs="Times New Roman" w:eastAsia="Times New Roman" w:hAnsi="Times New Roman"/>
                <w:sz w:val="20"/>
                <w:szCs w:val="20"/>
                <w:color w:val="0000FF"/>
              </w:rPr>
              <w:t>Changes in GAAP.</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27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900" w:type="dxa"/>
            <w:vAlign w:val="bottom"/>
            <w:gridSpan w:val="16"/>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7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0000FF"/>
                <w:w w:val="87"/>
              </w:rPr>
              <w:t>1.</w:t>
            </w:r>
            <w:r>
              <w:rPr>
                <w:rFonts w:ascii="Times New Roman" w:cs="Times New Roman" w:eastAsia="Times New Roman" w:hAnsi="Times New Roman"/>
                <w:sz w:val="20"/>
                <w:szCs w:val="20"/>
                <w:u w:val="single" w:color="auto"/>
                <w:color w:val="0000FF"/>
                <w:w w:val="87"/>
              </w:rPr>
              <w:t>3</w:t>
            </w:r>
          </w:p>
        </w:tc>
        <w:tc>
          <w:tcPr>
            <w:tcW w:w="160" w:type="dxa"/>
            <w:vAlign w:val="bottom"/>
          </w:tcPr>
          <w:p>
            <w:pPr>
              <w:spacing w:after="0"/>
              <w:rPr>
                <w:sz w:val="17"/>
                <w:szCs w:val="17"/>
                <w:color w:val="auto"/>
              </w:rPr>
            </w:pPr>
          </w:p>
        </w:tc>
        <w:tc>
          <w:tcPr>
            <w:tcW w:w="1100" w:type="dxa"/>
            <w:vAlign w:val="bottom"/>
            <w:gridSpan w:val="5"/>
          </w:tcPr>
          <w:p>
            <w:pPr>
              <w:spacing w:after="0" w:line="207" w:lineRule="exact"/>
              <w:rPr>
                <w:sz w:val="20"/>
                <w:szCs w:val="20"/>
                <w:color w:val="auto"/>
              </w:rPr>
            </w:pPr>
            <w:r>
              <w:rPr>
                <w:rFonts w:ascii="Times New Roman" w:cs="Times New Roman" w:eastAsia="Times New Roman" w:hAnsi="Times New Roman"/>
                <w:sz w:val="20"/>
                <w:szCs w:val="20"/>
                <w:color w:val="0000FF"/>
              </w:rPr>
              <w:t>Accounting</w:t>
            </w:r>
          </w:p>
        </w:tc>
        <w:tc>
          <w:tcPr>
            <w:tcW w:w="600" w:type="dxa"/>
            <w:vAlign w:val="bottom"/>
            <w:gridSpan w:val="6"/>
          </w:tcPr>
          <w:p>
            <w:pPr>
              <w:jc w:val="right"/>
              <w:spacing w:after="0" w:line="206" w:lineRule="exact"/>
              <w:rPr>
                <w:sz w:val="20"/>
                <w:szCs w:val="20"/>
                <w:color w:val="auto"/>
              </w:rPr>
            </w:pPr>
            <w:r>
              <w:rPr>
                <w:rFonts w:ascii="Times New Roman" w:cs="Times New Roman" w:eastAsia="Times New Roman" w:hAnsi="Times New Roman"/>
                <w:sz w:val="19"/>
                <w:szCs w:val="19"/>
                <w:color w:val="0000FF"/>
                <w:w w:val="71"/>
              </w:rPr>
              <w:t>Principles;</w:t>
            </w:r>
          </w:p>
        </w:tc>
        <w:tc>
          <w:tcPr>
            <w:tcW w:w="40" w:type="dxa"/>
            <w:vAlign w:val="bottom"/>
            <w:vMerge w:val="continue"/>
          </w:tcPr>
          <w:p>
            <w:pPr>
              <w:spacing w:after="0"/>
              <w:rPr>
                <w:sz w:val="17"/>
                <w:szCs w:val="17"/>
                <w:color w:val="auto"/>
              </w:rPr>
            </w:pPr>
          </w:p>
        </w:tc>
        <w:tc>
          <w:tcPr>
            <w:tcW w:w="1900" w:type="dxa"/>
            <w:vAlign w:val="bottom"/>
            <w:gridSpan w:val="16"/>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240" w:type="dxa"/>
            <w:vAlign w:val="bottom"/>
            <w:tcBorders>
              <w:top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87"/>
              </w:rPr>
              <w:t>1.</w:t>
            </w:r>
            <w:r>
              <w:rPr>
                <w:rFonts w:ascii="Times New Roman" w:cs="Times New Roman" w:eastAsia="Times New Roman" w:hAnsi="Times New Roman"/>
                <w:sz w:val="20"/>
                <w:szCs w:val="20"/>
                <w:u w:val="single" w:color="auto"/>
                <w:color w:val="0000FF"/>
                <w:w w:val="87"/>
              </w:rPr>
              <w:t>4</w:t>
            </w:r>
          </w:p>
        </w:tc>
        <w:tc>
          <w:tcPr>
            <w:tcW w:w="160" w:type="dxa"/>
            <w:vAlign w:val="bottom"/>
          </w:tcPr>
          <w:p>
            <w:pPr>
              <w:spacing w:after="0"/>
              <w:rPr>
                <w:sz w:val="17"/>
                <w:szCs w:val="17"/>
                <w:color w:val="auto"/>
              </w:rPr>
            </w:pPr>
          </w:p>
        </w:tc>
        <w:tc>
          <w:tcPr>
            <w:tcW w:w="2840" w:type="dxa"/>
            <w:vAlign w:val="bottom"/>
            <w:tcBorders>
              <w:top w:val="single" w:sz="8" w:color="0000FF"/>
            </w:tcBorders>
            <w:gridSpan w:val="18"/>
          </w:tcPr>
          <w:p>
            <w:pPr>
              <w:spacing w:after="0" w:line="207" w:lineRule="exact"/>
              <w:rPr>
                <w:sz w:val="20"/>
                <w:szCs w:val="20"/>
                <w:color w:val="auto"/>
              </w:rPr>
            </w:pPr>
            <w:r>
              <w:rPr>
                <w:rFonts w:ascii="Times New Roman" w:cs="Times New Roman" w:eastAsia="Times New Roman" w:hAnsi="Times New Roman"/>
                <w:sz w:val="20"/>
                <w:szCs w:val="20"/>
                <w:color w:val="0000FF"/>
              </w:rPr>
              <w:t>Term SOFR Notification  34</w:t>
            </w: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2"/>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3"/>
              </w:rPr>
              <w:t>2.</w:t>
            </w:r>
          </w:p>
        </w:tc>
        <w:tc>
          <w:tcPr>
            <w:tcW w:w="5220" w:type="dxa"/>
            <w:vAlign w:val="bottom"/>
            <w:gridSpan w:val="36"/>
          </w:tcPr>
          <w:p>
            <w:pPr>
              <w:jc w:val="center"/>
              <w:ind w:right="60"/>
              <w:spacing w:after="0"/>
              <w:rPr>
                <w:sz w:val="20"/>
                <w:szCs w:val="20"/>
                <w:color w:val="auto"/>
              </w:rPr>
            </w:pPr>
            <w:r>
              <w:rPr>
                <w:rFonts w:ascii="Times New Roman" w:cs="Times New Roman" w:eastAsia="Times New Roman" w:hAnsi="Times New Roman"/>
                <w:sz w:val="20"/>
                <w:szCs w:val="20"/>
                <w:color w:val="0000FF"/>
                <w:w w:val="99"/>
              </w:rPr>
              <w:t>REVOLVING CREDIT AND SWING LOAN FACILITIES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28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0000FF"/>
                <w:w w:val="89"/>
              </w:rPr>
              <w:t>34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1</w:t>
            </w:r>
          </w:p>
        </w:tc>
        <w:tc>
          <w:tcPr>
            <w:tcW w:w="160" w:type="dxa"/>
            <w:vAlign w:val="bottom"/>
            <w:tcBorders>
              <w:top w:val="single" w:sz="8" w:color="0000FF"/>
            </w:tcBorders>
          </w:tcPr>
          <w:p>
            <w:pPr>
              <w:spacing w:after="0"/>
              <w:rPr>
                <w:sz w:val="17"/>
                <w:szCs w:val="17"/>
                <w:color w:val="auto"/>
              </w:rPr>
            </w:pPr>
          </w:p>
        </w:tc>
        <w:tc>
          <w:tcPr>
            <w:tcW w:w="2840" w:type="dxa"/>
            <w:vAlign w:val="bottom"/>
            <w:tcBorders>
              <w:top w:val="single" w:sz="8" w:color="0000FF"/>
            </w:tcBorders>
            <w:gridSpan w:val="18"/>
          </w:tcPr>
          <w:p>
            <w:pPr>
              <w:spacing w:after="0" w:line="207" w:lineRule="exact"/>
              <w:rPr>
                <w:sz w:val="20"/>
                <w:szCs w:val="20"/>
                <w:color w:val="auto"/>
              </w:rPr>
            </w:pPr>
            <w:r>
              <w:rPr>
                <w:rFonts w:ascii="Times New Roman" w:cs="Times New Roman" w:eastAsia="Times New Roman" w:hAnsi="Times New Roman"/>
                <w:sz w:val="20"/>
                <w:szCs w:val="20"/>
                <w:color w:val="0000FF"/>
              </w:rPr>
              <w:t>Revolving Credit Commitments.</w:t>
            </w:r>
          </w:p>
        </w:tc>
        <w:tc>
          <w:tcPr>
            <w:tcW w:w="20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28</w:t>
            </w:r>
          </w:p>
        </w:tc>
        <w:tc>
          <w:tcPr>
            <w:tcW w:w="260" w:type="dxa"/>
            <w:vAlign w:val="bottom"/>
            <w:tcBorders>
              <w:top w:val="single" w:sz="8" w:color="0000FF"/>
            </w:tcBorders>
            <w:gridSpan w:val="3"/>
          </w:tcPr>
          <w:p>
            <w:pPr>
              <w:jc w:val="right"/>
              <w:ind w:right="60"/>
              <w:spacing w:after="0" w:line="207" w:lineRule="exact"/>
              <w:rPr>
                <w:sz w:val="20"/>
                <w:szCs w:val="20"/>
                <w:color w:val="auto"/>
              </w:rPr>
            </w:pPr>
            <w:r>
              <w:rPr>
                <w:rFonts w:ascii="Times New Roman" w:cs="Times New Roman" w:eastAsia="Times New Roman" w:hAnsi="Times New Roman"/>
                <w:sz w:val="20"/>
                <w:szCs w:val="20"/>
                <w:color w:val="0000FF"/>
                <w:w w:val="89"/>
              </w:rPr>
              <w:t>34</w:t>
            </w: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1.1</w:t>
            </w:r>
          </w:p>
        </w:tc>
        <w:tc>
          <w:tcPr>
            <w:tcW w:w="140" w:type="dxa"/>
            <w:vAlign w:val="bottom"/>
          </w:tcPr>
          <w:p>
            <w:pPr>
              <w:spacing w:after="0"/>
              <w:rPr>
                <w:sz w:val="17"/>
                <w:szCs w:val="17"/>
                <w:color w:val="auto"/>
              </w:rPr>
            </w:pPr>
          </w:p>
        </w:tc>
        <w:tc>
          <w:tcPr>
            <w:tcW w:w="1880" w:type="dxa"/>
            <w:vAlign w:val="bottom"/>
            <w:gridSpan w:val="12"/>
          </w:tcPr>
          <w:p>
            <w:pPr>
              <w:jc w:val="center"/>
              <w:spacing w:after="0" w:line="207" w:lineRule="exact"/>
              <w:rPr>
                <w:sz w:val="20"/>
                <w:szCs w:val="20"/>
                <w:color w:val="auto"/>
              </w:rPr>
            </w:pPr>
            <w:r>
              <w:rPr>
                <w:rFonts w:ascii="Times New Roman" w:cs="Times New Roman" w:eastAsia="Times New Roman" w:hAnsi="Times New Roman"/>
                <w:sz w:val="20"/>
                <w:szCs w:val="20"/>
                <w:color w:val="0000FF"/>
                <w:w w:val="95"/>
              </w:rPr>
              <w:t>Revolving Credit Loans.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rPr>
              <w:t>28</w:t>
            </w:r>
          </w:p>
        </w:tc>
        <w:tc>
          <w:tcPr>
            <w:tcW w:w="300" w:type="dxa"/>
            <w:vAlign w:val="bottom"/>
            <w:gridSpan w:val="4"/>
          </w:tcPr>
          <w:p>
            <w:pPr>
              <w:jc w:val="center"/>
              <w:spacing w:after="0" w:line="207" w:lineRule="exact"/>
              <w:rPr>
                <w:sz w:val="20"/>
                <w:szCs w:val="20"/>
                <w:color w:val="auto"/>
              </w:rPr>
            </w:pPr>
            <w:r>
              <w:rPr>
                <w:rFonts w:ascii="Times New Roman" w:cs="Times New Roman" w:eastAsia="Times New Roman" w:hAnsi="Times New Roman"/>
                <w:sz w:val="20"/>
                <w:szCs w:val="20"/>
                <w:color w:val="0000FF"/>
              </w:rPr>
              <w:t>34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top w:val="single" w:sz="8" w:color="0000FF"/>
            </w:tcBorders>
          </w:tcPr>
          <w:p>
            <w:pPr>
              <w:spacing w:after="0" w:line="194" w:lineRule="exact"/>
              <w:rPr>
                <w:sz w:val="20"/>
                <w:szCs w:val="20"/>
                <w:color w:val="auto"/>
              </w:rPr>
            </w:pPr>
            <w:r>
              <w:rPr>
                <w:rFonts w:ascii="Times New Roman" w:cs="Times New Roman" w:eastAsia="Times New Roman" w:hAnsi="Times New Roman"/>
                <w:sz w:val="20"/>
                <w:szCs w:val="20"/>
                <w:color w:val="0000FF"/>
                <w:w w:val="99"/>
              </w:rPr>
              <w:t>2.</w:t>
            </w:r>
            <w:r>
              <w:rPr>
                <w:rFonts w:ascii="Times New Roman" w:cs="Times New Roman" w:eastAsia="Times New Roman" w:hAnsi="Times New Roman"/>
                <w:sz w:val="20"/>
                <w:szCs w:val="20"/>
                <w:u w:val="single" w:color="auto"/>
                <w:color w:val="0000FF"/>
                <w:w w:val="99"/>
              </w:rPr>
              <w:t>1.2</w:t>
            </w:r>
          </w:p>
        </w:tc>
        <w:tc>
          <w:tcPr>
            <w:tcW w:w="2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Borders>
              <w:top w:val="single" w:sz="8" w:color="0000FF"/>
            </w:tcBorders>
            <w:gridSpan w:val="13"/>
          </w:tcPr>
          <w:p>
            <w:pPr>
              <w:jc w:val="center"/>
              <w:spacing w:after="0" w:line="194" w:lineRule="exact"/>
              <w:rPr>
                <w:sz w:val="20"/>
                <w:szCs w:val="20"/>
                <w:color w:val="auto"/>
              </w:rPr>
            </w:pPr>
            <w:r>
              <w:rPr>
                <w:rFonts w:ascii="Times New Roman" w:cs="Times New Roman" w:eastAsia="Times New Roman" w:hAnsi="Times New Roman"/>
                <w:sz w:val="20"/>
                <w:szCs w:val="20"/>
                <w:color w:val="0000FF"/>
                <w:w w:val="93"/>
              </w:rPr>
              <w:t>Swing Loan Commitment.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0000FF"/>
            </w:tcBorders>
            <w:gridSpan w:val="2"/>
          </w:tcPr>
          <w:p>
            <w:pPr>
              <w:jc w:val="center"/>
              <w:spacing w:after="0" w:line="194" w:lineRule="exact"/>
              <w:rPr>
                <w:sz w:val="20"/>
                <w:szCs w:val="20"/>
                <w:color w:val="auto"/>
              </w:rPr>
            </w:pPr>
            <w:r>
              <w:rPr>
                <w:rFonts w:ascii="Times New Roman" w:cs="Times New Roman" w:eastAsia="Times New Roman" w:hAnsi="Times New Roman"/>
                <w:sz w:val="20"/>
                <w:szCs w:val="20"/>
                <w:color w:val="FF0000"/>
                <w:strike w:val="1"/>
                <w:w w:val="79"/>
              </w:rPr>
              <w:t>28</w:t>
            </w:r>
          </w:p>
        </w:tc>
        <w:tc>
          <w:tcPr>
            <w:tcW w:w="40" w:type="dxa"/>
            <w:vAlign w:val="bottom"/>
            <w:tcBorders>
              <w:top w:val="single" w:sz="8" w:color="0000FF"/>
            </w:tcBorders>
          </w:tcPr>
          <w:p>
            <w:pPr>
              <w:spacing w:after="0"/>
              <w:rPr>
                <w:sz w:val="16"/>
                <w:szCs w:val="16"/>
                <w:color w:val="auto"/>
              </w:rPr>
            </w:pPr>
          </w:p>
        </w:tc>
        <w:tc>
          <w:tcPr>
            <w:tcW w:w="1640" w:type="dxa"/>
            <w:vAlign w:val="bottom"/>
            <w:gridSpan w:val="11"/>
          </w:tcPr>
          <w:p>
            <w:pPr>
              <w:jc w:val="right"/>
              <w:ind w:right="1480"/>
              <w:spacing w:after="0" w:line="193" w:lineRule="exact"/>
              <w:rPr>
                <w:sz w:val="20"/>
                <w:szCs w:val="20"/>
                <w:color w:val="auto"/>
              </w:rPr>
            </w:pPr>
            <w:r>
              <w:rPr>
                <w:rFonts w:ascii="Times New Roman" w:cs="Times New Roman" w:eastAsia="Times New Roman" w:hAnsi="Times New Roman"/>
                <w:sz w:val="19"/>
                <w:szCs w:val="19"/>
                <w:color w:val="0000FF"/>
                <w:w w:val="73"/>
              </w:rPr>
              <w:t>34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rPr>
              <w:t>Nature</w:t>
            </w:r>
          </w:p>
        </w:tc>
        <w:tc>
          <w:tcPr>
            <w:tcW w:w="5440" w:type="dxa"/>
            <w:vAlign w:val="bottom"/>
            <w:gridSpan w:val="39"/>
          </w:tcPr>
          <w:p>
            <w:pPr>
              <w:jc w:val="center"/>
              <w:ind w:right="200"/>
              <w:spacing w:after="0" w:line="207" w:lineRule="exact"/>
              <w:rPr>
                <w:sz w:val="20"/>
                <w:szCs w:val="20"/>
                <w:color w:val="auto"/>
              </w:rPr>
            </w:pPr>
            <w:r>
              <w:rPr>
                <w:rFonts w:ascii="Times New Roman" w:cs="Times New Roman" w:eastAsia="Times New Roman" w:hAnsi="Times New Roman"/>
                <w:sz w:val="20"/>
                <w:szCs w:val="20"/>
                <w:color w:val="0000FF"/>
              </w:rPr>
              <w:t>of Lenders' Obligations with Respect to Revolving Credit Loans.</w:t>
            </w:r>
          </w:p>
        </w:tc>
        <w:tc>
          <w:tcPr>
            <w:tcW w:w="2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28</w:t>
            </w:r>
          </w:p>
        </w:tc>
        <w:tc>
          <w:tcPr>
            <w:tcW w:w="3980" w:type="dxa"/>
            <w:vAlign w:val="bottom"/>
            <w:gridSpan w:val="3"/>
          </w:tcPr>
          <w:p>
            <w:pPr>
              <w:jc w:val="right"/>
              <w:ind w:right="3679"/>
              <w:spacing w:after="0" w:line="207" w:lineRule="exact"/>
              <w:rPr>
                <w:sz w:val="20"/>
                <w:szCs w:val="20"/>
                <w:color w:val="auto"/>
              </w:rPr>
            </w:pPr>
            <w:r>
              <w:rPr>
                <w:rFonts w:ascii="Times New Roman" w:cs="Times New Roman" w:eastAsia="Times New Roman" w:hAnsi="Times New Roman"/>
                <w:sz w:val="20"/>
                <w:szCs w:val="20"/>
                <w:color w:val="0000FF"/>
                <w:w w:val="89"/>
              </w:rPr>
              <w:t>34</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0000FF"/>
              <w:bottom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87"/>
              </w:rPr>
              <w:t>2.</w:t>
            </w:r>
            <w:r>
              <w:rPr>
                <w:rFonts w:ascii="Times New Roman" w:cs="Times New Roman" w:eastAsia="Times New Roman" w:hAnsi="Times New Roman"/>
                <w:sz w:val="20"/>
                <w:szCs w:val="20"/>
                <w:u w:val="single" w:color="auto"/>
                <w:color w:val="0000FF"/>
                <w:w w:val="87"/>
              </w:rPr>
              <w:t>3</w:t>
            </w:r>
          </w:p>
        </w:tc>
        <w:tc>
          <w:tcPr>
            <w:tcW w:w="16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8"/>
          </w:tcPr>
          <w:p>
            <w:pPr>
              <w:spacing w:after="0" w:line="207" w:lineRule="exact"/>
              <w:rPr>
                <w:sz w:val="20"/>
                <w:szCs w:val="20"/>
                <w:color w:val="auto"/>
              </w:rPr>
            </w:pPr>
            <w:r>
              <w:rPr>
                <w:rFonts w:ascii="Times New Roman" w:cs="Times New Roman" w:eastAsia="Times New Roman" w:hAnsi="Times New Roman"/>
                <w:sz w:val="20"/>
                <w:szCs w:val="20"/>
                <w:color w:val="0000FF"/>
                <w:w w:val="98"/>
              </w:rPr>
              <w:t>Commitment Fees.</w:t>
            </w:r>
          </w:p>
        </w:tc>
        <w:tc>
          <w:tcPr>
            <w:tcW w:w="80" w:type="dxa"/>
            <w:vAlign w:val="bottom"/>
            <w:tcBorders>
              <w:top w:val="single" w:sz="8" w:color="0000FF"/>
            </w:tcBorders>
            <w:gridSpan w:val="2"/>
          </w:tcPr>
          <w:p>
            <w:pPr>
              <w:spacing w:after="0"/>
              <w:rPr>
                <w:sz w:val="17"/>
                <w:szCs w:val="17"/>
                <w:color w:val="auto"/>
              </w:rPr>
            </w:pPr>
          </w:p>
        </w:tc>
        <w:tc>
          <w:tcPr>
            <w:tcW w:w="120" w:type="dxa"/>
            <w:vAlign w:val="bottom"/>
            <w:tcBorders>
              <w:top w:val="single" w:sz="8" w:color="0000FF"/>
            </w:tcBorders>
            <w:gridSpan w:val="2"/>
          </w:tcPr>
          <w:p>
            <w:pPr>
              <w:spacing w:after="0"/>
              <w:rPr>
                <w:sz w:val="17"/>
                <w:szCs w:val="17"/>
                <w:color w:val="auto"/>
              </w:rPr>
            </w:pPr>
          </w:p>
        </w:tc>
        <w:tc>
          <w:tcPr>
            <w:tcW w:w="200" w:type="dxa"/>
            <w:vAlign w:val="bottom"/>
            <w:tcBorders>
              <w:top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29</w:t>
            </w:r>
          </w:p>
        </w:tc>
        <w:tc>
          <w:tcPr>
            <w:tcW w:w="200" w:type="dxa"/>
            <w:vAlign w:val="bottom"/>
            <w:tcBorders>
              <w:top w:val="single" w:sz="8" w:color="0000FF"/>
              <w:bottom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35</w:t>
            </w: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0000FF"/>
                <w:w w:val="87"/>
              </w:rPr>
              <w:t>2.</w:t>
            </w:r>
            <w:r>
              <w:rPr>
                <w:rFonts w:ascii="Times New Roman" w:cs="Times New Roman" w:eastAsia="Times New Roman" w:hAnsi="Times New Roman"/>
                <w:sz w:val="20"/>
                <w:szCs w:val="20"/>
                <w:u w:val="single" w:color="auto"/>
                <w:color w:val="0000FF"/>
                <w:w w:val="87"/>
              </w:rPr>
              <w:t>4</w:t>
            </w:r>
          </w:p>
        </w:tc>
        <w:tc>
          <w:tcPr>
            <w:tcW w:w="160" w:type="dxa"/>
            <w:vAlign w:val="bottom"/>
          </w:tcPr>
          <w:p>
            <w:pPr>
              <w:spacing w:after="0"/>
              <w:rPr>
                <w:sz w:val="16"/>
                <w:szCs w:val="16"/>
                <w:color w:val="auto"/>
              </w:rPr>
            </w:pPr>
          </w:p>
        </w:tc>
        <w:tc>
          <w:tcPr>
            <w:tcW w:w="5180" w:type="dxa"/>
            <w:vAlign w:val="bottom"/>
            <w:gridSpan w:val="36"/>
          </w:tcPr>
          <w:p>
            <w:pPr>
              <w:spacing w:after="0" w:line="194" w:lineRule="exact"/>
              <w:rPr>
                <w:sz w:val="20"/>
                <w:szCs w:val="20"/>
                <w:color w:val="auto"/>
              </w:rPr>
            </w:pPr>
            <w:r>
              <w:rPr>
                <w:rFonts w:ascii="Times New Roman" w:cs="Times New Roman" w:eastAsia="Times New Roman" w:hAnsi="Times New Roman"/>
                <w:sz w:val="20"/>
                <w:szCs w:val="20"/>
                <w:color w:val="0000FF"/>
              </w:rPr>
              <w:t>Termination or Reduction of Revolving Credit Commitments.</w:t>
            </w: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29</w:t>
            </w:r>
          </w:p>
        </w:tc>
        <w:tc>
          <w:tcPr>
            <w:tcW w:w="4840" w:type="dxa"/>
            <w:vAlign w:val="bottom"/>
            <w:gridSpan w:val="8"/>
          </w:tcPr>
          <w:p>
            <w:pPr>
              <w:jc w:val="right"/>
              <w:ind w:right="4539"/>
              <w:spacing w:after="0" w:line="194" w:lineRule="exact"/>
              <w:rPr>
                <w:sz w:val="20"/>
                <w:szCs w:val="20"/>
                <w:color w:val="auto"/>
              </w:rPr>
            </w:pPr>
            <w:r>
              <w:rPr>
                <w:rFonts w:ascii="Times New Roman" w:cs="Times New Roman" w:eastAsia="Times New Roman" w:hAnsi="Times New Roman"/>
                <w:sz w:val="20"/>
                <w:szCs w:val="20"/>
                <w:color w:val="0000FF"/>
                <w:w w:val="89"/>
              </w:rPr>
              <w:t>36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spacing w:after="0"/>
        <w:tabs>
          <w:tab w:leader="none" w:pos="1000" w:val="left"/>
          <w:tab w:leader="none" w:pos="5760" w:val="left"/>
        </w:tabs>
        <w:rPr>
          <w:sz w:val="20"/>
          <w:szCs w:val="20"/>
          <w:color w:val="auto"/>
        </w:rPr>
      </w:pPr>
      <w:r>
        <w:rPr>
          <w:rFonts w:ascii="Times New Roman" w:cs="Times New Roman" w:eastAsia="Times New Roman" w:hAnsi="Times New Roman"/>
          <w:sz w:val="20"/>
          <w:szCs w:val="20"/>
          <w:u w:val="single" w:color="auto"/>
          <w:color w:val="0000FF"/>
        </w:rPr>
        <w:t>2.5</w:t>
        <w:tab/>
        <w:t>Revolving Credit Loan Requests; Swing Loan Requests.</w:t>
      </w:r>
      <w:r>
        <w:rPr>
          <w:sz w:val="20"/>
          <w:szCs w:val="20"/>
          <w:color w:val="auto"/>
        </w:rPr>
        <w:tab/>
      </w:r>
      <w:r>
        <w:rPr>
          <w:rFonts w:ascii="Times New Roman" w:cs="Times New Roman" w:eastAsia="Times New Roman" w:hAnsi="Times New Roman"/>
          <w:sz w:val="19"/>
          <w:szCs w:val="19"/>
          <w:color w:val="FF0000"/>
          <w:strike w:val="1"/>
        </w:rPr>
        <w:t>29</w:t>
      </w:r>
      <w:r>
        <w:rPr>
          <w:rFonts w:ascii="Times New Roman" w:cs="Times New Roman" w:eastAsia="Times New Roman" w:hAnsi="Times New Roman"/>
          <w:sz w:val="19"/>
          <w:szCs w:val="19"/>
          <w:u w:val="single" w:color="auto"/>
          <w:color w:val="0000FF"/>
          <w:strike w:val="1"/>
        </w:rPr>
        <w:t>36</w:t>
      </w:r>
    </w:p>
    <w:p>
      <w:pPr>
        <w:spacing w:after="0" w:line="2" w:lineRule="exact"/>
        <w:rPr>
          <w:sz w:val="20"/>
          <w:szCs w:val="20"/>
          <w:color w:val="auto"/>
        </w:rPr>
      </w:pPr>
    </w:p>
    <w:p>
      <w:pPr>
        <w:ind w:left="1200"/>
        <w:spacing w:after="0"/>
        <w:tabs>
          <w:tab w:leader="none" w:pos="1760" w:val="left"/>
          <w:tab w:leader="none" w:pos="4640" w:val="left"/>
        </w:tabs>
        <w:rPr>
          <w:sz w:val="20"/>
          <w:szCs w:val="20"/>
          <w:color w:val="auto"/>
        </w:rPr>
      </w:pPr>
      <w:r>
        <w:rPr>
          <w:rFonts w:ascii="Times New Roman" w:cs="Times New Roman" w:eastAsia="Times New Roman" w:hAnsi="Times New Roman"/>
          <w:sz w:val="20"/>
          <w:szCs w:val="20"/>
          <w:u w:val="single" w:color="auto"/>
          <w:color w:val="0000FF"/>
        </w:rPr>
        <w:t>2.5.1</w:t>
        <w:tab/>
        <w:t>Revolving Credit Loan Requests.</w:t>
      </w:r>
      <w:r>
        <w:rPr>
          <w:sz w:val="20"/>
          <w:szCs w:val="20"/>
          <w:color w:val="auto"/>
        </w:rPr>
        <w:tab/>
      </w:r>
      <w:r>
        <w:rPr>
          <w:rFonts w:ascii="Times New Roman" w:cs="Times New Roman" w:eastAsia="Times New Roman" w:hAnsi="Times New Roman"/>
          <w:sz w:val="19"/>
          <w:szCs w:val="19"/>
          <w:color w:val="FF0000"/>
          <w:strike w:val="1"/>
        </w:rPr>
        <w:t>29</w:t>
      </w:r>
      <w:r>
        <w:rPr>
          <w:rFonts w:ascii="Times New Roman" w:cs="Times New Roman" w:eastAsia="Times New Roman" w:hAnsi="Times New Roman"/>
          <w:sz w:val="19"/>
          <w:szCs w:val="19"/>
          <w:u w:val="single" w:color="auto"/>
          <w:color w:val="0000FF"/>
          <w:strike w:val="1"/>
        </w:rPr>
        <w:t>36</w:t>
      </w:r>
    </w:p>
    <w:p>
      <w:pPr>
        <w:ind w:left="1200"/>
        <w:spacing w:after="0" w:line="236" w:lineRule="auto"/>
        <w:tabs>
          <w:tab w:leader="none" w:pos="1760" w:val="left"/>
          <w:tab w:leader="none" w:pos="3760" w:val="left"/>
        </w:tabs>
        <w:rPr>
          <w:sz w:val="20"/>
          <w:szCs w:val="20"/>
          <w:color w:val="auto"/>
        </w:rPr>
      </w:pPr>
      <w:r>
        <w:rPr>
          <w:rFonts w:ascii="Times New Roman" w:cs="Times New Roman" w:eastAsia="Times New Roman" w:hAnsi="Times New Roman"/>
          <w:sz w:val="20"/>
          <w:szCs w:val="20"/>
          <w:u w:val="single" w:color="auto"/>
          <w:color w:val="0000FF"/>
        </w:rPr>
        <w:t>2.5.2</w:t>
        <w:tab/>
        <w:t>Swing Loan Requests.</w:t>
      </w:r>
      <w:r>
        <w:rPr>
          <w:sz w:val="20"/>
          <w:szCs w:val="20"/>
          <w:color w:val="auto"/>
        </w:rPr>
        <w:tab/>
      </w:r>
      <w:r>
        <w:rPr>
          <w:rFonts w:ascii="Times New Roman" w:cs="Times New Roman" w:eastAsia="Times New Roman" w:hAnsi="Times New Roman"/>
          <w:sz w:val="20"/>
          <w:szCs w:val="20"/>
          <w:color w:val="FF0000"/>
          <w:strike w:val="1"/>
        </w:rPr>
        <w:t>30</w:t>
      </w:r>
      <w:r>
        <w:rPr>
          <w:rFonts w:ascii="Times New Roman" w:cs="Times New Roman" w:eastAsia="Times New Roman" w:hAnsi="Times New Roman"/>
          <w:sz w:val="20"/>
          <w:szCs w:val="20"/>
          <w:u w:val="single" w:color="auto"/>
          <w:color w:val="0000FF"/>
          <w:strike w:val="1"/>
        </w:rPr>
        <w:t>36</w:t>
      </w:r>
    </w:p>
    <w:p>
      <w:pPr>
        <w:ind w:left="600"/>
        <w:spacing w:after="0" w:line="236" w:lineRule="auto"/>
        <w:tabs>
          <w:tab w:leader="none" w:pos="1000" w:val="left"/>
        </w:tabs>
        <w:rPr>
          <w:sz w:val="20"/>
          <w:szCs w:val="20"/>
          <w:color w:val="auto"/>
        </w:rPr>
      </w:pPr>
      <w:r>
        <w:rPr>
          <w:rFonts w:ascii="Times New Roman" w:cs="Times New Roman" w:eastAsia="Times New Roman" w:hAnsi="Times New Roman"/>
          <w:sz w:val="20"/>
          <w:szCs w:val="20"/>
          <w:u w:val="single" w:color="auto"/>
          <w:color w:val="0000FF"/>
        </w:rPr>
        <w:t>2.6</w:t>
        <w:tab/>
        <w:t>Making Revolving Credit Loans and Swing Loans; Presumptions by the Administrative Agent; Repayment of</w:t>
      </w:r>
    </w:p>
    <w:p>
      <w:pPr>
        <w:ind w:left="1200"/>
        <w:spacing w:after="0" w:line="210" w:lineRule="auto"/>
        <w:tabs>
          <w:tab w:leader="none" w:pos="6300" w:val="left"/>
        </w:tabs>
        <w:rPr>
          <w:sz w:val="20"/>
          <w:szCs w:val="20"/>
          <w:color w:val="auto"/>
        </w:rPr>
      </w:pPr>
      <w:r>
        <w:rPr>
          <w:rFonts w:ascii="Times New Roman" w:cs="Times New Roman" w:eastAsia="Times New Roman" w:hAnsi="Times New Roman"/>
          <w:sz w:val="20"/>
          <w:szCs w:val="20"/>
          <w:u w:val="single" w:color="auto"/>
          <w:color w:val="0000FF"/>
        </w:rPr>
        <w:t>Revolving Credit Loans; Borrowings to Repay Swing Loans.</w:t>
      </w:r>
      <w:r>
        <w:rPr>
          <w:sz w:val="20"/>
          <w:szCs w:val="20"/>
          <w:color w:val="auto"/>
        </w:rPr>
        <w:tab/>
      </w:r>
      <w:r>
        <w:rPr>
          <w:rFonts w:ascii="Times New Roman" w:cs="Times New Roman" w:eastAsia="Times New Roman" w:hAnsi="Times New Roman"/>
          <w:sz w:val="20"/>
          <w:szCs w:val="20"/>
          <w:color w:val="FF0000"/>
          <w:strike w:val="1"/>
        </w:rPr>
        <w:t>30</w:t>
      </w:r>
      <w:r>
        <w:rPr>
          <w:rFonts w:ascii="Times New Roman" w:cs="Times New Roman" w:eastAsia="Times New Roman" w:hAnsi="Times New Roman"/>
          <w:sz w:val="20"/>
          <w:szCs w:val="20"/>
          <w:u w:val="single" w:color="auto"/>
          <w:color w:val="0000FF"/>
          <w:strike w:val="1"/>
        </w:rPr>
        <w:t>37</w:t>
      </w:r>
    </w:p>
    <w:p>
      <w:pPr>
        <w:ind w:left="1200"/>
        <w:spacing w:after="0" w:line="235" w:lineRule="auto"/>
        <w:tabs>
          <w:tab w:leader="none" w:pos="1760" w:val="left"/>
          <w:tab w:leader="none" w:pos="4620" w:val="left"/>
        </w:tabs>
        <w:rPr>
          <w:sz w:val="20"/>
          <w:szCs w:val="20"/>
          <w:color w:val="auto"/>
        </w:rPr>
      </w:pPr>
      <w:r>
        <w:rPr>
          <w:rFonts w:ascii="Times New Roman" w:cs="Times New Roman" w:eastAsia="Times New Roman" w:hAnsi="Times New Roman"/>
          <w:sz w:val="20"/>
          <w:szCs w:val="20"/>
          <w:u w:val="single" w:color="auto"/>
          <w:color w:val="0000FF"/>
        </w:rPr>
        <w:t>2.6.1</w:t>
        <w:tab/>
        <w:t>Making Revolving Credit Loans.</w:t>
      </w:r>
      <w:r>
        <w:rPr>
          <w:sz w:val="20"/>
          <w:szCs w:val="20"/>
          <w:color w:val="auto"/>
        </w:rPr>
        <w:tab/>
      </w:r>
      <w:r>
        <w:rPr>
          <w:rFonts w:ascii="Times New Roman" w:cs="Times New Roman" w:eastAsia="Times New Roman" w:hAnsi="Times New Roman"/>
          <w:sz w:val="19"/>
          <w:szCs w:val="19"/>
          <w:color w:val="FF0000"/>
          <w:strike w:val="1"/>
        </w:rPr>
        <w:t>30</w:t>
      </w:r>
      <w:r>
        <w:rPr>
          <w:rFonts w:ascii="Times New Roman" w:cs="Times New Roman" w:eastAsia="Times New Roman" w:hAnsi="Times New Roman"/>
          <w:sz w:val="19"/>
          <w:szCs w:val="19"/>
          <w:u w:val="single" w:color="auto"/>
          <w:color w:val="0000FF"/>
          <w:strike w:val="1"/>
        </w:rPr>
        <w:t>37</w:t>
      </w:r>
    </w:p>
    <w:p>
      <w:pPr>
        <w:ind w:left="1200"/>
        <w:spacing w:after="0"/>
        <w:tabs>
          <w:tab w:leader="none" w:pos="1760" w:val="left"/>
          <w:tab w:leader="none" w:pos="5460" w:val="left"/>
        </w:tabs>
        <w:rPr>
          <w:sz w:val="20"/>
          <w:szCs w:val="20"/>
          <w:color w:val="auto"/>
        </w:rPr>
      </w:pPr>
      <w:r>
        <w:rPr>
          <w:rFonts w:ascii="Times New Roman" w:cs="Times New Roman" w:eastAsia="Times New Roman" w:hAnsi="Times New Roman"/>
          <w:sz w:val="20"/>
          <w:szCs w:val="20"/>
          <w:u w:val="single" w:color="auto"/>
          <w:color w:val="0000FF"/>
        </w:rPr>
        <w:t>2.6.2</w:t>
        <w:tab/>
        <w:t>Presumptions by the Administrative Agent.</w:t>
      </w:r>
      <w:r>
        <w:rPr>
          <w:sz w:val="20"/>
          <w:szCs w:val="20"/>
          <w:color w:val="auto"/>
        </w:rPr>
        <w:tab/>
      </w:r>
      <w:r>
        <w:rPr>
          <w:rFonts w:ascii="Times New Roman" w:cs="Times New Roman" w:eastAsia="Times New Roman" w:hAnsi="Times New Roman"/>
          <w:sz w:val="19"/>
          <w:szCs w:val="19"/>
          <w:color w:val="FF0000"/>
          <w:strike w:val="1"/>
        </w:rPr>
        <w:t>31</w:t>
      </w:r>
      <w:r>
        <w:rPr>
          <w:rFonts w:ascii="Times New Roman" w:cs="Times New Roman" w:eastAsia="Times New Roman" w:hAnsi="Times New Roman"/>
          <w:sz w:val="19"/>
          <w:szCs w:val="19"/>
          <w:u w:val="single" w:color="auto"/>
          <w:color w:val="0000FF"/>
          <w:strike w:val="1"/>
        </w:rPr>
        <w:t>37</w:t>
      </w:r>
    </w:p>
    <w:tbl>
      <w:tblPr>
        <w:tblLayout w:type="fixed"/>
        <w:tblInd w:w="600" w:type="dxa"/>
        <w:tblCellMar>
          <w:top w:w="0" w:type="dxa"/>
          <w:left w:w="0" w:type="dxa"/>
          <w:bottom w:w="0" w:type="dxa"/>
          <w:right w:w="0" w:type="dxa"/>
        </w:tblCellMar>
      </w:tblPr>
      <w:tr>
        <w:trPr>
          <w:trHeight w:val="193"/>
        </w:trPr>
        <w:tc>
          <w:tcPr>
            <w:tcW w:w="600" w:type="dxa"/>
            <w:vAlign w:val="bottom"/>
            <w:gridSpan w:val="3"/>
          </w:tcPr>
          <w:p>
            <w:pPr>
              <w:spacing w:after="0"/>
              <w:rPr>
                <w:sz w:val="16"/>
                <w:szCs w:val="16"/>
                <w:color w:val="auto"/>
              </w:rPr>
            </w:pPr>
          </w:p>
        </w:tc>
        <w:tc>
          <w:tcPr>
            <w:tcW w:w="42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6.3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gridSpan w:val="17"/>
          </w:tcPr>
          <w:p>
            <w:pPr>
              <w:spacing w:after="0" w:line="193" w:lineRule="exact"/>
              <w:rPr>
                <w:sz w:val="20"/>
                <w:szCs w:val="20"/>
                <w:color w:val="auto"/>
              </w:rPr>
            </w:pPr>
            <w:r>
              <w:rPr>
                <w:rFonts w:ascii="Times New Roman" w:cs="Times New Roman" w:eastAsia="Times New Roman" w:hAnsi="Times New Roman"/>
                <w:sz w:val="20"/>
                <w:szCs w:val="20"/>
                <w:color w:val="0000FF"/>
              </w:rPr>
              <w:t>Making Swing Loans.</w:t>
            </w:r>
          </w:p>
        </w:tc>
        <w:tc>
          <w:tcPr>
            <w:tcW w:w="260" w:type="dxa"/>
            <w:vAlign w:val="bottom"/>
            <w:gridSpan w:val="3"/>
          </w:tcPr>
          <w:p>
            <w:pPr>
              <w:jc w:val="right"/>
              <w:spacing w:after="0" w:line="193" w:lineRule="exact"/>
              <w:rPr>
                <w:sz w:val="20"/>
                <w:szCs w:val="20"/>
                <w:color w:val="auto"/>
              </w:rPr>
            </w:pPr>
            <w:r>
              <w:rPr>
                <w:rFonts w:ascii="Times New Roman" w:cs="Times New Roman" w:eastAsia="Times New Roman" w:hAnsi="Times New Roman"/>
                <w:sz w:val="20"/>
                <w:szCs w:val="20"/>
                <w:color w:val="FF0000"/>
                <w:strike w:val="1"/>
              </w:rPr>
              <w:t>31</w:t>
            </w:r>
          </w:p>
        </w:tc>
        <w:tc>
          <w:tcPr>
            <w:tcW w:w="140" w:type="dxa"/>
            <w:vAlign w:val="bottom"/>
          </w:tcPr>
          <w:p>
            <w:pPr>
              <w:jc w:val="right"/>
              <w:spacing w:after="0" w:line="193" w:lineRule="exact"/>
              <w:rPr>
                <w:sz w:val="20"/>
                <w:szCs w:val="20"/>
                <w:color w:val="auto"/>
              </w:rPr>
            </w:pPr>
            <w:r>
              <w:rPr>
                <w:rFonts w:ascii="Times New Roman" w:cs="Times New Roman" w:eastAsia="Times New Roman" w:hAnsi="Times New Roman"/>
                <w:sz w:val="20"/>
                <w:szCs w:val="20"/>
                <w:color w:val="0000FF"/>
                <w:w w:val="89"/>
              </w:rPr>
              <w:t>37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31</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1220" w:type="dxa"/>
            <w:vAlign w:val="bottom"/>
            <w:tcBorders>
              <w:left w:val="single" w:sz="8" w:color="0000FF"/>
              <w:right w:val="single" w:sz="8" w:color="0000FF"/>
            </w:tcBorders>
            <w:gridSpan w:val="10"/>
          </w:tcPr>
          <w:p>
            <w:pPr>
              <w:spacing w:after="0" w:line="20" w:lineRule="exact"/>
              <w:rPr>
                <w:sz w:val="1"/>
                <w:szCs w:val="1"/>
                <w:color w:val="auto"/>
              </w:rPr>
            </w:pPr>
          </w:p>
        </w:tc>
        <w:tc>
          <w:tcPr>
            <w:tcW w:w="660" w:type="dxa"/>
            <w:vAlign w:val="bottom"/>
            <w:tcBorders>
              <w:right w:val="single" w:sz="8" w:color="0000FF"/>
            </w:tcBorders>
            <w:gridSpan w:val="8"/>
            <w:shd w:val="clear" w:color="auto" w:fill="0000FF"/>
          </w:tcPr>
          <w:p>
            <w:pPr>
              <w:spacing w:after="0" w:line="20" w:lineRule="exact"/>
              <w:rPr>
                <w:sz w:val="1"/>
                <w:szCs w:val="1"/>
                <w:color w:val="auto"/>
              </w:rPr>
            </w:pPr>
          </w:p>
        </w:tc>
        <w:tc>
          <w:tcPr>
            <w:tcW w:w="600" w:type="dxa"/>
            <w:vAlign w:val="bottom"/>
            <w:tcBorders>
              <w:left w:val="single" w:sz="8" w:color="0000FF"/>
            </w:tcBorders>
            <w:gridSpan w:val="6"/>
          </w:tcPr>
          <w:p>
            <w:pPr>
              <w:spacing w:after="0" w:line="20" w:lineRule="exact"/>
              <w:rPr>
                <w:sz w:val="1"/>
                <w:szCs w:val="1"/>
                <w:color w:val="auto"/>
              </w:rPr>
            </w:pPr>
          </w:p>
        </w:tc>
        <w:tc>
          <w:tcPr>
            <w:tcW w:w="1000" w:type="dxa"/>
            <w:vAlign w:val="bottom"/>
            <w:tcBorders>
              <w:left w:val="single" w:sz="8" w:color="0000FF"/>
            </w:tcBorders>
            <w:gridSpan w:val="1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Borders>
              <w:bottom w:val="single" w:sz="8" w:color="0000FF"/>
            </w:tcBorders>
            <w:gridSpan w:val="31"/>
          </w:tcPr>
          <w:p>
            <w:pPr>
              <w:spacing w:after="0" w:line="194" w:lineRule="exact"/>
              <w:rPr>
                <w:sz w:val="20"/>
                <w:szCs w:val="20"/>
                <w:color w:val="auto"/>
              </w:rPr>
            </w:pPr>
            <w:r>
              <w:rPr>
                <w:rFonts w:ascii="Times New Roman" w:cs="Times New Roman" w:eastAsia="Times New Roman" w:hAnsi="Times New Roman"/>
                <w:sz w:val="20"/>
                <w:szCs w:val="20"/>
                <w:color w:val="0000FF"/>
              </w:rPr>
              <w:t>Repayment of Revolving Credit Loans.</w:t>
            </w:r>
          </w:p>
        </w:tc>
        <w:tc>
          <w:tcPr>
            <w:tcW w:w="140" w:type="dxa"/>
            <w:vAlign w:val="bottom"/>
            <w:gridSpan w:val="3"/>
          </w:tcPr>
          <w:p>
            <w:pPr>
              <w:spacing w:after="0"/>
              <w:rPr>
                <w:sz w:val="16"/>
                <w:szCs w:val="16"/>
                <w:color w:val="auto"/>
              </w:rPr>
            </w:pPr>
          </w:p>
        </w:tc>
        <w:tc>
          <w:tcPr>
            <w:tcW w:w="60" w:type="dxa"/>
            <w:vAlign w:val="bottom"/>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200" w:type="dxa"/>
            <w:vAlign w:val="bottom"/>
            <w:tcBorders>
              <w:bottom w:val="single" w:sz="8" w:color="0000FF"/>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28"/>
          </w:tcPr>
          <w:p>
            <w:pPr>
              <w:spacing w:after="0" w:line="207" w:lineRule="exact"/>
              <w:rPr>
                <w:sz w:val="20"/>
                <w:szCs w:val="20"/>
                <w:color w:val="auto"/>
              </w:rPr>
            </w:pPr>
            <w:r>
              <w:rPr>
                <w:rFonts w:ascii="Times New Roman" w:cs="Times New Roman" w:eastAsia="Times New Roman" w:hAnsi="Times New Roman"/>
                <w:sz w:val="20"/>
                <w:szCs w:val="20"/>
                <w:color w:val="0000FF"/>
              </w:rPr>
              <w:t>Borrowings to Repay Swing Loans.</w:t>
            </w:r>
          </w:p>
        </w:tc>
        <w:tc>
          <w:tcPr>
            <w:tcW w:w="220" w:type="dxa"/>
            <w:vAlign w:val="bottom"/>
            <w:gridSpan w:val="5"/>
          </w:tcPr>
          <w:p>
            <w:pPr>
              <w:jc w:val="right"/>
              <w:ind w:right="20"/>
              <w:spacing w:after="0" w:line="207" w:lineRule="exact"/>
              <w:rPr>
                <w:sz w:val="20"/>
                <w:szCs w:val="20"/>
                <w:color w:val="auto"/>
              </w:rPr>
            </w:pPr>
            <w:r>
              <w:rPr>
                <w:rFonts w:ascii="Times New Roman" w:cs="Times New Roman" w:eastAsia="Times New Roman" w:hAnsi="Times New Roman"/>
                <w:sz w:val="20"/>
                <w:szCs w:val="20"/>
                <w:color w:val="FF0000"/>
                <w:strike w:val="1"/>
                <w:w w:val="89"/>
              </w:rPr>
              <w:t>31</w:t>
            </w:r>
          </w:p>
        </w:tc>
        <w:tc>
          <w:tcPr>
            <w:tcW w:w="18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0000FF"/>
                <w:w w:val="79"/>
              </w:rPr>
              <w:t>38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1220" w:type="dxa"/>
            <w:vAlign w:val="bottom"/>
            <w:tcBorders>
              <w:left w:val="single" w:sz="8" w:color="0000FF"/>
              <w:right w:val="single" w:sz="8" w:color="0000FF"/>
            </w:tcBorders>
            <w:gridSpan w:val="10"/>
          </w:tcPr>
          <w:p>
            <w:pPr>
              <w:spacing w:after="0" w:line="20" w:lineRule="exact"/>
              <w:rPr>
                <w:sz w:val="1"/>
                <w:szCs w:val="1"/>
                <w:color w:val="auto"/>
              </w:rPr>
            </w:pPr>
          </w:p>
        </w:tc>
        <w:tc>
          <w:tcPr>
            <w:tcW w:w="660" w:type="dxa"/>
            <w:vAlign w:val="bottom"/>
            <w:tcBorders>
              <w:right w:val="single" w:sz="8" w:color="0000FF"/>
            </w:tcBorders>
            <w:gridSpan w:val="8"/>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20" w:type="dxa"/>
            <w:vAlign w:val="bottom"/>
            <w:tcBorders>
              <w:right w:val="single" w:sz="8" w:color="0000FF"/>
            </w:tcBorders>
            <w:gridSpan w:val="7"/>
          </w:tcPr>
          <w:p>
            <w:pPr>
              <w:spacing w:after="0" w:line="20" w:lineRule="exact"/>
              <w:rPr>
                <w:sz w:val="1"/>
                <w:szCs w:val="1"/>
                <w:color w:val="auto"/>
              </w:rPr>
            </w:pPr>
          </w:p>
        </w:tc>
        <w:tc>
          <w:tcPr>
            <w:tcW w:w="1860" w:type="dxa"/>
            <w:vAlign w:val="bottom"/>
            <w:gridSpan w:val="2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gridSpan w:val="47"/>
          </w:tcPr>
          <w:p>
            <w:pPr>
              <w:spacing w:after="0" w:line="207" w:lineRule="exact"/>
              <w:rPr>
                <w:sz w:val="20"/>
                <w:szCs w:val="20"/>
                <w:color w:val="auto"/>
              </w:rPr>
            </w:pPr>
            <w:r>
              <w:rPr>
                <w:rFonts w:ascii="Times New Roman" w:cs="Times New Roman" w:eastAsia="Times New Roman" w:hAnsi="Times New Roman"/>
                <w:sz w:val="20"/>
                <w:szCs w:val="20"/>
                <w:color w:val="0000FF"/>
                <w:w w:val="99"/>
              </w:rPr>
              <w:t>Swing Loans Under Cash Management Agreements.</w:t>
            </w:r>
          </w:p>
        </w:tc>
        <w:tc>
          <w:tcPr>
            <w:tcW w:w="200" w:type="dxa"/>
            <w:vAlign w:val="bottom"/>
            <w:gridSpan w:val="2"/>
          </w:tcPr>
          <w:p>
            <w:pPr>
              <w:spacing w:after="0"/>
              <w:rPr>
                <w:sz w:val="17"/>
                <w:szCs w:val="17"/>
                <w:color w:val="auto"/>
              </w:rPr>
            </w:pPr>
          </w:p>
        </w:tc>
        <w:tc>
          <w:tcPr>
            <w:tcW w:w="20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31</w:t>
            </w:r>
          </w:p>
        </w:tc>
        <w:tc>
          <w:tcPr>
            <w:tcW w:w="320" w:type="dxa"/>
            <w:vAlign w:val="bottom"/>
            <w:gridSpan w:val="3"/>
          </w:tcPr>
          <w:p>
            <w:pPr>
              <w:jc w:val="right"/>
              <w:ind w:right="120"/>
              <w:spacing w:after="0" w:line="207" w:lineRule="exact"/>
              <w:rPr>
                <w:sz w:val="20"/>
                <w:szCs w:val="20"/>
                <w:color w:val="auto"/>
              </w:rPr>
            </w:pPr>
            <w:r>
              <w:rPr>
                <w:rFonts w:ascii="Times New Roman" w:cs="Times New Roman" w:eastAsia="Times New Roman" w:hAnsi="Times New Roman"/>
                <w:sz w:val="20"/>
                <w:szCs w:val="20"/>
                <w:color w:val="0000FF"/>
                <w:w w:val="89"/>
              </w:rPr>
              <w:t>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right w:val="single" w:sz="8" w:color="0000FF"/>
            </w:tcBorders>
            <w:gridSpan w:val="15"/>
          </w:tcPr>
          <w:p>
            <w:pPr>
              <w:spacing w:after="0" w:line="20" w:lineRule="exact"/>
              <w:rPr>
                <w:sz w:val="1"/>
                <w:szCs w:val="1"/>
                <w:color w:val="auto"/>
              </w:rPr>
            </w:pPr>
          </w:p>
        </w:tc>
        <w:tc>
          <w:tcPr>
            <w:tcW w:w="660" w:type="dxa"/>
            <w:vAlign w:val="bottom"/>
            <w:tcBorders>
              <w:right w:val="single" w:sz="8" w:color="0000FF"/>
            </w:tcBorders>
            <w:gridSpan w:val="8"/>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940" w:type="dxa"/>
            <w:vAlign w:val="bottom"/>
            <w:tcBorders>
              <w:right w:val="single" w:sz="8" w:color="0000FF"/>
            </w:tcBorders>
            <w:gridSpan w:val="14"/>
            <w:shd w:val="clear" w:color="auto" w:fill="0000FF"/>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gridSpan w:val="7"/>
          </w:tcPr>
          <w:p>
            <w:pPr>
              <w:spacing w:after="0" w:line="194" w:lineRule="exact"/>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7</w:t>
            </w:r>
            <w:r>
              <w:rPr>
                <w:rFonts w:ascii="Times New Roman" w:cs="Times New Roman" w:eastAsia="Times New Roman" w:hAnsi="Times New Roman"/>
                <w:sz w:val="20"/>
                <w:szCs w:val="20"/>
                <w:color w:val="0000FF"/>
              </w:rPr>
              <w:t xml:space="preserve">  Notes.</w:t>
            </w:r>
          </w:p>
        </w:tc>
        <w:tc>
          <w:tcPr>
            <w:tcW w:w="2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99"/>
              </w:rPr>
              <w:t>32</w:t>
            </w:r>
          </w:p>
        </w:tc>
        <w:tc>
          <w:tcPr>
            <w:tcW w:w="5000" w:type="dxa"/>
            <w:vAlign w:val="bottom"/>
            <w:gridSpan w:val="54"/>
          </w:tcPr>
          <w:p>
            <w:pPr>
              <w:jc w:val="right"/>
              <w:ind w:right="4679"/>
              <w:spacing w:after="0" w:line="194" w:lineRule="exact"/>
              <w:rPr>
                <w:sz w:val="20"/>
                <w:szCs w:val="20"/>
                <w:color w:val="auto"/>
              </w:rPr>
            </w:pPr>
            <w:r>
              <w:rPr>
                <w:rFonts w:ascii="Times New Roman" w:cs="Times New Roman" w:eastAsia="Times New Roman" w:hAnsi="Times New Roman"/>
                <w:sz w:val="20"/>
                <w:szCs w:val="20"/>
                <w:color w:val="0000FF"/>
                <w:w w:val="99"/>
              </w:rPr>
              <w:t>39</w:t>
            </w:r>
          </w:p>
        </w:tc>
        <w:tc>
          <w:tcPr>
            <w:tcW w:w="0" w:type="dxa"/>
            <w:vAlign w:val="bottom"/>
          </w:tcPr>
          <w:p>
            <w:pPr>
              <w:spacing w:after="0"/>
              <w:rPr>
                <w:sz w:val="1"/>
                <w:szCs w:val="1"/>
                <w:color w:val="auto"/>
              </w:rPr>
            </w:pPr>
          </w:p>
        </w:tc>
      </w:tr>
      <w:tr>
        <w:trPr>
          <w:trHeight w:val="20"/>
        </w:trPr>
        <w:tc>
          <w:tcPr>
            <w:tcW w:w="6340" w:type="dxa"/>
            <w:vAlign w:val="bottom"/>
            <w:gridSpan w:val="6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0000FF"/>
                <w:w w:val="95"/>
              </w:rPr>
              <w:t>2.</w:t>
            </w:r>
            <w:r>
              <w:rPr>
                <w:rFonts w:ascii="Times New Roman" w:cs="Times New Roman" w:eastAsia="Times New Roman" w:hAnsi="Times New Roman"/>
                <w:sz w:val="20"/>
                <w:szCs w:val="20"/>
                <w:u w:val="single" w:color="auto"/>
                <w:color w:val="0000FF"/>
                <w:w w:val="95"/>
              </w:rPr>
              <w:t>8</w:t>
            </w:r>
          </w:p>
        </w:tc>
        <w:tc>
          <w:tcPr>
            <w:tcW w:w="160" w:type="dxa"/>
            <w:vAlign w:val="bottom"/>
          </w:tcPr>
          <w:p>
            <w:pPr>
              <w:spacing w:after="0"/>
              <w:rPr>
                <w:sz w:val="17"/>
                <w:szCs w:val="17"/>
                <w:color w:val="auto"/>
              </w:rPr>
            </w:pPr>
          </w:p>
        </w:tc>
        <w:tc>
          <w:tcPr>
            <w:tcW w:w="5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Use of</w:t>
            </w:r>
          </w:p>
        </w:tc>
        <w:tc>
          <w:tcPr>
            <w:tcW w:w="1040" w:type="dxa"/>
            <w:vAlign w:val="bottom"/>
            <w:gridSpan w:val="9"/>
          </w:tcPr>
          <w:p>
            <w:pPr>
              <w:ind w:left="60"/>
              <w:spacing w:after="0" w:line="207" w:lineRule="exact"/>
              <w:rPr>
                <w:sz w:val="20"/>
                <w:szCs w:val="20"/>
                <w:color w:val="auto"/>
              </w:rPr>
            </w:pPr>
            <w:r>
              <w:rPr>
                <w:rFonts w:ascii="Times New Roman" w:cs="Times New Roman" w:eastAsia="Times New Roman" w:hAnsi="Times New Roman"/>
                <w:sz w:val="20"/>
                <w:szCs w:val="20"/>
                <w:color w:val="0000FF"/>
              </w:rPr>
              <w:t>Proceeds.</w:t>
            </w:r>
          </w:p>
        </w:tc>
        <w:tc>
          <w:tcPr>
            <w:tcW w:w="260" w:type="dxa"/>
            <w:vAlign w:val="bottom"/>
            <w:gridSpan w:val="2"/>
          </w:tcPr>
          <w:p>
            <w:pPr>
              <w:jc w:val="right"/>
              <w:ind w:right="60"/>
              <w:spacing w:after="0" w:line="207" w:lineRule="exact"/>
              <w:rPr>
                <w:sz w:val="20"/>
                <w:szCs w:val="20"/>
                <w:color w:val="auto"/>
              </w:rPr>
            </w:pPr>
            <w:r>
              <w:rPr>
                <w:rFonts w:ascii="Times New Roman" w:cs="Times New Roman" w:eastAsia="Times New Roman" w:hAnsi="Times New Roman"/>
                <w:sz w:val="20"/>
                <w:szCs w:val="20"/>
                <w:color w:val="FF0000"/>
                <w:strike w:val="1"/>
                <w:w w:val="89"/>
              </w:rPr>
              <w:t>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0"/>
              </w:rPr>
              <w:t>39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0000FF"/>
                <w:w w:val="95"/>
              </w:rPr>
              <w:t>2.</w:t>
            </w:r>
            <w:r>
              <w:rPr>
                <w:rFonts w:ascii="Times New Roman" w:cs="Times New Roman" w:eastAsia="Times New Roman" w:hAnsi="Times New Roman"/>
                <w:sz w:val="20"/>
                <w:szCs w:val="20"/>
                <w:u w:val="single" w:color="auto"/>
                <w:color w:val="0000FF"/>
                <w:w w:val="95"/>
              </w:rPr>
              <w:t>9</w:t>
            </w:r>
          </w:p>
        </w:tc>
        <w:tc>
          <w:tcPr>
            <w:tcW w:w="160" w:type="dxa"/>
            <w:vAlign w:val="bottom"/>
          </w:tcPr>
          <w:p>
            <w:pPr>
              <w:spacing w:after="0"/>
              <w:rPr>
                <w:sz w:val="17"/>
                <w:szCs w:val="17"/>
                <w:color w:val="auto"/>
              </w:rPr>
            </w:pPr>
          </w:p>
        </w:tc>
        <w:tc>
          <w:tcPr>
            <w:tcW w:w="1360" w:type="dxa"/>
            <w:vAlign w:val="bottom"/>
            <w:gridSpan w:val="10"/>
          </w:tcPr>
          <w:p>
            <w:pPr>
              <w:spacing w:after="0" w:line="207" w:lineRule="exact"/>
              <w:rPr>
                <w:sz w:val="20"/>
                <w:szCs w:val="20"/>
                <w:color w:val="auto"/>
              </w:rPr>
            </w:pPr>
            <w:r>
              <w:rPr>
                <w:rFonts w:ascii="Times New Roman" w:cs="Times New Roman" w:eastAsia="Times New Roman" w:hAnsi="Times New Roman"/>
                <w:sz w:val="20"/>
                <w:szCs w:val="20"/>
                <w:color w:val="0000FF"/>
              </w:rPr>
              <w:t>Letter of Credit</w:t>
            </w:r>
          </w:p>
        </w:tc>
        <w:tc>
          <w:tcPr>
            <w:tcW w:w="1080" w:type="dxa"/>
            <w:vAlign w:val="bottom"/>
            <w:gridSpan w:val="10"/>
          </w:tcPr>
          <w:p>
            <w:pPr>
              <w:spacing w:after="0" w:line="207" w:lineRule="exact"/>
              <w:rPr>
                <w:sz w:val="20"/>
                <w:szCs w:val="20"/>
                <w:color w:val="auto"/>
              </w:rPr>
            </w:pPr>
            <w:r>
              <w:rPr>
                <w:rFonts w:ascii="Times New Roman" w:cs="Times New Roman" w:eastAsia="Times New Roman" w:hAnsi="Times New Roman"/>
                <w:sz w:val="20"/>
                <w:szCs w:val="20"/>
                <w:color w:val="0000FF"/>
              </w:rPr>
              <w:t>Subfacility.</w:t>
            </w:r>
          </w:p>
        </w:tc>
        <w:tc>
          <w:tcPr>
            <w:tcW w:w="2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32</w:t>
            </w:r>
          </w:p>
        </w:tc>
        <w:tc>
          <w:tcPr>
            <w:tcW w:w="240" w:type="dxa"/>
            <w:vAlign w:val="bottom"/>
            <w:gridSpan w:val="3"/>
          </w:tcPr>
          <w:p>
            <w:pPr>
              <w:spacing w:after="0" w:line="207" w:lineRule="exact"/>
              <w:rPr>
                <w:sz w:val="20"/>
                <w:szCs w:val="20"/>
                <w:color w:val="auto"/>
              </w:rPr>
            </w:pPr>
            <w:r>
              <w:rPr>
                <w:rFonts w:ascii="Times New Roman" w:cs="Times New Roman" w:eastAsia="Times New Roman" w:hAnsi="Times New Roman"/>
                <w:sz w:val="20"/>
                <w:szCs w:val="20"/>
                <w:color w:val="0000FF"/>
              </w:rPr>
              <w:t>39</w:t>
            </w:r>
          </w:p>
        </w:tc>
        <w:tc>
          <w:tcPr>
            <w:tcW w:w="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gridSpan w:val="3"/>
            <w:vMerge w:val="restart"/>
          </w:tcPr>
          <w:p>
            <w:pPr>
              <w:jc w:val="center"/>
              <w:spacing w:after="0" w:line="214" w:lineRule="exact"/>
              <w:rPr>
                <w:sz w:val="20"/>
                <w:szCs w:val="20"/>
                <w:color w:val="auto"/>
              </w:rPr>
            </w:pPr>
            <w:r>
              <w:rPr>
                <w:rFonts w:ascii="Times New Roman" w:cs="Times New Roman" w:eastAsia="Times New Roman" w:hAnsi="Times New Roman"/>
                <w:sz w:val="20"/>
                <w:szCs w:val="20"/>
                <w:color w:val="0000FF"/>
                <w:w w:val="95"/>
              </w:rPr>
              <w:t>of</w:t>
            </w: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11"/>
          </w:tcPr>
          <w:p>
            <w:pPr>
              <w:spacing w:after="0" w:line="194" w:lineRule="exact"/>
              <w:rPr>
                <w:sz w:val="20"/>
                <w:szCs w:val="20"/>
                <w:color w:val="auto"/>
              </w:rPr>
            </w:pPr>
            <w:r>
              <w:rPr>
                <w:rFonts w:ascii="Times New Roman" w:cs="Times New Roman" w:eastAsia="Times New Roman" w:hAnsi="Times New Roman"/>
                <w:sz w:val="20"/>
                <w:szCs w:val="20"/>
                <w:color w:val="0000FF"/>
                <w:w w:val="95"/>
              </w:rPr>
              <w:t>Issuance of Letters</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80" w:type="dxa"/>
            <w:vAlign w:val="bottom"/>
            <w:gridSpan w:val="3"/>
            <w:vMerge w:val="continue"/>
          </w:tcPr>
          <w:p>
            <w:pPr>
              <w:spacing w:after="0"/>
              <w:rPr>
                <w:sz w:val="16"/>
                <w:szCs w:val="16"/>
                <w:color w:val="auto"/>
              </w:rPr>
            </w:pPr>
          </w:p>
        </w:tc>
        <w:tc>
          <w:tcPr>
            <w:tcW w:w="660" w:type="dxa"/>
            <w:vAlign w:val="bottom"/>
            <w:gridSpan w:val="6"/>
          </w:tcPr>
          <w:p>
            <w:pPr>
              <w:spacing w:after="0" w:line="194" w:lineRule="exact"/>
              <w:rPr>
                <w:sz w:val="20"/>
                <w:szCs w:val="20"/>
                <w:color w:val="auto"/>
              </w:rPr>
            </w:pPr>
            <w:r>
              <w:rPr>
                <w:rFonts w:ascii="Times New Roman" w:cs="Times New Roman" w:eastAsia="Times New Roman" w:hAnsi="Times New Roman"/>
                <w:sz w:val="20"/>
                <w:szCs w:val="20"/>
                <w:color w:val="0000FF"/>
              </w:rPr>
              <w:t>Credit.</w:t>
            </w:r>
          </w:p>
        </w:tc>
        <w:tc>
          <w:tcPr>
            <w:tcW w:w="2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32</w:t>
            </w:r>
          </w:p>
        </w:tc>
        <w:tc>
          <w:tcPr>
            <w:tcW w:w="14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39</w:t>
            </w:r>
          </w:p>
        </w:tc>
        <w:tc>
          <w:tcPr>
            <w:tcW w:w="14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gridSpan w:val="17"/>
          </w:tcPr>
          <w:p>
            <w:pPr>
              <w:spacing w:after="0" w:line="207" w:lineRule="exact"/>
              <w:rPr>
                <w:sz w:val="20"/>
                <w:szCs w:val="20"/>
                <w:color w:val="auto"/>
              </w:rPr>
            </w:pPr>
            <w:r>
              <w:rPr>
                <w:rFonts w:ascii="Times New Roman" w:cs="Times New Roman" w:eastAsia="Times New Roman" w:hAnsi="Times New Roman"/>
                <w:sz w:val="20"/>
                <w:szCs w:val="20"/>
                <w:color w:val="0000FF"/>
              </w:rPr>
              <w:t>Letter of Credit Fees.</w:t>
            </w:r>
          </w:p>
        </w:tc>
        <w:tc>
          <w:tcPr>
            <w:tcW w:w="2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33</w:t>
            </w:r>
          </w:p>
        </w:tc>
        <w:tc>
          <w:tcPr>
            <w:tcW w:w="2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40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FF0000"/>
                <w:strike w:val="1"/>
                <w:w w:val="70"/>
              </w:rPr>
              <w:t>34</w:t>
            </w:r>
          </w:p>
        </w:tc>
        <w:tc>
          <w:tcPr>
            <w:tcW w:w="280" w:type="dxa"/>
            <w:vAlign w:val="bottom"/>
            <w:gridSpan w:val="6"/>
            <w:vMerge w:val="restart"/>
          </w:tcPr>
          <w:p>
            <w:pPr>
              <w:jc w:val="right"/>
              <w:ind w:right="80"/>
              <w:spacing w:after="0"/>
              <w:rPr>
                <w:sz w:val="20"/>
                <w:szCs w:val="20"/>
                <w:color w:val="auto"/>
              </w:rPr>
            </w:pPr>
            <w:r>
              <w:rPr>
                <w:rFonts w:ascii="Times New Roman" w:cs="Times New Roman" w:eastAsia="Times New Roman" w:hAnsi="Times New Roman"/>
                <w:sz w:val="20"/>
                <w:szCs w:val="20"/>
                <w:color w:val="0000FF"/>
                <w:w w:val="89"/>
              </w:rPr>
              <w:t>40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8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40" w:type="dxa"/>
            <w:vAlign w:val="bottom"/>
            <w:gridSpan w:val="25"/>
          </w:tcPr>
          <w:p>
            <w:pPr>
              <w:spacing w:after="0" w:line="207" w:lineRule="exact"/>
              <w:rPr>
                <w:sz w:val="20"/>
                <w:szCs w:val="20"/>
                <w:color w:val="auto"/>
              </w:rPr>
            </w:pPr>
            <w:r>
              <w:rPr>
                <w:rFonts w:ascii="Times New Roman" w:cs="Times New Roman" w:eastAsia="Times New Roman" w:hAnsi="Times New Roman"/>
                <w:sz w:val="20"/>
                <w:szCs w:val="20"/>
                <w:color w:val="0000FF"/>
              </w:rPr>
              <w:t>Disbursements, Reimbursement.</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35</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42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20" w:type="dxa"/>
            <w:vAlign w:val="bottom"/>
            <w:tcBorders>
              <w:bottom w:val="single" w:sz="8" w:color="0000FF"/>
            </w:tcBorders>
            <w:gridSpan w:val="30"/>
          </w:tcPr>
          <w:p>
            <w:pPr>
              <w:spacing w:after="0" w:line="194" w:lineRule="exact"/>
              <w:rPr>
                <w:sz w:val="20"/>
                <w:szCs w:val="20"/>
                <w:color w:val="auto"/>
              </w:rPr>
            </w:pPr>
            <w:r>
              <w:rPr>
                <w:rFonts w:ascii="Times New Roman" w:cs="Times New Roman" w:eastAsia="Times New Roman" w:hAnsi="Times New Roman"/>
                <w:sz w:val="20"/>
                <w:szCs w:val="20"/>
                <w:color w:val="0000FF"/>
              </w:rPr>
              <w:t>Repayment of Participation Advances.</w:t>
            </w:r>
          </w:p>
        </w:tc>
        <w:tc>
          <w:tcPr>
            <w:tcW w:w="200" w:type="dxa"/>
            <w:vAlign w:val="bottom"/>
            <w:gridSpan w:val="4"/>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200" w:type="dxa"/>
            <w:vAlign w:val="bottom"/>
            <w:tcBorders>
              <w:bottom w:val="single" w:sz="8" w:color="0000FF"/>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0000FF"/>
            </w:tcBorders>
            <w:gridSpan w:val="10"/>
          </w:tcPr>
          <w:p>
            <w:pPr>
              <w:spacing w:after="0" w:line="207" w:lineRule="exact"/>
              <w:rPr>
                <w:sz w:val="20"/>
                <w:szCs w:val="20"/>
                <w:color w:val="auto"/>
              </w:rPr>
            </w:pPr>
            <w:r>
              <w:rPr>
                <w:rFonts w:ascii="Times New Roman" w:cs="Times New Roman" w:eastAsia="Times New Roman" w:hAnsi="Times New Roman"/>
                <w:sz w:val="20"/>
                <w:szCs w:val="20"/>
                <w:color w:val="0000FF"/>
                <w:w w:val="99"/>
              </w:rPr>
              <w:t>Documentation.</w:t>
            </w:r>
          </w:p>
        </w:tc>
        <w:tc>
          <w:tcPr>
            <w:tcW w:w="200" w:type="dxa"/>
            <w:vAlign w:val="bottom"/>
            <w:gridSpan w:val="3"/>
          </w:tcPr>
          <w:p>
            <w:pPr>
              <w:spacing w:after="0"/>
              <w:rPr>
                <w:sz w:val="17"/>
                <w:szCs w:val="17"/>
                <w:color w:val="auto"/>
              </w:rPr>
            </w:pPr>
          </w:p>
        </w:tc>
        <w:tc>
          <w:tcPr>
            <w:tcW w:w="22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36</w:t>
            </w:r>
          </w:p>
        </w:tc>
        <w:tc>
          <w:tcPr>
            <w:tcW w:w="160" w:type="dxa"/>
            <w:vAlign w:val="bottom"/>
            <w:tcBorders>
              <w:bottom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79"/>
              </w:rPr>
              <w:t>42</w:t>
            </w:r>
          </w:p>
        </w:tc>
        <w:tc>
          <w:tcPr>
            <w:tcW w:w="1720" w:type="dxa"/>
            <w:vAlign w:val="bottom"/>
            <w:gridSpan w:val="23"/>
            <w:vMerge w:val="restart"/>
          </w:tcPr>
          <w:p>
            <w:pPr>
              <w:jc w:val="center"/>
              <w:ind w:left="79"/>
              <w:spacing w:after="0"/>
              <w:rPr>
                <w:sz w:val="20"/>
                <w:szCs w:val="20"/>
                <w:color w:val="auto"/>
              </w:rPr>
            </w:pPr>
            <w:r>
              <w:rPr>
                <w:rFonts w:ascii="Times New Roman" w:cs="Times New Roman" w:eastAsia="Times New Roman" w:hAnsi="Times New Roman"/>
                <w:sz w:val="20"/>
                <w:szCs w:val="20"/>
                <w:color w:val="0000FF"/>
              </w:rPr>
              <w:t>Drawing Requests.</w:t>
            </w:r>
          </w:p>
        </w:tc>
        <w:tc>
          <w:tcPr>
            <w:tcW w:w="200" w:type="dxa"/>
            <w:vAlign w:val="bottom"/>
            <w:gridSpan w:val="3"/>
            <w:vMerge w:val="restart"/>
          </w:tcPr>
          <w:p>
            <w:pPr>
              <w:spacing w:after="0"/>
              <w:rPr>
                <w:sz w:val="17"/>
                <w:szCs w:val="17"/>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36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43</w:t>
            </w:r>
          </w:p>
        </w:tc>
        <w:tc>
          <w:tcPr>
            <w:tcW w:w="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0000FF"/>
            </w:tcBorders>
            <w:gridSpan w:val="10"/>
          </w:tcPr>
          <w:p>
            <w:pPr>
              <w:spacing w:after="0" w:line="207" w:lineRule="exact"/>
              <w:rPr>
                <w:sz w:val="20"/>
                <w:szCs w:val="20"/>
                <w:color w:val="auto"/>
              </w:rPr>
            </w:pPr>
            <w:r>
              <w:rPr>
                <w:rFonts w:ascii="Times New Roman" w:cs="Times New Roman" w:eastAsia="Times New Roman" w:hAnsi="Times New Roman"/>
                <w:sz w:val="20"/>
                <w:szCs w:val="20"/>
                <w:color w:val="0000FF"/>
              </w:rPr>
              <w:t>Determinations</w:t>
            </w:r>
          </w:p>
        </w:tc>
        <w:tc>
          <w:tcPr>
            <w:tcW w:w="580" w:type="dxa"/>
            <w:vAlign w:val="bottom"/>
            <w:tcBorders>
              <w:bottom w:val="single" w:sz="8" w:color="0000FF"/>
            </w:tcBorders>
            <w:gridSpan w:val="6"/>
          </w:tcPr>
          <w:p>
            <w:pPr>
              <w:jc w:val="right"/>
              <w:spacing w:after="0" w:line="207" w:lineRule="exact"/>
              <w:rPr>
                <w:sz w:val="20"/>
                <w:szCs w:val="20"/>
                <w:color w:val="auto"/>
              </w:rPr>
            </w:pPr>
            <w:r>
              <w:rPr>
                <w:rFonts w:ascii="Times New Roman" w:cs="Times New Roman" w:eastAsia="Times New Roman" w:hAnsi="Times New Roman"/>
                <w:sz w:val="20"/>
                <w:szCs w:val="20"/>
                <w:color w:val="0000FF"/>
                <w:w w:val="80"/>
              </w:rPr>
              <w:t>to Honor</w:t>
            </w:r>
          </w:p>
        </w:tc>
        <w:tc>
          <w:tcPr>
            <w:tcW w:w="1720" w:type="dxa"/>
            <w:vAlign w:val="bottom"/>
            <w:tcBorders>
              <w:bottom w:val="single" w:sz="8" w:color="0000FF"/>
            </w:tcBorders>
            <w:gridSpan w:val="23"/>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240" w:type="dxa"/>
            <w:vAlign w:val="bottom"/>
            <w:tcBorders>
              <w:bottom w:val="single" w:sz="8" w:color="0000FF"/>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0" w:type="dxa"/>
            <w:vAlign w:val="bottom"/>
            <w:gridSpan w:val="39"/>
          </w:tcPr>
          <w:p>
            <w:pPr>
              <w:spacing w:after="0" w:line="194" w:lineRule="exact"/>
              <w:rPr>
                <w:sz w:val="20"/>
                <w:szCs w:val="20"/>
                <w:color w:val="auto"/>
              </w:rPr>
            </w:pPr>
            <w:r>
              <w:rPr>
                <w:rFonts w:ascii="Times New Roman" w:cs="Times New Roman" w:eastAsia="Times New Roman" w:hAnsi="Times New Roman"/>
                <w:sz w:val="20"/>
                <w:szCs w:val="20"/>
                <w:color w:val="0000FF"/>
              </w:rPr>
              <w:t>Nature of Participation and Reimbursement</w:t>
            </w:r>
          </w:p>
        </w:tc>
        <w:tc>
          <w:tcPr>
            <w:tcW w:w="1160" w:type="dxa"/>
            <w:vAlign w:val="bottom"/>
            <w:gridSpan w:val="14"/>
          </w:tcPr>
          <w:p>
            <w:pPr>
              <w:jc w:val="center"/>
              <w:ind w:right="99"/>
              <w:spacing w:after="0" w:line="194" w:lineRule="exact"/>
              <w:rPr>
                <w:sz w:val="20"/>
                <w:szCs w:val="20"/>
                <w:color w:val="auto"/>
              </w:rPr>
            </w:pPr>
            <w:r>
              <w:rPr>
                <w:rFonts w:ascii="Times New Roman" w:cs="Times New Roman" w:eastAsia="Times New Roman" w:hAnsi="Times New Roman"/>
                <w:sz w:val="20"/>
                <w:szCs w:val="20"/>
                <w:color w:val="0000FF"/>
                <w:w w:val="97"/>
              </w:rPr>
              <w:t>Obligations.</w:t>
            </w:r>
          </w:p>
        </w:tc>
        <w:tc>
          <w:tcPr>
            <w:tcW w:w="2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36</w:t>
            </w: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43</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top w:val="single" w:sz="8" w:color="0000FF"/>
            </w:tcBorders>
            <w:gridSpan w:val="7"/>
          </w:tcPr>
          <w:p>
            <w:pPr>
              <w:spacing w:after="0" w:line="207" w:lineRule="exact"/>
              <w:rPr>
                <w:sz w:val="20"/>
                <w:szCs w:val="20"/>
                <w:color w:val="auto"/>
              </w:rPr>
            </w:pPr>
            <w:r>
              <w:rPr>
                <w:rFonts w:ascii="Times New Roman" w:cs="Times New Roman" w:eastAsia="Times New Roman" w:hAnsi="Times New Roman"/>
                <w:sz w:val="20"/>
                <w:szCs w:val="20"/>
                <w:color w:val="0000FF"/>
              </w:rPr>
              <w:t>Indemnity.</w:t>
            </w:r>
          </w:p>
        </w:tc>
        <w:tc>
          <w:tcPr>
            <w:tcW w:w="20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38</w:t>
            </w:r>
          </w:p>
        </w:tc>
        <w:tc>
          <w:tcPr>
            <w:tcW w:w="220" w:type="dxa"/>
            <w:vAlign w:val="bottom"/>
            <w:tcBorders>
              <w:top w:val="single" w:sz="8" w:color="0000FF"/>
            </w:tcBorders>
            <w:gridSpan w:val="3"/>
          </w:tcPr>
          <w:p>
            <w:pPr>
              <w:jc w:val="right"/>
              <w:ind w:right="20"/>
              <w:spacing w:after="0" w:line="207" w:lineRule="exact"/>
              <w:rPr>
                <w:sz w:val="20"/>
                <w:szCs w:val="20"/>
                <w:color w:val="auto"/>
              </w:rPr>
            </w:pPr>
            <w:r>
              <w:rPr>
                <w:rFonts w:ascii="Times New Roman" w:cs="Times New Roman" w:eastAsia="Times New Roman" w:hAnsi="Times New Roman"/>
                <w:sz w:val="20"/>
                <w:szCs w:val="20"/>
                <w:color w:val="0000FF"/>
                <w:w w:val="89"/>
              </w:rPr>
              <w:t>44</w:t>
            </w:r>
          </w:p>
        </w:tc>
        <w:tc>
          <w:tcPr>
            <w:tcW w:w="440" w:type="dxa"/>
            <w:vAlign w:val="bottom"/>
            <w:tcBorders>
              <w:top w:val="single" w:sz="8" w:color="0000FF"/>
            </w:tcBorders>
            <w:gridSpan w:val="5"/>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38</w:t>
            </w:r>
          </w:p>
        </w:tc>
        <w:tc>
          <w:tcPr>
            <w:tcW w:w="200" w:type="dxa"/>
            <w:vAlign w:val="bottom"/>
            <w:tcBorders>
              <w:top w:val="single" w:sz="8" w:color="0000FF"/>
            </w:tcBorders>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45</w:t>
            </w: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0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4"/>
              </w:rPr>
              <w:t>2.</w:t>
            </w:r>
            <w:r>
              <w:rPr>
                <w:rFonts w:ascii="Times New Roman" w:cs="Times New Roman" w:eastAsia="Times New Roman" w:hAnsi="Times New Roman"/>
                <w:sz w:val="20"/>
                <w:szCs w:val="20"/>
                <w:u w:val="single" w:color="auto"/>
                <w:color w:val="0000FF"/>
                <w:w w:val="94"/>
              </w:rPr>
              <w:t>9.9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00" w:type="dxa"/>
            <w:vAlign w:val="bottom"/>
            <w:tcBorders>
              <w:bottom w:val="single" w:sz="8" w:color="0000FF"/>
            </w:tcBorders>
            <w:gridSpan w:val="24"/>
          </w:tcPr>
          <w:p>
            <w:pPr>
              <w:spacing w:after="0" w:line="207" w:lineRule="exact"/>
              <w:rPr>
                <w:sz w:val="20"/>
                <w:szCs w:val="20"/>
                <w:color w:val="auto"/>
              </w:rPr>
            </w:pPr>
            <w:r>
              <w:rPr>
                <w:rFonts w:ascii="Times New Roman" w:cs="Times New Roman" w:eastAsia="Times New Roman" w:hAnsi="Times New Roman"/>
                <w:sz w:val="20"/>
                <w:szCs w:val="20"/>
                <w:color w:val="0000FF"/>
              </w:rPr>
              <w:t>Liability for Acts and Omissions.</w:t>
            </w:r>
          </w:p>
        </w:tc>
        <w:tc>
          <w:tcPr>
            <w:tcW w:w="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200" w:type="dxa"/>
            <w:vAlign w:val="bottom"/>
            <w:tcBorders>
              <w:bottom w:val="single" w:sz="8" w:color="0000FF"/>
            </w:tcBorders>
            <w:gridSpan w:val="4"/>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gridSpan w:val="43"/>
          </w:tcPr>
          <w:p>
            <w:pPr>
              <w:spacing w:after="0" w:line="194" w:lineRule="exact"/>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9.10</w:t>
            </w:r>
            <w:r>
              <w:rPr>
                <w:rFonts w:ascii="Times New Roman" w:cs="Times New Roman" w:eastAsia="Times New Roman" w:hAnsi="Times New Roman"/>
                <w:sz w:val="20"/>
                <w:szCs w:val="20"/>
                <w:color w:val="0000FF"/>
              </w:rPr>
              <w:t xml:space="preserve">  Issuing Lender Reporting Requirements.</w:t>
            </w:r>
          </w:p>
        </w:tc>
        <w:tc>
          <w:tcPr>
            <w:tcW w:w="2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39</w:t>
            </w:r>
          </w:p>
        </w:tc>
        <w:tc>
          <w:tcPr>
            <w:tcW w:w="28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46</w:t>
            </w:r>
          </w:p>
        </w:tc>
        <w:tc>
          <w:tcPr>
            <w:tcW w:w="200" w:type="dxa"/>
            <w:vAlign w:val="bottom"/>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7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FF"/>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20"/>
                <w:szCs w:val="20"/>
                <w:color w:val="0000FF"/>
                <w:w w:val="95"/>
              </w:rPr>
              <w:t>2.</w:t>
            </w:r>
            <w:r>
              <w:rPr>
                <w:rFonts w:ascii="Times New Roman" w:cs="Times New Roman" w:eastAsia="Times New Roman" w:hAnsi="Times New Roman"/>
                <w:sz w:val="20"/>
                <w:szCs w:val="20"/>
                <w:u w:val="single" w:color="auto"/>
                <w:color w:val="0000FF"/>
                <w:w w:val="95"/>
              </w:rPr>
              <w:t>9.11</w:t>
            </w: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34"/>
          </w:tcPr>
          <w:p>
            <w:pPr>
              <w:jc w:val="center"/>
              <w:ind w:right="79"/>
              <w:spacing w:after="0" w:line="207" w:lineRule="exact"/>
              <w:rPr>
                <w:sz w:val="20"/>
                <w:szCs w:val="20"/>
                <w:color w:val="auto"/>
              </w:rPr>
            </w:pPr>
            <w:r>
              <w:rPr>
                <w:rFonts w:ascii="Times New Roman" w:cs="Times New Roman" w:eastAsia="Times New Roman" w:hAnsi="Times New Roman"/>
                <w:sz w:val="20"/>
                <w:szCs w:val="20"/>
                <w:color w:val="0000FF"/>
              </w:rPr>
              <w:t>Letters of Credit Issued for other Loan</w:t>
            </w:r>
          </w:p>
        </w:tc>
        <w:tc>
          <w:tcPr>
            <w:tcW w:w="40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70"/>
              </w:rPr>
              <w:t>Parties.</w:t>
            </w:r>
          </w:p>
        </w:tc>
        <w:tc>
          <w:tcPr>
            <w:tcW w:w="2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gridSpan w:val="2"/>
          </w:tcPr>
          <w:p>
            <w:pPr>
              <w:spacing w:after="0"/>
              <w:rPr>
                <w:sz w:val="17"/>
                <w:szCs w:val="17"/>
                <w:color w:val="auto"/>
              </w:rPr>
            </w:pPr>
          </w:p>
        </w:tc>
        <w:tc>
          <w:tcPr>
            <w:tcW w:w="2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39</w:t>
            </w:r>
          </w:p>
        </w:tc>
        <w:tc>
          <w:tcPr>
            <w:tcW w:w="200" w:type="dxa"/>
            <w:vAlign w:val="bottom"/>
            <w:tcBorders>
              <w:bottom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46</w:t>
            </w:r>
          </w:p>
        </w:tc>
        <w:tc>
          <w:tcPr>
            <w:tcW w:w="7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ind w:left="600"/>
        <w:spacing w:after="0"/>
        <w:tabs>
          <w:tab w:leader="none" w:pos="1100" w:val="left"/>
          <w:tab w:leader="none" w:pos="3340" w:val="left"/>
        </w:tabs>
        <w:rPr>
          <w:sz w:val="20"/>
          <w:szCs w:val="20"/>
          <w:color w:val="auto"/>
        </w:rPr>
      </w:pPr>
      <w:r>
        <w:rPr>
          <w:rFonts w:ascii="Times New Roman" w:cs="Times New Roman" w:eastAsia="Times New Roman" w:hAnsi="Times New Roman"/>
          <w:sz w:val="20"/>
          <w:szCs w:val="20"/>
          <w:u w:val="single" w:color="auto"/>
          <w:color w:val="0000FF"/>
        </w:rPr>
        <w:t>2.10</w:t>
        <w:tab/>
        <w:t>Additional Commitment.</w:t>
      </w:r>
      <w:r>
        <w:rPr>
          <w:sz w:val="20"/>
          <w:szCs w:val="20"/>
          <w:color w:val="auto"/>
        </w:rPr>
        <w:tab/>
      </w:r>
      <w:r>
        <w:rPr>
          <w:rFonts w:ascii="Times New Roman" w:cs="Times New Roman" w:eastAsia="Times New Roman" w:hAnsi="Times New Roman"/>
          <w:sz w:val="19"/>
          <w:szCs w:val="19"/>
          <w:color w:val="FF0000"/>
          <w:strike w:val="1"/>
        </w:rPr>
        <w:t>39</w:t>
      </w:r>
      <w:r>
        <w:rPr>
          <w:rFonts w:ascii="Times New Roman" w:cs="Times New Roman" w:eastAsia="Times New Roman" w:hAnsi="Times New Roman"/>
          <w:sz w:val="19"/>
          <w:szCs w:val="19"/>
          <w:u w:val="single" w:color="auto"/>
          <w:color w:val="0000FF"/>
          <w:strike w:val="1"/>
        </w:rPr>
        <w:t>46</w:t>
      </w:r>
    </w:p>
    <w:p>
      <w:pPr>
        <w:spacing w:after="0" w:line="2" w:lineRule="exact"/>
        <w:rPr>
          <w:sz w:val="20"/>
          <w:szCs w:val="20"/>
          <w:color w:val="auto"/>
        </w:rPr>
      </w:pPr>
    </w:p>
    <w:p>
      <w:pPr>
        <w:ind w:left="600"/>
        <w:spacing w:after="0"/>
        <w:tabs>
          <w:tab w:leader="none" w:pos="1100" w:val="left"/>
          <w:tab w:leader="none" w:pos="2920" w:val="left"/>
        </w:tabs>
        <w:rPr>
          <w:sz w:val="20"/>
          <w:szCs w:val="20"/>
          <w:color w:val="auto"/>
        </w:rPr>
      </w:pPr>
      <w:r>
        <w:rPr>
          <w:rFonts w:ascii="Times New Roman" w:cs="Times New Roman" w:eastAsia="Times New Roman" w:hAnsi="Times New Roman"/>
          <w:sz w:val="20"/>
          <w:szCs w:val="20"/>
          <w:u w:val="single" w:color="auto"/>
          <w:color w:val="0000FF"/>
        </w:rPr>
        <w:t>2.11</w:t>
        <w:tab/>
        <w:t>Defaulting Lenders.</w:t>
      </w:r>
      <w:r>
        <w:rPr>
          <w:sz w:val="20"/>
          <w:szCs w:val="20"/>
          <w:color w:val="auto"/>
        </w:rPr>
        <w:tab/>
      </w:r>
      <w:r>
        <w:rPr>
          <w:rFonts w:ascii="Times New Roman" w:cs="Times New Roman" w:eastAsia="Times New Roman" w:hAnsi="Times New Roman"/>
          <w:sz w:val="19"/>
          <w:szCs w:val="19"/>
          <w:color w:val="FF0000"/>
          <w:strike w:val="1"/>
        </w:rPr>
        <w:t>41</w:t>
      </w:r>
      <w:r>
        <w:rPr>
          <w:rFonts w:ascii="Times New Roman" w:cs="Times New Roman" w:eastAsia="Times New Roman" w:hAnsi="Times New Roman"/>
          <w:sz w:val="19"/>
          <w:szCs w:val="19"/>
          <w:u w:val="single" w:color="auto"/>
          <w:color w:val="0000FF"/>
          <w:strike w:val="1"/>
        </w:rPr>
        <w:t>48</w:t>
      </w:r>
    </w:p>
    <w:p>
      <w:pPr>
        <w:ind w:left="1200"/>
        <w:spacing w:after="0" w:line="236" w:lineRule="auto"/>
        <w:tabs>
          <w:tab w:leader="none" w:pos="1860" w:val="left"/>
          <w:tab w:leader="none" w:pos="4660" w:val="left"/>
        </w:tabs>
        <w:rPr>
          <w:sz w:val="20"/>
          <w:szCs w:val="20"/>
          <w:color w:val="auto"/>
        </w:rPr>
      </w:pPr>
      <w:r>
        <w:rPr>
          <w:rFonts w:ascii="Times New Roman" w:cs="Times New Roman" w:eastAsia="Times New Roman" w:hAnsi="Times New Roman"/>
          <w:sz w:val="20"/>
          <w:szCs w:val="20"/>
          <w:u w:val="single" w:color="auto"/>
          <w:color w:val="0000FF"/>
        </w:rPr>
        <w:t>2.11.1</w:t>
        <w:tab/>
        <w:t>Defaulting Lender Adjustments.</w:t>
        <w:tab/>
        <w:t>48</w:t>
      </w:r>
    </w:p>
    <w:p>
      <w:pPr>
        <w:ind w:left="1200"/>
        <w:spacing w:after="0" w:line="223" w:lineRule="auto"/>
        <w:tabs>
          <w:tab w:leader="none" w:pos="1860" w:val="left"/>
          <w:tab w:leader="none" w:pos="4020" w:val="left"/>
        </w:tabs>
        <w:rPr>
          <w:sz w:val="20"/>
          <w:szCs w:val="20"/>
          <w:color w:val="auto"/>
        </w:rPr>
      </w:pPr>
      <w:r>
        <w:rPr>
          <w:rFonts w:ascii="Times New Roman" w:cs="Times New Roman" w:eastAsia="Times New Roman" w:hAnsi="Times New Roman"/>
          <w:sz w:val="20"/>
          <w:szCs w:val="20"/>
          <w:u w:val="single" w:color="auto"/>
          <w:color w:val="0000FF"/>
        </w:rPr>
        <w:t>2.11.2</w:t>
        <w:tab/>
        <w:t>Defaulting Lender Cure.</w:t>
        <w:tab/>
        <w:t>50</w:t>
      </w:r>
    </w:p>
    <w:p>
      <w:pPr>
        <w:ind w:left="1200"/>
        <w:spacing w:after="0"/>
        <w:tabs>
          <w:tab w:leader="none" w:pos="1860" w:val="left"/>
          <w:tab w:leader="none" w:pos="4980" w:val="left"/>
        </w:tabs>
        <w:rPr>
          <w:sz w:val="20"/>
          <w:szCs w:val="20"/>
          <w:color w:val="auto"/>
        </w:rPr>
      </w:pPr>
      <w:r>
        <w:rPr>
          <w:rFonts w:ascii="Times New Roman" w:cs="Times New Roman" w:eastAsia="Times New Roman" w:hAnsi="Times New Roman"/>
          <w:sz w:val="20"/>
          <w:szCs w:val="20"/>
          <w:u w:val="single" w:color="auto"/>
          <w:color w:val="0000FF"/>
        </w:rPr>
        <w:t>2.11.3</w:t>
        <w:tab/>
        <w:t>New Swing Loans/Letters of Credit.</w:t>
        <w:tab/>
        <w:t>50</w:t>
      </w:r>
    </w:p>
    <w:p>
      <w:pPr>
        <w:spacing w:after="0" w:line="176" w:lineRule="exact"/>
        <w:rPr>
          <w:sz w:val="20"/>
          <w:szCs w:val="20"/>
          <w:color w:val="auto"/>
        </w:rPr>
      </w:pPr>
    </w:p>
    <w:p>
      <w:pPr>
        <w:ind w:left="320" w:hanging="319"/>
        <w:spacing w:after="0"/>
        <w:tabs>
          <w:tab w:leader="none" w:pos="320" w:val="left"/>
        </w:tabs>
        <w:numPr>
          <w:ilvl w:val="0"/>
          <w:numId w:val="4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[RESERVED]  </w:t>
      </w:r>
      <w:r>
        <w:rPr>
          <w:rFonts w:ascii="Times New Roman" w:cs="Times New Roman" w:eastAsia="Times New Roman" w:hAnsi="Times New Roman"/>
          <w:sz w:val="20"/>
          <w:szCs w:val="20"/>
          <w:color w:val="FF0000"/>
          <w:strike w:val="1"/>
        </w:rPr>
        <w:t>43</w:t>
      </w:r>
      <w:r>
        <w:rPr>
          <w:rFonts w:ascii="Times New Roman" w:cs="Times New Roman" w:eastAsia="Times New Roman" w:hAnsi="Times New Roman"/>
          <w:sz w:val="20"/>
          <w:szCs w:val="20"/>
          <w:u w:val="single" w:color="auto"/>
          <w:color w:val="0000FF"/>
        </w:rPr>
        <w:t>50</w:t>
      </w:r>
    </w:p>
    <w:p>
      <w:pPr>
        <w:spacing w:after="0" w:line="197" w:lineRule="exact"/>
        <w:rPr>
          <w:rFonts w:ascii="Times New Roman" w:cs="Times New Roman" w:eastAsia="Times New Roman" w:hAnsi="Times New Roman"/>
          <w:sz w:val="20"/>
          <w:szCs w:val="20"/>
          <w:u w:val="single" w:color="auto"/>
          <w:color w:val="0000FF"/>
        </w:rPr>
      </w:pPr>
    </w:p>
    <w:p>
      <w:pPr>
        <w:ind w:left="320" w:hanging="319"/>
        <w:spacing w:after="0"/>
        <w:tabs>
          <w:tab w:leader="none" w:pos="320" w:val="left"/>
        </w:tabs>
        <w:numPr>
          <w:ilvl w:val="0"/>
          <w:numId w:val="4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INTEREST RATES  </w:t>
      </w:r>
      <w:r>
        <w:rPr>
          <w:rFonts w:ascii="Times New Roman" w:cs="Times New Roman" w:eastAsia="Times New Roman" w:hAnsi="Times New Roman"/>
          <w:sz w:val="20"/>
          <w:szCs w:val="20"/>
          <w:color w:val="FF0000"/>
          <w:strike w:val="1"/>
        </w:rPr>
        <w:t>43</w:t>
      </w:r>
      <w:r>
        <w:rPr>
          <w:rFonts w:ascii="Times New Roman" w:cs="Times New Roman" w:eastAsia="Times New Roman" w:hAnsi="Times New Roman"/>
          <w:sz w:val="20"/>
          <w:szCs w:val="20"/>
          <w:u w:val="single" w:color="auto"/>
          <w:color w:val="0000FF"/>
        </w:rPr>
        <w:t>50</w:t>
      </w:r>
    </w:p>
    <w:p>
      <w:pPr>
        <w:spacing w:after="0" w:line="6" w:lineRule="exact"/>
        <w:rPr>
          <w:sz w:val="20"/>
          <w:szCs w:val="20"/>
          <w:color w:val="auto"/>
        </w:rPr>
      </w:pPr>
    </w:p>
    <w:p>
      <w:pPr>
        <w:ind w:left="600"/>
        <w:spacing w:after="0"/>
        <w:tabs>
          <w:tab w:leader="none" w:pos="1000" w:val="left"/>
          <w:tab w:leader="none" w:pos="2960" w:val="left"/>
        </w:tabs>
        <w:rPr>
          <w:sz w:val="20"/>
          <w:szCs w:val="20"/>
          <w:color w:val="auto"/>
        </w:rPr>
      </w:pPr>
      <w:r>
        <w:rPr>
          <w:rFonts w:ascii="Times New Roman" w:cs="Times New Roman" w:eastAsia="Times New Roman" w:hAnsi="Times New Roman"/>
          <w:sz w:val="20"/>
          <w:szCs w:val="20"/>
          <w:u w:val="single" w:color="auto"/>
          <w:color w:val="0000FF"/>
        </w:rPr>
        <w:t>4.1</w:t>
        <w:tab/>
        <w:t>Interest Rate Options.</w:t>
      </w:r>
      <w:r>
        <w:rPr>
          <w:sz w:val="20"/>
          <w:szCs w:val="20"/>
          <w:color w:val="auto"/>
        </w:rPr>
        <w:tab/>
      </w:r>
      <w:r>
        <w:rPr>
          <w:rFonts w:ascii="Times New Roman" w:cs="Times New Roman" w:eastAsia="Times New Roman" w:hAnsi="Times New Roman"/>
          <w:sz w:val="20"/>
          <w:szCs w:val="20"/>
          <w:color w:val="FF0000"/>
          <w:strike w:val="1"/>
        </w:rPr>
        <w:t>43</w:t>
      </w:r>
      <w:r>
        <w:rPr>
          <w:rFonts w:ascii="Times New Roman" w:cs="Times New Roman" w:eastAsia="Times New Roman" w:hAnsi="Times New Roman"/>
          <w:sz w:val="20"/>
          <w:szCs w:val="20"/>
          <w:u w:val="single" w:color="auto"/>
          <w:color w:val="0000FF"/>
          <w:strike w:val="1"/>
        </w:rPr>
        <w:t>50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71" w:lineRule="exact"/>
        <w:rPr>
          <w:sz w:val="20"/>
          <w:szCs w:val="20"/>
          <w:color w:val="auto"/>
        </w:rPr>
      </w:pPr>
    </w:p>
    <w:p>
      <w:pPr>
        <w:ind w:left="1200"/>
        <w:spacing w:after="0"/>
        <w:tabs>
          <w:tab w:leader="none" w:pos="1760" w:val="left"/>
          <w:tab w:leader="none" w:pos="5840" w:val="left"/>
        </w:tabs>
        <w:rPr>
          <w:sz w:val="20"/>
          <w:szCs w:val="20"/>
          <w:color w:val="auto"/>
        </w:rPr>
      </w:pPr>
      <w:r>
        <w:rPr>
          <w:rFonts w:ascii="Times New Roman" w:cs="Times New Roman" w:eastAsia="Times New Roman" w:hAnsi="Times New Roman"/>
          <w:sz w:val="20"/>
          <w:szCs w:val="20"/>
          <w:u w:val="single" w:color="auto"/>
          <w:color w:val="0000FF"/>
        </w:rPr>
        <w:t>4.1.1</w:t>
        <w:tab/>
        <w:t>Interest Rate Options; Swing Line Interest Rate.</w:t>
      </w:r>
      <w:r>
        <w:rPr>
          <w:sz w:val="20"/>
          <w:szCs w:val="20"/>
          <w:color w:val="auto"/>
        </w:rPr>
        <w:tab/>
      </w:r>
      <w:r>
        <w:rPr>
          <w:rFonts w:ascii="Times New Roman" w:cs="Times New Roman" w:eastAsia="Times New Roman" w:hAnsi="Times New Roman"/>
          <w:sz w:val="19"/>
          <w:szCs w:val="19"/>
          <w:color w:val="FF0000"/>
          <w:strike w:val="1"/>
        </w:rPr>
        <w:t>43</w:t>
      </w:r>
      <w:r>
        <w:rPr>
          <w:rFonts w:ascii="Times New Roman" w:cs="Times New Roman" w:eastAsia="Times New Roman" w:hAnsi="Times New Roman"/>
          <w:sz w:val="19"/>
          <w:szCs w:val="19"/>
          <w:u w:val="single" w:color="auto"/>
          <w:color w:val="0000FF"/>
          <w:strike w:val="1"/>
        </w:rPr>
        <w:t>51</w:t>
      </w:r>
    </w:p>
    <w:p>
      <w:pPr>
        <w:spacing w:after="0" w:line="2" w:lineRule="exact"/>
        <w:rPr>
          <w:sz w:val="20"/>
          <w:szCs w:val="20"/>
          <w:color w:val="auto"/>
        </w:rPr>
      </w:pPr>
    </w:p>
    <w:p>
      <w:pPr>
        <w:ind w:left="1200"/>
        <w:spacing w:after="0"/>
        <w:tabs>
          <w:tab w:leader="none" w:pos="1760" w:val="left"/>
          <w:tab w:leader="none" w:pos="3320" w:val="left"/>
        </w:tabs>
        <w:rPr>
          <w:sz w:val="20"/>
          <w:szCs w:val="20"/>
          <w:color w:val="auto"/>
        </w:rPr>
      </w:pPr>
      <w:r>
        <w:rPr>
          <w:rFonts w:ascii="Times New Roman" w:cs="Times New Roman" w:eastAsia="Times New Roman" w:hAnsi="Times New Roman"/>
          <w:sz w:val="20"/>
          <w:szCs w:val="20"/>
          <w:u w:val="single" w:color="auto"/>
          <w:color w:val="0000FF"/>
        </w:rPr>
        <w:t>4.1.2</w:t>
        <w:tab/>
        <w:t>Rate Quotations.</w:t>
      </w:r>
      <w:r>
        <w:rPr>
          <w:sz w:val="20"/>
          <w:szCs w:val="20"/>
          <w:color w:val="auto"/>
        </w:rPr>
        <w:tab/>
      </w:r>
      <w:r>
        <w:rPr>
          <w:rFonts w:ascii="Times New Roman" w:cs="Times New Roman" w:eastAsia="Times New Roman" w:hAnsi="Times New Roman"/>
          <w:sz w:val="19"/>
          <w:szCs w:val="19"/>
          <w:color w:val="FF0000"/>
          <w:strike w:val="1"/>
        </w:rPr>
        <w:t>44</w:t>
      </w:r>
      <w:r>
        <w:rPr>
          <w:rFonts w:ascii="Times New Roman" w:cs="Times New Roman" w:eastAsia="Times New Roman" w:hAnsi="Times New Roman"/>
          <w:sz w:val="19"/>
          <w:szCs w:val="19"/>
          <w:u w:val="single" w:color="auto"/>
          <w:color w:val="0000FF"/>
          <w:strike w:val="1"/>
        </w:rPr>
        <w:t>51</w:t>
      </w:r>
    </w:p>
    <w:p>
      <w:pPr>
        <w:ind w:left="1200"/>
        <w:spacing w:after="0" w:line="236" w:lineRule="auto"/>
        <w:tabs>
          <w:tab w:leader="none" w:pos="1760" w:val="left"/>
          <w:tab w:leader="none" w:pos="6120" w:val="left"/>
        </w:tabs>
        <w:rPr>
          <w:sz w:val="20"/>
          <w:szCs w:val="20"/>
          <w:color w:val="auto"/>
        </w:rPr>
      </w:pPr>
      <w:r>
        <w:rPr>
          <w:rFonts w:ascii="Times New Roman" w:cs="Times New Roman" w:eastAsia="Times New Roman" w:hAnsi="Times New Roman"/>
          <w:sz w:val="20"/>
          <w:szCs w:val="20"/>
          <w:u w:val="single" w:color="auto"/>
          <w:color w:val="0000FF"/>
        </w:rPr>
        <w:t>4.1.3</w:t>
        <w:tab/>
        <w:t>Conforming Changes Relating to Term SOFR Rate.</w:t>
        <w:tab/>
        <w:t>51</w:t>
      </w:r>
    </w:p>
    <w:p>
      <w:pPr>
        <w:ind w:left="600"/>
        <w:spacing w:after="0"/>
        <w:tabs>
          <w:tab w:leader="none" w:pos="1000" w:val="left"/>
          <w:tab w:leader="none" w:pos="2520" w:val="left"/>
        </w:tabs>
        <w:rPr>
          <w:sz w:val="20"/>
          <w:szCs w:val="20"/>
          <w:color w:val="auto"/>
        </w:rPr>
      </w:pPr>
      <w:r>
        <w:rPr>
          <w:rFonts w:ascii="Times New Roman" w:cs="Times New Roman" w:eastAsia="Times New Roman" w:hAnsi="Times New Roman"/>
          <w:sz w:val="20"/>
          <w:szCs w:val="20"/>
          <w:u w:val="single" w:color="auto"/>
          <w:color w:val="0000FF"/>
        </w:rPr>
        <w:t>4.2</w:t>
        <w:tab/>
        <w:t>Interest Periods.</w:t>
      </w:r>
      <w:r>
        <w:rPr>
          <w:sz w:val="20"/>
          <w:szCs w:val="20"/>
          <w:color w:val="auto"/>
        </w:rPr>
        <w:tab/>
      </w:r>
      <w:r>
        <w:rPr>
          <w:rFonts w:ascii="Times New Roman" w:cs="Times New Roman" w:eastAsia="Times New Roman" w:hAnsi="Times New Roman"/>
          <w:sz w:val="19"/>
          <w:szCs w:val="19"/>
          <w:color w:val="FF0000"/>
          <w:strike w:val="1"/>
        </w:rPr>
        <w:t>44</w:t>
      </w:r>
      <w:r>
        <w:rPr>
          <w:rFonts w:ascii="Times New Roman" w:cs="Times New Roman" w:eastAsia="Times New Roman" w:hAnsi="Times New Roman"/>
          <w:sz w:val="19"/>
          <w:szCs w:val="19"/>
          <w:u w:val="single" w:color="auto"/>
          <w:color w:val="0000FF"/>
          <w:strike w:val="1"/>
        </w:rPr>
        <w:t>51</w:t>
      </w:r>
    </w:p>
    <w:p>
      <w:pPr>
        <w:ind w:left="1200"/>
        <w:spacing w:after="0" w:line="235" w:lineRule="auto"/>
        <w:tabs>
          <w:tab w:leader="none" w:pos="1760" w:val="left"/>
          <w:tab w:leader="none" w:pos="4520" w:val="left"/>
        </w:tabs>
        <w:rPr>
          <w:sz w:val="20"/>
          <w:szCs w:val="20"/>
          <w:color w:val="auto"/>
        </w:rPr>
      </w:pPr>
      <w:r>
        <w:rPr>
          <w:rFonts w:ascii="Times New Roman" w:cs="Times New Roman" w:eastAsia="Times New Roman" w:hAnsi="Times New Roman"/>
          <w:sz w:val="20"/>
          <w:szCs w:val="20"/>
          <w:u w:val="single" w:color="auto"/>
          <w:color w:val="0000FF"/>
        </w:rPr>
        <w:t>4.2.1</w:t>
        <w:tab/>
        <w:t>Amount of Borrowing Tranche.</w:t>
      </w:r>
      <w:r>
        <w:rPr>
          <w:sz w:val="20"/>
          <w:szCs w:val="20"/>
          <w:color w:val="auto"/>
        </w:rPr>
        <w:tab/>
      </w:r>
      <w:r>
        <w:rPr>
          <w:rFonts w:ascii="Times New Roman" w:cs="Times New Roman" w:eastAsia="Times New Roman" w:hAnsi="Times New Roman"/>
          <w:sz w:val="19"/>
          <w:szCs w:val="19"/>
          <w:color w:val="FF0000"/>
          <w:strike w:val="1"/>
        </w:rPr>
        <w:t>44</w:t>
      </w:r>
      <w:r>
        <w:rPr>
          <w:rFonts w:ascii="Times New Roman" w:cs="Times New Roman" w:eastAsia="Times New Roman" w:hAnsi="Times New Roman"/>
          <w:sz w:val="19"/>
          <w:szCs w:val="19"/>
          <w:u w:val="single" w:color="auto"/>
          <w:color w:val="0000FF"/>
          <w:strike w:val="1"/>
        </w:rPr>
        <w:t>52</w:t>
      </w:r>
    </w:p>
    <w:p>
      <w:pPr>
        <w:ind w:left="1200"/>
        <w:spacing w:after="0"/>
        <w:tabs>
          <w:tab w:leader="none" w:pos="1760" w:val="left"/>
          <w:tab w:leader="none" w:pos="2800" w:val="left"/>
        </w:tabs>
        <w:rPr>
          <w:sz w:val="20"/>
          <w:szCs w:val="20"/>
          <w:color w:val="auto"/>
        </w:rPr>
      </w:pPr>
      <w:r>
        <w:rPr>
          <w:rFonts w:ascii="Times New Roman" w:cs="Times New Roman" w:eastAsia="Times New Roman" w:hAnsi="Times New Roman"/>
          <w:sz w:val="20"/>
          <w:szCs w:val="20"/>
          <w:u w:val="single" w:color="auto"/>
          <w:color w:val="0000FF"/>
        </w:rPr>
        <w:t>4.2.2</w:t>
        <w:tab/>
        <w:t>Renewals.</w:t>
      </w:r>
      <w:r>
        <w:rPr>
          <w:sz w:val="20"/>
          <w:szCs w:val="20"/>
          <w:color w:val="auto"/>
        </w:rPr>
        <w:tab/>
      </w:r>
      <w:r>
        <w:rPr>
          <w:rFonts w:ascii="Times New Roman" w:cs="Times New Roman" w:eastAsia="Times New Roman" w:hAnsi="Times New Roman"/>
          <w:sz w:val="19"/>
          <w:szCs w:val="19"/>
          <w:color w:val="FF0000"/>
          <w:strike w:val="1"/>
        </w:rPr>
        <w:t>44</w:t>
      </w:r>
      <w:r>
        <w:rPr>
          <w:rFonts w:ascii="Times New Roman" w:cs="Times New Roman" w:eastAsia="Times New Roman" w:hAnsi="Times New Roman"/>
          <w:sz w:val="19"/>
          <w:szCs w:val="19"/>
          <w:u w:val="single" w:color="auto"/>
          <w:color w:val="0000FF"/>
          <w:strike w:val="1"/>
        </w:rPr>
        <w:t>52</w:t>
      </w:r>
    </w:p>
    <w:p>
      <w:pPr>
        <w:ind w:left="600"/>
        <w:spacing w:after="0"/>
        <w:tabs>
          <w:tab w:leader="none" w:pos="1000" w:val="left"/>
          <w:tab w:leader="none" w:pos="3000" w:val="left"/>
        </w:tabs>
        <w:rPr>
          <w:sz w:val="20"/>
          <w:szCs w:val="20"/>
          <w:color w:val="auto"/>
        </w:rPr>
      </w:pPr>
      <w:r>
        <w:rPr>
          <w:rFonts w:ascii="Times New Roman" w:cs="Times New Roman" w:eastAsia="Times New Roman" w:hAnsi="Times New Roman"/>
          <w:sz w:val="20"/>
          <w:szCs w:val="20"/>
          <w:u w:val="single" w:color="auto"/>
          <w:color w:val="0000FF"/>
        </w:rPr>
        <w:t>4.3</w:t>
        <w:tab/>
        <w:t>Interest After Default.</w:t>
      </w:r>
      <w:r>
        <w:rPr>
          <w:sz w:val="20"/>
          <w:szCs w:val="20"/>
          <w:color w:val="auto"/>
        </w:rPr>
        <w:tab/>
      </w:r>
      <w:r>
        <w:rPr>
          <w:rFonts w:ascii="Times New Roman" w:cs="Times New Roman" w:eastAsia="Times New Roman" w:hAnsi="Times New Roman"/>
          <w:sz w:val="19"/>
          <w:szCs w:val="19"/>
          <w:color w:val="FF0000"/>
          <w:strike w:val="1"/>
        </w:rPr>
        <w:t>44</w:t>
      </w:r>
      <w:r>
        <w:rPr>
          <w:rFonts w:ascii="Times New Roman" w:cs="Times New Roman" w:eastAsia="Times New Roman" w:hAnsi="Times New Roman"/>
          <w:sz w:val="19"/>
          <w:szCs w:val="19"/>
          <w:u w:val="single" w:color="auto"/>
          <w:color w:val="0000FF"/>
          <w:strike w:val="1"/>
        </w:rPr>
        <w:t>52</w:t>
      </w:r>
    </w:p>
    <w:p>
      <w:pPr>
        <w:ind w:left="1200"/>
        <w:spacing w:after="0" w:line="223" w:lineRule="auto"/>
        <w:tabs>
          <w:tab w:leader="none" w:pos="1760" w:val="left"/>
          <w:tab w:leader="none" w:pos="4800" w:val="left"/>
        </w:tabs>
        <w:rPr>
          <w:sz w:val="20"/>
          <w:szCs w:val="20"/>
          <w:color w:val="auto"/>
        </w:rPr>
      </w:pPr>
      <w:r>
        <w:rPr>
          <w:rFonts w:ascii="Times New Roman" w:cs="Times New Roman" w:eastAsia="Times New Roman" w:hAnsi="Times New Roman"/>
          <w:sz w:val="20"/>
          <w:szCs w:val="20"/>
          <w:u w:val="single" w:color="auto"/>
          <w:color w:val="0000FF"/>
        </w:rPr>
        <w:t>4.3.1</w:t>
        <w:tab/>
        <w:t>Letter of Credit Fees, Interest Rate.</w:t>
      </w:r>
      <w:r>
        <w:rPr>
          <w:sz w:val="20"/>
          <w:szCs w:val="20"/>
          <w:color w:val="auto"/>
        </w:rPr>
        <w:tab/>
      </w:r>
      <w:r>
        <w:rPr>
          <w:rFonts w:ascii="Times New Roman" w:cs="Times New Roman" w:eastAsia="Times New Roman" w:hAnsi="Times New Roman"/>
          <w:sz w:val="20"/>
          <w:szCs w:val="20"/>
          <w:color w:val="FF0000"/>
          <w:strike w:val="1"/>
        </w:rPr>
        <w:t>44</w:t>
      </w:r>
      <w:r>
        <w:rPr>
          <w:rFonts w:ascii="Times New Roman" w:cs="Times New Roman" w:eastAsia="Times New Roman" w:hAnsi="Times New Roman"/>
          <w:sz w:val="20"/>
          <w:szCs w:val="20"/>
          <w:u w:val="single" w:color="auto"/>
          <w:color w:val="0000FF"/>
          <w:strike w:val="1"/>
        </w:rPr>
        <w:t>52</w:t>
      </w:r>
    </w:p>
    <w:p>
      <w:pPr>
        <w:ind w:left="1200"/>
        <w:spacing w:after="0"/>
        <w:tabs>
          <w:tab w:leader="none" w:pos="1760" w:val="left"/>
          <w:tab w:leader="none" w:pos="3460" w:val="left"/>
        </w:tabs>
        <w:rPr>
          <w:sz w:val="20"/>
          <w:szCs w:val="20"/>
          <w:color w:val="auto"/>
        </w:rPr>
      </w:pPr>
      <w:r>
        <w:rPr>
          <w:rFonts w:ascii="Times New Roman" w:cs="Times New Roman" w:eastAsia="Times New Roman" w:hAnsi="Times New Roman"/>
          <w:sz w:val="20"/>
          <w:szCs w:val="20"/>
          <w:u w:val="single" w:color="auto"/>
          <w:color w:val="0000FF"/>
        </w:rPr>
        <w:t>4.3.2</w:t>
        <w:tab/>
        <w:t>Other Obligations.</w:t>
      </w:r>
      <w:r>
        <w:rPr>
          <w:sz w:val="20"/>
          <w:szCs w:val="20"/>
          <w:color w:val="auto"/>
        </w:rPr>
        <w:tab/>
      </w:r>
      <w:r>
        <w:rPr>
          <w:rFonts w:ascii="Times New Roman" w:cs="Times New Roman" w:eastAsia="Times New Roman" w:hAnsi="Times New Roman"/>
          <w:sz w:val="19"/>
          <w:szCs w:val="19"/>
          <w:color w:val="FF0000"/>
          <w:strike w:val="1"/>
        </w:rPr>
        <w:t>44</w:t>
      </w:r>
      <w:r>
        <w:rPr>
          <w:rFonts w:ascii="Times New Roman" w:cs="Times New Roman" w:eastAsia="Times New Roman" w:hAnsi="Times New Roman"/>
          <w:sz w:val="19"/>
          <w:szCs w:val="19"/>
          <w:u w:val="single" w:color="auto"/>
          <w:color w:val="0000FF"/>
          <w:strike w:val="1"/>
        </w:rPr>
        <w:t>52</w:t>
      </w:r>
    </w:p>
    <w:p>
      <w:pPr>
        <w:ind w:left="1200"/>
        <w:spacing w:after="0"/>
        <w:tabs>
          <w:tab w:leader="none" w:pos="1760" w:val="left"/>
          <w:tab w:leader="none" w:pos="3440" w:val="left"/>
        </w:tabs>
        <w:rPr>
          <w:sz w:val="20"/>
          <w:szCs w:val="20"/>
          <w:color w:val="auto"/>
        </w:rPr>
      </w:pPr>
      <w:r>
        <w:rPr>
          <w:rFonts w:ascii="Times New Roman" w:cs="Times New Roman" w:eastAsia="Times New Roman" w:hAnsi="Times New Roman"/>
          <w:sz w:val="20"/>
          <w:szCs w:val="20"/>
          <w:u w:val="single" w:color="auto"/>
          <w:color w:val="0000FF"/>
        </w:rPr>
        <w:t>4.3.3</w:t>
        <w:tab/>
        <w:t>Acknowledgment.</w:t>
      </w:r>
      <w:r>
        <w:rPr>
          <w:sz w:val="20"/>
          <w:szCs w:val="20"/>
          <w:color w:val="auto"/>
        </w:rPr>
        <w:tab/>
      </w:r>
      <w:r>
        <w:rPr>
          <w:rFonts w:ascii="Times New Roman" w:cs="Times New Roman" w:eastAsia="Times New Roman" w:hAnsi="Times New Roman"/>
          <w:sz w:val="19"/>
          <w:szCs w:val="19"/>
          <w:color w:val="FF0000"/>
          <w:strike w:val="1"/>
        </w:rPr>
        <w:t>44</w:t>
      </w:r>
      <w:r>
        <w:rPr>
          <w:rFonts w:ascii="Times New Roman" w:cs="Times New Roman" w:eastAsia="Times New Roman" w:hAnsi="Times New Roman"/>
          <w:sz w:val="19"/>
          <w:szCs w:val="19"/>
          <w:u w:val="single" w:color="auto"/>
          <w:color w:val="0000FF"/>
          <w:strike w:val="1"/>
        </w:rPr>
        <w:t>52</w:t>
      </w:r>
    </w:p>
    <w:tbl>
      <w:tblPr>
        <w:tblLayout w:type="fixed"/>
        <w:tblInd w:w="0" w:type="dxa"/>
        <w:tblCellMar>
          <w:top w:w="0" w:type="dxa"/>
          <w:left w:w="0" w:type="dxa"/>
          <w:bottom w:w="0" w:type="dxa"/>
          <w:right w:w="0" w:type="dxa"/>
        </w:tblCellMar>
      </w:tblPr>
      <w:tr>
        <w:trPr>
          <w:trHeight w:val="193"/>
        </w:trPr>
        <w:tc>
          <w:tcPr>
            <w:tcW w:w="860" w:type="dxa"/>
            <w:vAlign w:val="bottom"/>
            <w:gridSpan w:val="5"/>
          </w:tcPr>
          <w:p>
            <w:pPr>
              <w:ind w:left="600"/>
              <w:spacing w:after="0" w:line="193" w:lineRule="exact"/>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6"/>
          </w:tcPr>
          <w:p>
            <w:pPr>
              <w:spacing w:after="0" w:line="193" w:lineRule="exact"/>
              <w:rPr>
                <w:sz w:val="20"/>
                <w:szCs w:val="20"/>
                <w:color w:val="auto"/>
              </w:rPr>
            </w:pPr>
            <w:r>
              <w:rPr>
                <w:rFonts w:ascii="Times New Roman" w:cs="Times New Roman" w:eastAsia="Times New Roman" w:hAnsi="Times New Roman"/>
                <w:sz w:val="20"/>
                <w:szCs w:val="20"/>
                <w:color w:val="FF0000"/>
                <w:strike w:val="1"/>
                <w:w w:val="99"/>
              </w:rPr>
              <w:t>LIBOR</w:t>
            </w:r>
          </w:p>
        </w:tc>
        <w:tc>
          <w:tcPr>
            <w:tcW w:w="2840" w:type="dxa"/>
            <w:vAlign w:val="bottom"/>
            <w:gridSpan w:val="51"/>
          </w:tcPr>
          <w:p>
            <w:pPr>
              <w:jc w:val="center"/>
              <w:spacing w:after="0" w:line="193" w:lineRule="exact"/>
              <w:rPr>
                <w:sz w:val="20"/>
                <w:szCs w:val="20"/>
                <w:color w:val="auto"/>
              </w:rPr>
            </w:pPr>
            <w:r>
              <w:rPr>
                <w:rFonts w:ascii="Times New Roman" w:cs="Times New Roman" w:eastAsia="Times New Roman" w:hAnsi="Times New Roman"/>
                <w:sz w:val="20"/>
                <w:szCs w:val="20"/>
                <w:color w:val="0000FF"/>
                <w:w w:val="99"/>
              </w:rPr>
              <w:t>Term SOFR Rate Unascertainable;</w:t>
            </w:r>
          </w:p>
        </w:tc>
        <w:tc>
          <w:tcPr>
            <w:tcW w:w="860" w:type="dxa"/>
            <w:vAlign w:val="bottom"/>
            <w:gridSpan w:val="11"/>
          </w:tcPr>
          <w:p>
            <w:pPr>
              <w:jc w:val="center"/>
              <w:ind w:right="80"/>
              <w:spacing w:after="0" w:line="193" w:lineRule="exact"/>
              <w:rPr>
                <w:sz w:val="20"/>
                <w:szCs w:val="20"/>
                <w:color w:val="auto"/>
              </w:rPr>
            </w:pPr>
            <w:r>
              <w:rPr>
                <w:rFonts w:ascii="Times New Roman" w:cs="Times New Roman" w:eastAsia="Times New Roman" w:hAnsi="Times New Roman"/>
                <w:sz w:val="20"/>
                <w:szCs w:val="20"/>
                <w:color w:val="FF0000"/>
                <w:strike w:val="1"/>
              </w:rPr>
              <w:t>Illegality;</w:t>
            </w:r>
          </w:p>
        </w:tc>
        <w:tc>
          <w:tcPr>
            <w:tcW w:w="1340" w:type="dxa"/>
            <w:vAlign w:val="bottom"/>
            <w:gridSpan w:val="11"/>
          </w:tcPr>
          <w:p>
            <w:pPr>
              <w:spacing w:after="0" w:line="193" w:lineRule="exact"/>
              <w:rPr>
                <w:sz w:val="20"/>
                <w:szCs w:val="20"/>
                <w:color w:val="auto"/>
              </w:rPr>
            </w:pPr>
            <w:r>
              <w:rPr>
                <w:rFonts w:ascii="Times New Roman" w:cs="Times New Roman" w:eastAsia="Times New Roman" w:hAnsi="Times New Roman"/>
                <w:sz w:val="20"/>
                <w:szCs w:val="20"/>
                <w:color w:val="0000FF"/>
              </w:rPr>
              <w:t>Increased Costs;</w:t>
            </w:r>
          </w:p>
        </w:tc>
        <w:tc>
          <w:tcPr>
            <w:tcW w:w="1880" w:type="dxa"/>
            <w:vAlign w:val="bottom"/>
            <w:gridSpan w:val="9"/>
          </w:tcPr>
          <w:p>
            <w:pPr>
              <w:spacing w:after="0" w:line="193" w:lineRule="exact"/>
              <w:rPr>
                <w:sz w:val="20"/>
                <w:szCs w:val="20"/>
                <w:color w:val="auto"/>
              </w:rPr>
            </w:pPr>
            <w:r>
              <w:rPr>
                <w:rFonts w:ascii="Times New Roman" w:cs="Times New Roman" w:eastAsia="Times New Roman" w:hAnsi="Times New Roman"/>
                <w:sz w:val="20"/>
                <w:szCs w:val="20"/>
                <w:color w:val="FF0000"/>
                <w:strike w:val="1"/>
                <w:w w:val="99"/>
              </w:rPr>
              <w:t>Deposits Not Available</w:t>
            </w:r>
          </w:p>
        </w:tc>
        <w:tc>
          <w:tcPr>
            <w:tcW w:w="1760" w:type="dxa"/>
            <w:vAlign w:val="bottom"/>
            <w:gridSpan w:val="5"/>
          </w:tcPr>
          <w:p>
            <w:pPr>
              <w:spacing w:after="0" w:line="193" w:lineRule="exact"/>
              <w:rPr>
                <w:sz w:val="20"/>
                <w:szCs w:val="20"/>
                <w:color w:val="auto"/>
              </w:rPr>
            </w:pPr>
            <w:r>
              <w:rPr>
                <w:rFonts w:ascii="Times New Roman" w:cs="Times New Roman" w:eastAsia="Times New Roman" w:hAnsi="Times New Roman"/>
                <w:sz w:val="20"/>
                <w:szCs w:val="20"/>
                <w:color w:val="0000FF"/>
                <w:w w:val="99"/>
              </w:rPr>
              <w:t>Illegality; Benchmark</w:t>
            </w: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gridSpan w:val="15"/>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11"/>
          </w:tcPr>
          <w:p>
            <w:pPr>
              <w:spacing w:after="0" w:line="20" w:lineRule="exact"/>
              <w:rPr>
                <w:sz w:val="1"/>
                <w:szCs w:val="1"/>
                <w:color w:val="auto"/>
              </w:rPr>
            </w:pPr>
          </w:p>
        </w:tc>
        <w:tc>
          <w:tcPr>
            <w:tcW w:w="5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80" w:type="dxa"/>
            <w:vAlign w:val="bottom"/>
            <w:gridSpan w:val="21"/>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0" w:type="dxa"/>
            <w:vAlign w:val="bottom"/>
            <w:gridSpan w:val="9"/>
          </w:tcPr>
          <w:p>
            <w:pPr>
              <w:spacing w:after="0"/>
              <w:rPr>
                <w:sz w:val="16"/>
                <w:szCs w:val="16"/>
                <w:color w:val="auto"/>
              </w:rPr>
            </w:pPr>
          </w:p>
        </w:tc>
        <w:tc>
          <w:tcPr>
            <w:tcW w:w="174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20"/>
                <w:szCs w:val="20"/>
                <w:color w:val="0000FF"/>
                <w:w w:val="99"/>
              </w:rPr>
              <w:t>Replacement Setting.</w:t>
            </w:r>
          </w:p>
        </w:tc>
        <w:tc>
          <w:tcPr>
            <w:tcW w:w="400" w:type="dxa"/>
            <w:vAlign w:val="bottom"/>
            <w:gridSpan w:val="8"/>
          </w:tcPr>
          <w:p>
            <w:pPr>
              <w:jc w:val="right"/>
              <w:ind w:right="400"/>
              <w:spacing w:after="0"/>
              <w:rPr>
                <w:sz w:val="20"/>
                <w:szCs w:val="20"/>
                <w:color w:val="auto"/>
              </w:rPr>
            </w:pPr>
            <w:r>
              <w:rPr>
                <w:rFonts w:ascii="Times New Roman" w:cs="Times New Roman" w:eastAsia="Times New Roman" w:hAnsi="Times New Roman"/>
                <w:sz w:val="20"/>
                <w:szCs w:val="20"/>
                <w:color w:val="FF0000"/>
                <w:strike w:val="1"/>
              </w:rPr>
              <w:t>44</w:t>
            </w:r>
          </w:p>
        </w:tc>
        <w:tc>
          <w:tcPr>
            <w:tcW w:w="200" w:type="dxa"/>
            <w:vAlign w:val="bottom"/>
            <w:tcBorders>
              <w:bottom w:val="single" w:sz="8" w:color="0000FF"/>
            </w:tcBorders>
            <w:gridSpan w:val="5"/>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52</w:t>
            </w:r>
          </w:p>
        </w:tc>
        <w:tc>
          <w:tcPr>
            <w:tcW w:w="1160" w:type="dxa"/>
            <w:vAlign w:val="bottom"/>
            <w:gridSpan w:val="29"/>
          </w:tcPr>
          <w:p>
            <w:pPr>
              <w:spacing w:after="0"/>
              <w:rPr>
                <w:sz w:val="16"/>
                <w:szCs w:val="16"/>
                <w:color w:val="auto"/>
              </w:rPr>
            </w:pPr>
          </w:p>
        </w:tc>
        <w:tc>
          <w:tcPr>
            <w:tcW w:w="2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20"/>
                <w:szCs w:val="20"/>
                <w:color w:val="FF0000"/>
                <w:strike w:val="1"/>
                <w:w w:val="89"/>
              </w:rPr>
              <w:t>44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70"/>
              </w:rPr>
              <w:t>52</w:t>
            </w:r>
          </w:p>
        </w:tc>
        <w:tc>
          <w:tcPr>
            <w:tcW w:w="5220" w:type="dxa"/>
            <w:vAlign w:val="bottom"/>
            <w:gridSpan w:val="28"/>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4"/>
          </w:tcPr>
          <w:p>
            <w:pPr>
              <w:spacing w:after="0" w:line="182" w:lineRule="exact"/>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10"/>
          </w:tcPr>
          <w:p>
            <w:pPr>
              <w:spacing w:after="0" w:line="182" w:lineRule="exact"/>
              <w:rPr>
                <w:sz w:val="20"/>
                <w:szCs w:val="20"/>
                <w:color w:val="auto"/>
              </w:rPr>
            </w:pPr>
            <w:r>
              <w:rPr>
                <w:rFonts w:ascii="Times New Roman" w:cs="Times New Roman" w:eastAsia="Times New Roman" w:hAnsi="Times New Roman"/>
                <w:sz w:val="20"/>
                <w:szCs w:val="20"/>
                <w:color w:val="0000FF"/>
                <w:w w:val="77"/>
              </w:rPr>
              <w:t>Unascertainable;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2"/>
          </w:tcPr>
          <w:p>
            <w:pPr>
              <w:jc w:val="center"/>
              <w:spacing w:after="0" w:line="182" w:lineRule="exact"/>
              <w:rPr>
                <w:sz w:val="20"/>
                <w:szCs w:val="20"/>
                <w:color w:val="auto"/>
              </w:rPr>
            </w:pPr>
            <w:r>
              <w:rPr>
                <w:rFonts w:ascii="Times New Roman" w:cs="Times New Roman" w:eastAsia="Times New Roman" w:hAnsi="Times New Roman"/>
                <w:sz w:val="20"/>
                <w:szCs w:val="20"/>
                <w:color w:val="0000FF"/>
                <w:w w:val="88"/>
              </w:rPr>
              <w:t>Increased Costs.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4"/>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0000FF"/>
            </w:tcBorders>
            <w:gridSpan w:val="12"/>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7"/>
          </w:tcPr>
          <w:p>
            <w:pPr>
              <w:spacing w:after="0" w:line="20" w:lineRule="exact"/>
              <w:rPr>
                <w:sz w:val="1"/>
                <w:szCs w:val="1"/>
                <w:color w:val="auto"/>
              </w:rPr>
            </w:pPr>
          </w:p>
        </w:tc>
        <w:tc>
          <w:tcPr>
            <w:tcW w:w="5360" w:type="dxa"/>
            <w:vAlign w:val="bottom"/>
            <w:gridSpan w:val="2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0000FF"/>
            </w:tcBorders>
            <w:gridSpan w:val="7"/>
          </w:tcPr>
          <w:p>
            <w:pPr>
              <w:spacing w:after="0" w:line="207" w:lineRule="exact"/>
              <w:rPr>
                <w:sz w:val="20"/>
                <w:szCs w:val="20"/>
                <w:color w:val="auto"/>
              </w:rPr>
            </w:pPr>
            <w:r>
              <w:rPr>
                <w:rFonts w:ascii="Times New Roman" w:cs="Times New Roman" w:eastAsia="Times New Roman" w:hAnsi="Times New Roman"/>
                <w:sz w:val="20"/>
                <w:szCs w:val="20"/>
                <w:color w:val="0000FF"/>
                <w:w w:val="77"/>
              </w:rPr>
              <w:t>Illegality</w:t>
            </w:r>
          </w:p>
        </w:tc>
        <w:tc>
          <w:tcPr>
            <w:tcW w:w="3400" w:type="dxa"/>
            <w:vAlign w:val="bottom"/>
            <w:gridSpan w:val="58"/>
          </w:tcPr>
          <w:p>
            <w:pPr>
              <w:jc w:val="center"/>
              <w:spacing w:after="0" w:line="207" w:lineRule="exact"/>
              <w:rPr>
                <w:sz w:val="20"/>
                <w:szCs w:val="20"/>
                <w:color w:val="auto"/>
              </w:rPr>
            </w:pPr>
            <w:r>
              <w:rPr>
                <w:rFonts w:ascii="Times New Roman" w:cs="Times New Roman" w:eastAsia="Times New Roman" w:hAnsi="Times New Roman"/>
                <w:sz w:val="20"/>
                <w:szCs w:val="20"/>
                <w:color w:val="FF0000"/>
                <w:strike w:val="1"/>
              </w:rPr>
              <w:t>; Increased Costs; Deposits Not Available</w:t>
            </w:r>
          </w:p>
        </w:tc>
        <w:tc>
          <w:tcPr>
            <w:tcW w:w="1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u w:val="single" w:color="auto"/>
                <w:color w:val="0000FF"/>
                <w:w w:val="79"/>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45</w:t>
            </w:r>
          </w:p>
        </w:tc>
        <w:tc>
          <w:tcPr>
            <w:tcW w:w="200" w:type="dxa"/>
            <w:vAlign w:val="bottom"/>
            <w:tcBorders>
              <w:bottom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53</w:t>
            </w:r>
          </w:p>
        </w:tc>
        <w:tc>
          <w:tcPr>
            <w:tcW w:w="3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gridSpan w:val="61"/>
          </w:tcPr>
          <w:p>
            <w:pPr>
              <w:spacing w:after="0" w:line="207" w:lineRule="exact"/>
              <w:rPr>
                <w:sz w:val="20"/>
                <w:szCs w:val="20"/>
                <w:color w:val="auto"/>
              </w:rPr>
            </w:pPr>
            <w:r>
              <w:rPr>
                <w:rFonts w:ascii="Times New Roman" w:cs="Times New Roman" w:eastAsia="Times New Roman" w:hAnsi="Times New Roman"/>
                <w:sz w:val="20"/>
                <w:szCs w:val="20"/>
                <w:color w:val="0000FF"/>
                <w:w w:val="99"/>
              </w:rPr>
              <w:t>Administrative Agent's and Lender's Rights.</w:t>
            </w:r>
          </w:p>
        </w:tc>
        <w:tc>
          <w:tcPr>
            <w:tcW w:w="42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rPr>
              <w:t>45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w w:val="71"/>
              </w:rPr>
              <w:t>53</w:t>
            </w:r>
          </w:p>
        </w:tc>
        <w:tc>
          <w:tcPr>
            <w:tcW w:w="40" w:type="dxa"/>
            <w:vAlign w:val="bottom"/>
          </w:tcPr>
          <w:p>
            <w:pPr>
              <w:spacing w:after="0"/>
              <w:rPr>
                <w:sz w:val="17"/>
                <w:szCs w:val="17"/>
                <w:color w:val="auto"/>
              </w:rPr>
            </w:pPr>
          </w:p>
        </w:tc>
        <w:tc>
          <w:tcPr>
            <w:tcW w:w="1060" w:type="dxa"/>
            <w:vAlign w:val="bottom"/>
            <w:gridSpan w:val="8"/>
            <w:vMerge w:val="restart"/>
          </w:tcPr>
          <w:p>
            <w:pPr>
              <w:ind w:left="240"/>
              <w:spacing w:after="0"/>
              <w:rPr>
                <w:sz w:val="20"/>
                <w:szCs w:val="20"/>
                <w:color w:val="auto"/>
              </w:rPr>
            </w:pPr>
            <w:r>
              <w:rPr>
                <w:rFonts w:ascii="Times New Roman" w:cs="Times New Roman" w:eastAsia="Times New Roman" w:hAnsi="Times New Roman"/>
                <w:sz w:val="20"/>
                <w:szCs w:val="20"/>
                <w:color w:val="0000FF"/>
              </w:rPr>
              <w:t>Setting.</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46</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53</w:t>
            </w: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0000FF"/>
            </w:tcBorders>
            <w:gridSpan w:val="12"/>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FF"/>
            </w:tcBorders>
            <w:gridSpan w:val="4"/>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8"/>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4"/>
          </w:tcPr>
          <w:p>
            <w:pPr>
              <w:spacing w:after="0" w:line="194" w:lineRule="exact"/>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40"/>
          </w:tcPr>
          <w:p>
            <w:pPr>
              <w:spacing w:after="0" w:line="194" w:lineRule="exact"/>
              <w:rPr>
                <w:sz w:val="20"/>
                <w:szCs w:val="20"/>
                <w:color w:val="auto"/>
              </w:rPr>
            </w:pPr>
            <w:r>
              <w:rPr>
                <w:rFonts w:ascii="Times New Roman" w:cs="Times New Roman" w:eastAsia="Times New Roman" w:hAnsi="Times New Roman"/>
                <w:sz w:val="20"/>
                <w:szCs w:val="20"/>
                <w:color w:val="FF0000"/>
                <w:strike w:val="1"/>
                <w:w w:val="96"/>
              </w:rPr>
              <w:t>Successor LIBOR Rate Index</w:t>
            </w:r>
          </w:p>
        </w:tc>
        <w:tc>
          <w:tcPr>
            <w:tcW w:w="1160" w:type="dxa"/>
            <w:vAlign w:val="bottom"/>
            <w:gridSpan w:val="20"/>
          </w:tcPr>
          <w:p>
            <w:pPr>
              <w:jc w:val="right"/>
              <w:ind w:right="240"/>
              <w:spacing w:after="0" w:line="194" w:lineRule="exact"/>
              <w:rPr>
                <w:sz w:val="20"/>
                <w:szCs w:val="20"/>
                <w:color w:val="auto"/>
              </w:rPr>
            </w:pPr>
            <w:r>
              <w:rPr>
                <w:rFonts w:ascii="Times New Roman" w:cs="Times New Roman" w:eastAsia="Times New Roman" w:hAnsi="Times New Roman"/>
                <w:sz w:val="20"/>
                <w:szCs w:val="20"/>
                <w:color w:val="0000FF"/>
                <w:w w:val="97"/>
              </w:rPr>
              <w:t>Benchmark</w:t>
            </w:r>
          </w:p>
        </w:tc>
        <w:tc>
          <w:tcPr>
            <w:tcW w:w="6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71"/>
              </w:rPr>
              <w:t>Replacement</w:t>
            </w:r>
          </w:p>
        </w:tc>
        <w:tc>
          <w:tcPr>
            <w:tcW w:w="40" w:type="dxa"/>
            <w:vAlign w:val="bottom"/>
            <w:vMerge w:val="continue"/>
          </w:tcPr>
          <w:p>
            <w:pPr>
              <w:spacing w:after="0"/>
              <w:rPr>
                <w:sz w:val="16"/>
                <w:szCs w:val="16"/>
                <w:color w:val="auto"/>
              </w:rPr>
            </w:pPr>
          </w:p>
        </w:tc>
        <w:tc>
          <w:tcPr>
            <w:tcW w:w="1060" w:type="dxa"/>
            <w:vAlign w:val="bottom"/>
            <w:gridSpan w:val="8"/>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0" w:type="dxa"/>
            <w:vAlign w:val="bottom"/>
            <w:gridSpan w:val="5"/>
          </w:tcPr>
          <w:p>
            <w:pPr>
              <w:ind w:left="600"/>
              <w:spacing w:after="0" w:line="207" w:lineRule="exact"/>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70"/>
              </w:rPr>
              <w:t>Selection</w:t>
            </w:r>
          </w:p>
        </w:tc>
        <w:tc>
          <w:tcPr>
            <w:tcW w:w="140" w:type="dxa"/>
            <w:vAlign w:val="bottom"/>
          </w:tcPr>
          <w:p>
            <w:pPr>
              <w:spacing w:after="0"/>
              <w:rPr>
                <w:sz w:val="17"/>
                <w:szCs w:val="17"/>
                <w:color w:val="auto"/>
              </w:rPr>
            </w:pPr>
          </w:p>
        </w:tc>
        <w:tc>
          <w:tcPr>
            <w:tcW w:w="2220" w:type="dxa"/>
            <w:vAlign w:val="bottom"/>
            <w:gridSpan w:val="36"/>
          </w:tcPr>
          <w:p>
            <w:pPr>
              <w:jc w:val="right"/>
              <w:ind w:right="99"/>
              <w:spacing w:after="0" w:line="207" w:lineRule="exact"/>
              <w:rPr>
                <w:sz w:val="20"/>
                <w:szCs w:val="20"/>
                <w:color w:val="auto"/>
              </w:rPr>
            </w:pPr>
            <w:r>
              <w:rPr>
                <w:rFonts w:ascii="Times New Roman" w:cs="Times New Roman" w:eastAsia="Times New Roman" w:hAnsi="Times New Roman"/>
                <w:sz w:val="20"/>
                <w:szCs w:val="20"/>
                <w:color w:val="0000FF"/>
              </w:rPr>
              <w:t>of Interest Rate Options.</w:t>
            </w:r>
          </w:p>
        </w:tc>
        <w:tc>
          <w:tcPr>
            <w:tcW w:w="180" w:type="dxa"/>
            <w:vAlign w:val="bottom"/>
            <w:gridSpan w:val="5"/>
          </w:tcPr>
          <w:p>
            <w:pPr>
              <w:jc w:val="right"/>
              <w:spacing w:after="0" w:line="206" w:lineRule="exact"/>
              <w:rPr>
                <w:sz w:val="20"/>
                <w:szCs w:val="20"/>
                <w:color w:val="auto"/>
              </w:rPr>
            </w:pPr>
            <w:r>
              <w:rPr>
                <w:rFonts w:ascii="Times New Roman" w:cs="Times New Roman" w:eastAsia="Times New Roman" w:hAnsi="Times New Roman"/>
                <w:sz w:val="19"/>
                <w:szCs w:val="19"/>
                <w:color w:val="FF0000"/>
                <w:strike w:val="1"/>
                <w:w w:val="73"/>
              </w:rPr>
              <w:t>47</w:t>
            </w: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gridSpan w:val="6"/>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55</w:t>
            </w: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0000FF"/>
            </w:tcBorders>
            <w:gridSpan w:val="12"/>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2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5920" w:type="dxa"/>
            <w:vAlign w:val="bottom"/>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62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5.  PAYMENTS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w w:val="73"/>
              </w:rPr>
              <w:t>47</w:t>
            </w:r>
          </w:p>
        </w:tc>
        <w:tc>
          <w:tcPr>
            <w:tcW w:w="8540" w:type="dxa"/>
            <w:vAlign w:val="bottom"/>
            <w:gridSpan w:val="86"/>
          </w:tcPr>
          <w:p>
            <w:pPr>
              <w:spacing w:after="0"/>
              <w:rPr>
                <w:sz w:val="20"/>
                <w:szCs w:val="20"/>
                <w:color w:val="auto"/>
              </w:rPr>
            </w:pPr>
            <w:r>
              <w:rPr>
                <w:rFonts w:ascii="Times New Roman" w:cs="Times New Roman" w:eastAsia="Times New Roman" w:hAnsi="Times New Roman"/>
                <w:sz w:val="20"/>
                <w:szCs w:val="20"/>
                <w:color w:val="0000FF"/>
                <w:w w:val="79"/>
              </w:rPr>
              <w:t>55</w:t>
            </w: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gridSpan w:val="1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340" w:type="dxa"/>
            <w:vAlign w:val="bottom"/>
            <w:gridSpan w:val="8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0" w:type="dxa"/>
            <w:vAlign w:val="bottom"/>
            <w:gridSpan w:val="3"/>
          </w:tcPr>
          <w:p>
            <w:pPr>
              <w:spacing w:after="0"/>
              <w:rPr>
                <w:sz w:val="16"/>
                <w:szCs w:val="16"/>
                <w:color w:val="auto"/>
              </w:rPr>
            </w:pPr>
          </w:p>
        </w:tc>
        <w:tc>
          <w:tcPr>
            <w:tcW w:w="26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5"/>
              </w:rPr>
              <w:t>5.</w:t>
            </w:r>
            <w:r>
              <w:rPr>
                <w:rFonts w:ascii="Times New Roman" w:cs="Times New Roman" w:eastAsia="Times New Roman" w:hAnsi="Times New Roman"/>
                <w:sz w:val="20"/>
                <w:szCs w:val="20"/>
                <w:u w:val="single" w:color="auto"/>
                <w:color w:val="0000FF"/>
                <w:w w:val="95"/>
              </w:rPr>
              <w:t>1</w:t>
            </w:r>
          </w:p>
        </w:tc>
        <w:tc>
          <w:tcPr>
            <w:tcW w:w="160" w:type="dxa"/>
            <w:vAlign w:val="bottom"/>
            <w:gridSpan w:val="2"/>
          </w:tcPr>
          <w:p>
            <w:pPr>
              <w:spacing w:after="0"/>
              <w:rPr>
                <w:sz w:val="16"/>
                <w:szCs w:val="16"/>
                <w:color w:val="auto"/>
              </w:rPr>
            </w:pPr>
          </w:p>
        </w:tc>
        <w:tc>
          <w:tcPr>
            <w:tcW w:w="840" w:type="dxa"/>
            <w:vAlign w:val="bottom"/>
            <w:tcBorders>
              <w:bottom w:val="single" w:sz="8" w:color="0000FF"/>
            </w:tcBorders>
            <w:gridSpan w:val="8"/>
          </w:tcPr>
          <w:p>
            <w:pPr>
              <w:spacing w:after="0" w:line="194" w:lineRule="exact"/>
              <w:rPr>
                <w:sz w:val="20"/>
                <w:szCs w:val="20"/>
                <w:color w:val="auto"/>
              </w:rPr>
            </w:pPr>
            <w:r>
              <w:rPr>
                <w:rFonts w:ascii="Times New Roman" w:cs="Times New Roman" w:eastAsia="Times New Roman" w:hAnsi="Times New Roman"/>
                <w:sz w:val="20"/>
                <w:szCs w:val="20"/>
                <w:color w:val="0000FF"/>
                <w:w w:val="96"/>
              </w:rPr>
              <w:t>Payments.</w:t>
            </w:r>
          </w:p>
        </w:tc>
        <w:tc>
          <w:tcPr>
            <w:tcW w:w="400" w:type="dxa"/>
            <w:vAlign w:val="bottom"/>
            <w:gridSpan w:val="5"/>
          </w:tcPr>
          <w:p>
            <w:pPr>
              <w:jc w:val="right"/>
              <w:ind w:right="299"/>
              <w:spacing w:after="0"/>
              <w:rPr>
                <w:sz w:val="20"/>
                <w:szCs w:val="20"/>
                <w:color w:val="auto"/>
              </w:rPr>
            </w:pPr>
            <w:r>
              <w:rPr>
                <w:rFonts w:ascii="Times New Roman" w:cs="Times New Roman" w:eastAsia="Times New Roman" w:hAnsi="Times New Roman"/>
                <w:sz w:val="20"/>
                <w:szCs w:val="20"/>
                <w:color w:val="FF0000"/>
                <w:strike w:val="1"/>
              </w:rPr>
              <w:t>47</w:t>
            </w:r>
          </w:p>
        </w:tc>
        <w:tc>
          <w:tcPr>
            <w:tcW w:w="20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55</w:t>
            </w:r>
          </w:p>
        </w:tc>
        <w:tc>
          <w:tcPr>
            <w:tcW w:w="7860" w:type="dxa"/>
            <w:vAlign w:val="bottom"/>
            <w:gridSpan w:val="7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0" w:type="dxa"/>
            <w:vAlign w:val="bottom"/>
            <w:gridSpan w:val="3"/>
          </w:tcPr>
          <w:p>
            <w:pPr>
              <w:spacing w:after="0"/>
              <w:rPr>
                <w:sz w:val="17"/>
                <w:szCs w:val="17"/>
                <w:color w:val="auto"/>
              </w:rPr>
            </w:pPr>
          </w:p>
        </w:tc>
        <w:tc>
          <w:tcPr>
            <w:tcW w:w="260" w:type="dxa"/>
            <w:vAlign w:val="bottom"/>
            <w:tcBorders>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5"/>
              </w:rPr>
              <w:t>5.</w:t>
            </w:r>
            <w:r>
              <w:rPr>
                <w:rFonts w:ascii="Times New Roman" w:cs="Times New Roman" w:eastAsia="Times New Roman" w:hAnsi="Times New Roman"/>
                <w:sz w:val="20"/>
                <w:szCs w:val="20"/>
                <w:u w:val="single" w:color="auto"/>
                <w:color w:val="0000FF"/>
                <w:w w:val="95"/>
              </w:rPr>
              <w:t>2</w:t>
            </w:r>
          </w:p>
        </w:tc>
        <w:tc>
          <w:tcPr>
            <w:tcW w:w="160" w:type="dxa"/>
            <w:vAlign w:val="bottom"/>
            <w:gridSpan w:val="2"/>
          </w:tcPr>
          <w:p>
            <w:pPr>
              <w:spacing w:after="0"/>
              <w:rPr>
                <w:sz w:val="17"/>
                <w:szCs w:val="17"/>
                <w:color w:val="auto"/>
              </w:rPr>
            </w:pPr>
          </w:p>
        </w:tc>
        <w:tc>
          <w:tcPr>
            <w:tcW w:w="840" w:type="dxa"/>
            <w:vAlign w:val="bottom"/>
            <w:tcBorders>
              <w:bottom w:val="single" w:sz="8" w:color="0000FF"/>
            </w:tcBorders>
            <w:gridSpan w:val="8"/>
          </w:tcPr>
          <w:p>
            <w:pPr>
              <w:spacing w:after="0" w:line="207" w:lineRule="exact"/>
              <w:rPr>
                <w:sz w:val="20"/>
                <w:szCs w:val="20"/>
                <w:color w:val="auto"/>
              </w:rPr>
            </w:pPr>
            <w:r>
              <w:rPr>
                <w:rFonts w:ascii="Times New Roman" w:cs="Times New Roman" w:eastAsia="Times New Roman" w:hAnsi="Times New Roman"/>
                <w:sz w:val="20"/>
                <w:szCs w:val="20"/>
                <w:color w:val="0000FF"/>
              </w:rPr>
              <w:t>Pro Rata</w:t>
            </w:r>
          </w:p>
        </w:tc>
        <w:tc>
          <w:tcPr>
            <w:tcW w:w="740" w:type="dxa"/>
            <w:vAlign w:val="bottom"/>
            <w:tcBorders>
              <w:bottom w:val="single" w:sz="8" w:color="0000FF"/>
            </w:tcBorders>
            <w:gridSpan w:val="8"/>
          </w:tcPr>
          <w:p>
            <w:pPr>
              <w:jc w:val="right"/>
              <w:ind w:right="44"/>
              <w:spacing w:after="0" w:line="207" w:lineRule="exact"/>
              <w:rPr>
                <w:sz w:val="20"/>
                <w:szCs w:val="20"/>
                <w:color w:val="auto"/>
              </w:rPr>
            </w:pPr>
            <w:r>
              <w:rPr>
                <w:rFonts w:ascii="Times New Roman" w:cs="Times New Roman" w:eastAsia="Times New Roman" w:hAnsi="Times New Roman"/>
                <w:sz w:val="20"/>
                <w:szCs w:val="20"/>
                <w:color w:val="0000FF"/>
                <w:w w:val="70"/>
              </w:rPr>
              <w:t>Treatment</w:t>
            </w:r>
          </w:p>
        </w:tc>
        <w:tc>
          <w:tcPr>
            <w:tcW w:w="980" w:type="dxa"/>
            <w:vAlign w:val="bottom"/>
            <w:tcBorders>
              <w:bottom w:val="single" w:sz="8" w:color="0000FF"/>
            </w:tcBorders>
            <w:gridSpan w:val="17"/>
          </w:tcPr>
          <w:p>
            <w:pPr>
              <w:ind w:left="40"/>
              <w:spacing w:after="0" w:line="207" w:lineRule="exact"/>
              <w:rPr>
                <w:sz w:val="20"/>
                <w:szCs w:val="20"/>
                <w:color w:val="auto"/>
              </w:rPr>
            </w:pPr>
            <w:r>
              <w:rPr>
                <w:rFonts w:ascii="Times New Roman" w:cs="Times New Roman" w:eastAsia="Times New Roman" w:hAnsi="Times New Roman"/>
                <w:sz w:val="20"/>
                <w:szCs w:val="20"/>
                <w:color w:val="0000FF"/>
              </w:rPr>
              <w:t>of Lenders.</w:t>
            </w:r>
          </w:p>
        </w:tc>
        <w:tc>
          <w:tcPr>
            <w:tcW w:w="380" w:type="dxa"/>
            <w:vAlign w:val="bottom"/>
            <w:gridSpan w:val="8"/>
          </w:tcPr>
          <w:p>
            <w:pPr>
              <w:jc w:val="right"/>
              <w:ind w:right="279"/>
              <w:spacing w:after="0"/>
              <w:rPr>
                <w:sz w:val="20"/>
                <w:szCs w:val="20"/>
                <w:color w:val="auto"/>
              </w:rPr>
            </w:pPr>
            <w:r>
              <w:rPr>
                <w:rFonts w:ascii="Times New Roman" w:cs="Times New Roman" w:eastAsia="Times New Roman" w:hAnsi="Times New Roman"/>
                <w:sz w:val="19"/>
                <w:szCs w:val="19"/>
                <w:color w:val="FF0000"/>
                <w:strike w:val="1"/>
              </w:rPr>
              <w:t>47</w:t>
            </w:r>
          </w:p>
        </w:tc>
        <w:tc>
          <w:tcPr>
            <w:tcW w:w="240" w:type="dxa"/>
            <w:vAlign w:val="bottom"/>
            <w:tcBorders>
              <w:bottom w:val="single" w:sz="8" w:color="0000FF"/>
            </w:tcBorders>
            <w:gridSpan w:val="8"/>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56</w:t>
            </w:r>
          </w:p>
        </w:tc>
        <w:tc>
          <w:tcPr>
            <w:tcW w:w="6120" w:type="dxa"/>
            <w:vAlign w:val="bottom"/>
            <w:gridSpan w:val="44"/>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3</w:t>
            </w:r>
          </w:p>
        </w:tc>
        <w:tc>
          <w:tcPr>
            <w:tcW w:w="2880" w:type="dxa"/>
            <w:vAlign w:val="bottom"/>
            <w:gridSpan w:val="39"/>
          </w:tcPr>
          <w:p>
            <w:pPr>
              <w:spacing w:after="0" w:line="194" w:lineRule="exact"/>
              <w:rPr>
                <w:sz w:val="20"/>
                <w:szCs w:val="20"/>
                <w:color w:val="auto"/>
              </w:rPr>
            </w:pPr>
            <w:r>
              <w:rPr>
                <w:rFonts w:ascii="Times New Roman" w:cs="Times New Roman" w:eastAsia="Times New Roman" w:hAnsi="Times New Roman"/>
                <w:sz w:val="20"/>
                <w:szCs w:val="20"/>
                <w:color w:val="0000FF"/>
                <w:w w:val="94"/>
              </w:rPr>
              <w:t>Sharing of Payments by Lenders.</w:t>
            </w:r>
          </w:p>
        </w:tc>
        <w:tc>
          <w:tcPr>
            <w:tcW w:w="200" w:type="dxa"/>
            <w:vAlign w:val="bottom"/>
            <w:gridSpan w:val="6"/>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48</w:t>
            </w:r>
          </w:p>
        </w:tc>
        <w:tc>
          <w:tcPr>
            <w:tcW w:w="6220" w:type="dxa"/>
            <w:vAlign w:val="bottom"/>
            <w:gridSpan w:val="48"/>
          </w:tcPr>
          <w:p>
            <w:pPr>
              <w:jc w:val="center"/>
              <w:ind w:right="6020"/>
              <w:spacing w:after="0" w:line="194" w:lineRule="exact"/>
              <w:rPr>
                <w:sz w:val="20"/>
                <w:szCs w:val="20"/>
                <w:color w:val="auto"/>
              </w:rPr>
            </w:pPr>
            <w:r>
              <w:rPr>
                <w:rFonts w:ascii="Times New Roman" w:cs="Times New Roman" w:eastAsia="Times New Roman" w:hAnsi="Times New Roman"/>
                <w:sz w:val="20"/>
                <w:szCs w:val="20"/>
                <w:color w:val="0000FF"/>
                <w:w w:val="99"/>
              </w:rPr>
              <w:t>56</w:t>
            </w:r>
          </w:p>
        </w:tc>
        <w:tc>
          <w:tcPr>
            <w:tcW w:w="0" w:type="dxa"/>
            <w:vAlign w:val="bottom"/>
          </w:tcPr>
          <w:p>
            <w:pPr>
              <w:spacing w:after="0"/>
              <w:rPr>
                <w:sz w:val="1"/>
                <w:szCs w:val="1"/>
                <w:color w:val="auto"/>
              </w:rPr>
            </w:pPr>
          </w:p>
        </w:tc>
      </w:tr>
      <w:tr>
        <w:trPr>
          <w:trHeight w:val="144"/>
        </w:trPr>
        <w:tc>
          <w:tcPr>
            <w:tcW w:w="600" w:type="dxa"/>
            <w:vAlign w:val="bottom"/>
            <w:gridSpan w:val="3"/>
          </w:tcPr>
          <w:p>
            <w:pPr>
              <w:spacing w:after="0"/>
              <w:rPr>
                <w:sz w:val="12"/>
                <w:szCs w:val="12"/>
                <w:color w:val="auto"/>
              </w:rPr>
            </w:pPr>
          </w:p>
        </w:tc>
        <w:tc>
          <w:tcPr>
            <w:tcW w:w="20" w:type="dxa"/>
            <w:vAlign w:val="bottom"/>
            <w:tcBorders>
              <w:top w:val="single" w:sz="8" w:color="0000FF"/>
              <w:bottom w:val="single" w:sz="8" w:color="0000FF"/>
            </w:tcBorders>
            <w:vMerge w:val="restart"/>
          </w:tcPr>
          <w:p>
            <w:pPr>
              <w:spacing w:after="0"/>
              <w:rPr>
                <w:sz w:val="12"/>
                <w:szCs w:val="12"/>
                <w:color w:val="auto"/>
              </w:rPr>
            </w:pPr>
          </w:p>
        </w:tc>
        <w:tc>
          <w:tcPr>
            <w:tcW w:w="240" w:type="dxa"/>
            <w:vAlign w:val="bottom"/>
            <w:tcBorders>
              <w:top w:val="single" w:sz="8" w:color="0000FF"/>
              <w:bottom w:val="single" w:sz="8" w:color="0000FF"/>
            </w:tcBorders>
            <w:vMerge w:val="restart"/>
          </w:tcPr>
          <w:p>
            <w:pPr>
              <w:spacing w:after="0" w:line="219" w:lineRule="exact"/>
              <w:rPr>
                <w:sz w:val="20"/>
                <w:szCs w:val="20"/>
                <w:color w:val="auto"/>
              </w:rPr>
            </w:pPr>
            <w:r>
              <w:rPr>
                <w:rFonts w:ascii="Times New Roman" w:cs="Times New Roman" w:eastAsia="Times New Roman" w:hAnsi="Times New Roman"/>
                <w:sz w:val="20"/>
                <w:szCs w:val="20"/>
                <w:color w:val="FF0000"/>
                <w:strike w:val="1"/>
                <w:w w:val="87"/>
              </w:rPr>
              <w:t>5.4</w:t>
            </w:r>
          </w:p>
        </w:tc>
        <w:tc>
          <w:tcPr>
            <w:tcW w:w="160" w:type="dxa"/>
            <w:vAlign w:val="bottom"/>
            <w:tcBorders>
              <w:bottom w:val="single" w:sz="8" w:color="FF0000"/>
            </w:tcBorders>
            <w:gridSpan w:val="2"/>
          </w:tcPr>
          <w:p>
            <w:pPr>
              <w:spacing w:after="0"/>
              <w:rPr>
                <w:sz w:val="12"/>
                <w:szCs w:val="12"/>
                <w:color w:val="auto"/>
              </w:rPr>
            </w:pPr>
          </w:p>
        </w:tc>
        <w:tc>
          <w:tcPr>
            <w:tcW w:w="2780" w:type="dxa"/>
            <w:vAlign w:val="bottom"/>
            <w:tcBorders>
              <w:top w:val="single" w:sz="8" w:color="0000FF"/>
            </w:tcBorders>
            <w:gridSpan w:val="36"/>
          </w:tcPr>
          <w:p>
            <w:pPr>
              <w:spacing w:after="0"/>
              <w:rPr>
                <w:sz w:val="12"/>
                <w:szCs w:val="12"/>
                <w:color w:val="auto"/>
              </w:rPr>
            </w:pPr>
          </w:p>
        </w:tc>
        <w:tc>
          <w:tcPr>
            <w:tcW w:w="300" w:type="dxa"/>
            <w:vAlign w:val="bottom"/>
            <w:gridSpan w:val="9"/>
          </w:tcPr>
          <w:p>
            <w:pPr>
              <w:spacing w:after="0"/>
              <w:rPr>
                <w:sz w:val="12"/>
                <w:szCs w:val="12"/>
                <w:color w:val="auto"/>
              </w:rPr>
            </w:pPr>
          </w:p>
        </w:tc>
        <w:tc>
          <w:tcPr>
            <w:tcW w:w="200" w:type="dxa"/>
            <w:vAlign w:val="bottom"/>
            <w:tcBorders>
              <w:top w:val="single" w:sz="8" w:color="0000FF"/>
            </w:tcBorders>
            <w:gridSpan w:val="6"/>
          </w:tcPr>
          <w:p>
            <w:pPr>
              <w:spacing w:after="0"/>
              <w:rPr>
                <w:sz w:val="12"/>
                <w:szCs w:val="12"/>
                <w:color w:val="auto"/>
              </w:rPr>
            </w:pPr>
          </w:p>
        </w:tc>
        <w:tc>
          <w:tcPr>
            <w:tcW w:w="6020" w:type="dxa"/>
            <w:vAlign w:val="bottom"/>
            <w:gridSpan w:val="42"/>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60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9460" w:type="dxa"/>
            <w:vAlign w:val="bottom"/>
            <w:gridSpan w:val="95"/>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60" w:type="dxa"/>
            <w:vAlign w:val="bottom"/>
            <w:gridSpan w:val="5"/>
          </w:tcPr>
          <w:p>
            <w:pPr>
              <w:ind w:left="600"/>
              <w:spacing w:after="0" w:line="214" w:lineRule="exact"/>
              <w:rPr>
                <w:sz w:val="20"/>
                <w:szCs w:val="20"/>
                <w:color w:val="auto"/>
              </w:rPr>
            </w:pPr>
            <w:r>
              <w:rPr>
                <w:rFonts w:ascii="Times New Roman" w:cs="Times New Roman" w:eastAsia="Times New Roman" w:hAnsi="Times New Roman"/>
                <w:sz w:val="20"/>
                <w:szCs w:val="20"/>
                <w:color w:val="0000FF"/>
                <w:w w:val="95"/>
              </w:rPr>
              <w:t>5.</w:t>
            </w:r>
            <w:r>
              <w:rPr>
                <w:rFonts w:ascii="Times New Roman" w:cs="Times New Roman" w:eastAsia="Times New Roman" w:hAnsi="Times New Roman"/>
                <w:sz w:val="20"/>
                <w:szCs w:val="20"/>
                <w:u w:val="single" w:color="auto"/>
                <w:color w:val="0000FF"/>
                <w:w w:val="95"/>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20" w:type="dxa"/>
            <w:vAlign w:val="bottom"/>
            <w:gridSpan w:val="40"/>
          </w:tcPr>
          <w:p>
            <w:pPr>
              <w:spacing w:after="0" w:line="214" w:lineRule="exact"/>
              <w:rPr>
                <w:sz w:val="20"/>
                <w:szCs w:val="20"/>
                <w:color w:val="auto"/>
              </w:rPr>
            </w:pPr>
            <w:r>
              <w:rPr>
                <w:rFonts w:ascii="Times New Roman" w:cs="Times New Roman" w:eastAsia="Times New Roman" w:hAnsi="Times New Roman"/>
                <w:sz w:val="20"/>
                <w:szCs w:val="20"/>
                <w:color w:val="0000FF"/>
              </w:rPr>
              <w:t>Administrative Agent’s Clawback.</w:t>
            </w:r>
          </w:p>
        </w:tc>
        <w:tc>
          <w:tcPr>
            <w:tcW w:w="260" w:type="dxa"/>
            <w:vAlign w:val="bottom"/>
            <w:gridSpan w:val="9"/>
          </w:tcPr>
          <w:p>
            <w:pPr>
              <w:jc w:val="right"/>
              <w:spacing w:after="0" w:line="214" w:lineRule="exact"/>
              <w:rPr>
                <w:sz w:val="20"/>
                <w:szCs w:val="20"/>
                <w:color w:val="auto"/>
              </w:rPr>
            </w:pPr>
            <w:r>
              <w:rPr>
                <w:rFonts w:ascii="Times New Roman" w:cs="Times New Roman" w:eastAsia="Times New Roman" w:hAnsi="Times New Roman"/>
                <w:sz w:val="20"/>
                <w:szCs w:val="20"/>
                <w:color w:val="0000FF"/>
              </w:rPr>
              <w:t>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0000FF"/>
            </w:tcBorders>
            <w:gridSpan w:val="12"/>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420" w:type="dxa"/>
            <w:vAlign w:val="bottom"/>
            <w:gridSpan w:val="5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6"/>
          </w:tcPr>
          <w:p>
            <w:pPr>
              <w:ind w:left="180"/>
              <w:spacing w:after="0" w:line="194"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0" w:type="dxa"/>
            <w:vAlign w:val="bottom"/>
            <w:gridSpan w:val="75"/>
          </w:tcPr>
          <w:p>
            <w:pPr>
              <w:spacing w:after="0" w:line="194" w:lineRule="exact"/>
              <w:rPr>
                <w:sz w:val="20"/>
                <w:szCs w:val="20"/>
                <w:color w:val="auto"/>
              </w:rPr>
            </w:pPr>
            <w:r>
              <w:rPr>
                <w:rFonts w:ascii="Times New Roman" w:cs="Times New Roman" w:eastAsia="Times New Roman" w:hAnsi="Times New Roman"/>
                <w:sz w:val="20"/>
                <w:szCs w:val="20"/>
                <w:color w:val="0000FF"/>
              </w:rPr>
              <w:t>Funding by Lenders; Presumption by Administrative Agent.  57</w:t>
            </w:r>
          </w:p>
        </w:tc>
        <w:tc>
          <w:tcPr>
            <w:tcW w:w="8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48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57</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0" w:type="dxa"/>
            <w:vAlign w:val="bottom"/>
            <w:gridSpan w:val="5"/>
            <w:vMerge w:val="restart"/>
          </w:tcPr>
          <w:p>
            <w:pPr>
              <w:ind w:left="600"/>
              <w:spacing w:after="0"/>
              <w:rPr>
                <w:sz w:val="20"/>
                <w:szCs w:val="20"/>
                <w:color w:val="auto"/>
              </w:rPr>
            </w:pPr>
            <w:r>
              <w:rPr>
                <w:rFonts w:ascii="Times New Roman" w:cs="Times New Roman" w:eastAsia="Times New Roman" w:hAnsi="Times New Roman"/>
                <w:sz w:val="20"/>
                <w:szCs w:val="20"/>
                <w:color w:val="0000FF"/>
                <w:w w:val="95"/>
              </w:rPr>
              <w:t>5.</w:t>
            </w:r>
            <w:r>
              <w:rPr>
                <w:rFonts w:ascii="Times New Roman" w:cs="Times New Roman" w:eastAsia="Times New Roman" w:hAnsi="Times New Roman"/>
                <w:sz w:val="20"/>
                <w:szCs w:val="20"/>
                <w:u w:val="single" w:color="auto"/>
                <w:color w:val="0000FF"/>
                <w:w w:val="95"/>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4.2</w:t>
            </w: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180" w:type="dxa"/>
            <w:vAlign w:val="bottom"/>
            <w:tcBorders>
              <w:top w:val="single" w:sz="8" w:color="0000FF"/>
            </w:tcBorders>
            <w:gridSpan w:val="74"/>
          </w:tcPr>
          <w:p>
            <w:pPr>
              <w:spacing w:after="0" w:line="207" w:lineRule="exact"/>
              <w:rPr>
                <w:sz w:val="20"/>
                <w:szCs w:val="20"/>
                <w:color w:val="auto"/>
              </w:rPr>
            </w:pPr>
            <w:r>
              <w:rPr>
                <w:rFonts w:ascii="Times New Roman" w:cs="Times New Roman" w:eastAsia="Times New Roman" w:hAnsi="Times New Roman"/>
                <w:sz w:val="20"/>
                <w:szCs w:val="20"/>
                <w:color w:val="0000FF"/>
              </w:rPr>
              <w:t>Payments by Borrower; Presumptions by Administrative Agent.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5"/>
            <w:vMerge w:val="continue"/>
          </w:tcPr>
          <w:p>
            <w:pPr>
              <w:spacing w:after="0" w:line="20" w:lineRule="exact"/>
              <w:rPr>
                <w:sz w:val="1"/>
                <w:szCs w:val="1"/>
                <w:color w:val="auto"/>
              </w:rPr>
            </w:pPr>
          </w:p>
        </w:tc>
        <w:tc>
          <w:tcPr>
            <w:tcW w:w="760" w:type="dxa"/>
            <w:vAlign w:val="bottom"/>
            <w:tcBorders>
              <w:right w:val="single" w:sz="8" w:color="0000FF"/>
            </w:tcBorders>
            <w:gridSpan w:val="7"/>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700" w:type="dxa"/>
            <w:vAlign w:val="bottom"/>
            <w:tcBorders>
              <w:right w:val="single" w:sz="8" w:color="0000FF"/>
            </w:tcBorders>
            <w:gridSpan w:val="15"/>
            <w:shd w:val="clear" w:color="auto" w:fill="0000FF"/>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gridSpan w:val="5"/>
            <w:vMerge w:val="continue"/>
          </w:tcPr>
          <w:p>
            <w:pPr>
              <w:spacing w:after="0"/>
              <w:rPr>
                <w:sz w:val="17"/>
                <w:szCs w:val="17"/>
                <w:color w:val="auto"/>
              </w:rPr>
            </w:pPr>
          </w:p>
        </w:tc>
        <w:tc>
          <w:tcPr>
            <w:tcW w:w="228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Interest Payment Dates.</w:t>
            </w:r>
          </w:p>
        </w:tc>
        <w:tc>
          <w:tcPr>
            <w:tcW w:w="220" w:type="dxa"/>
            <w:vAlign w:val="bottom"/>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49</w:t>
            </w:r>
          </w:p>
        </w:tc>
        <w:tc>
          <w:tcPr>
            <w:tcW w:w="6960" w:type="dxa"/>
            <w:vAlign w:val="bottom"/>
            <w:gridSpan w:val="66"/>
          </w:tcPr>
          <w:p>
            <w:pPr>
              <w:jc w:val="right"/>
              <w:ind w:right="6780"/>
              <w:spacing w:after="0" w:line="207" w:lineRule="exact"/>
              <w:rPr>
                <w:sz w:val="20"/>
                <w:szCs w:val="20"/>
                <w:color w:val="auto"/>
              </w:rPr>
            </w:pPr>
            <w:r>
              <w:rPr>
                <w:rFonts w:ascii="Times New Roman" w:cs="Times New Roman" w:eastAsia="Times New Roman" w:hAnsi="Times New Roman"/>
                <w:sz w:val="20"/>
                <w:szCs w:val="20"/>
                <w:color w:val="0000FF"/>
                <w:w w:val="79"/>
              </w:rPr>
              <w:t>57</w:t>
            </w:r>
          </w:p>
        </w:tc>
        <w:tc>
          <w:tcPr>
            <w:tcW w:w="0" w:type="dxa"/>
            <w:vAlign w:val="bottom"/>
          </w:tcPr>
          <w:p>
            <w:pPr>
              <w:spacing w:after="0"/>
              <w:rPr>
                <w:sz w:val="1"/>
                <w:szCs w:val="1"/>
                <w:color w:val="auto"/>
              </w:rPr>
            </w:pPr>
          </w:p>
        </w:tc>
      </w:tr>
      <w:tr>
        <w:trPr>
          <w:trHeight w:val="194"/>
        </w:trPr>
        <w:tc>
          <w:tcPr>
            <w:tcW w:w="620" w:type="dxa"/>
            <w:vAlign w:val="bottom"/>
            <w:gridSpan w:val="4"/>
          </w:tcPr>
          <w:p>
            <w:pPr>
              <w:spacing w:after="0"/>
              <w:rPr>
                <w:sz w:val="16"/>
                <w:szCs w:val="16"/>
                <w:color w:val="auto"/>
              </w:rPr>
            </w:pPr>
          </w:p>
        </w:tc>
        <w:tc>
          <w:tcPr>
            <w:tcW w:w="240" w:type="dxa"/>
            <w:vAlign w:val="bottom"/>
            <w:tcBorders>
              <w:top w:val="single" w:sz="8" w:color="0000FF"/>
              <w:bottom w:val="single" w:sz="8" w:color="0000FF"/>
            </w:tcBorders>
          </w:tcPr>
          <w:p>
            <w:pPr>
              <w:spacing w:after="0" w:line="194" w:lineRule="exact"/>
              <w:rPr>
                <w:sz w:val="20"/>
                <w:szCs w:val="20"/>
                <w:color w:val="auto"/>
              </w:rPr>
            </w:pPr>
            <w:r>
              <w:rPr>
                <w:rFonts w:ascii="Times New Roman" w:cs="Times New Roman" w:eastAsia="Times New Roman" w:hAnsi="Times New Roman"/>
                <w:sz w:val="20"/>
                <w:szCs w:val="20"/>
                <w:color w:val="0000FF"/>
                <w:w w:val="87"/>
              </w:rPr>
              <w:t>5.</w:t>
            </w:r>
            <w:r>
              <w:rPr>
                <w:rFonts w:ascii="Times New Roman" w:cs="Times New Roman" w:eastAsia="Times New Roman" w:hAnsi="Times New Roman"/>
                <w:sz w:val="20"/>
                <w:szCs w:val="20"/>
                <w:u w:val="single" w:color="auto"/>
                <w:color w:val="0000FF"/>
                <w:w w:val="87"/>
              </w:rPr>
              <w:t>6</w:t>
            </w:r>
          </w:p>
        </w:tc>
        <w:tc>
          <w:tcPr>
            <w:tcW w:w="160" w:type="dxa"/>
            <w:vAlign w:val="bottom"/>
            <w:gridSpan w:val="2"/>
          </w:tcPr>
          <w:p>
            <w:pPr>
              <w:spacing w:after="0"/>
              <w:rPr>
                <w:sz w:val="16"/>
                <w:szCs w:val="16"/>
                <w:color w:val="auto"/>
              </w:rPr>
            </w:pPr>
          </w:p>
        </w:tc>
        <w:tc>
          <w:tcPr>
            <w:tcW w:w="1920" w:type="dxa"/>
            <w:vAlign w:val="bottom"/>
            <w:tcBorders>
              <w:top w:val="single" w:sz="8" w:color="0000FF"/>
              <w:bottom w:val="single" w:sz="8" w:color="0000FF"/>
            </w:tcBorders>
            <w:gridSpan w:val="18"/>
          </w:tcPr>
          <w:p>
            <w:pPr>
              <w:spacing w:after="0" w:line="194" w:lineRule="exact"/>
              <w:rPr>
                <w:sz w:val="20"/>
                <w:szCs w:val="20"/>
                <w:color w:val="auto"/>
              </w:rPr>
            </w:pPr>
            <w:r>
              <w:rPr>
                <w:rFonts w:ascii="Times New Roman" w:cs="Times New Roman" w:eastAsia="Times New Roman" w:hAnsi="Times New Roman"/>
                <w:sz w:val="20"/>
                <w:szCs w:val="20"/>
                <w:color w:val="0000FF"/>
                <w:w w:val="96"/>
              </w:rPr>
              <w:t>Voluntary Prepayments.</w:t>
            </w:r>
          </w:p>
        </w:tc>
        <w:tc>
          <w:tcPr>
            <w:tcW w:w="20" w:type="dxa"/>
            <w:vAlign w:val="bottom"/>
            <w:tcBorders>
              <w:bottom w:val="single" w:sz="8" w:color="0000FF"/>
            </w:tcBorders>
          </w:tcPr>
          <w:p>
            <w:pPr>
              <w:spacing w:after="0"/>
              <w:rPr>
                <w:sz w:val="16"/>
                <w:szCs w:val="16"/>
                <w:color w:val="auto"/>
              </w:rPr>
            </w:pPr>
          </w:p>
        </w:tc>
        <w:tc>
          <w:tcPr>
            <w:tcW w:w="400" w:type="dxa"/>
            <w:vAlign w:val="bottom"/>
            <w:gridSpan w:val="8"/>
          </w:tcPr>
          <w:p>
            <w:pPr>
              <w:jc w:val="right"/>
              <w:ind w:right="299"/>
              <w:spacing w:after="0"/>
              <w:rPr>
                <w:sz w:val="20"/>
                <w:szCs w:val="20"/>
                <w:color w:val="auto"/>
              </w:rPr>
            </w:pPr>
            <w:r>
              <w:rPr>
                <w:rFonts w:ascii="Times New Roman" w:cs="Times New Roman" w:eastAsia="Times New Roman" w:hAnsi="Times New Roman"/>
                <w:sz w:val="20"/>
                <w:szCs w:val="20"/>
                <w:color w:val="FF0000"/>
                <w:strike w:val="1"/>
              </w:rPr>
              <w:t>49</w:t>
            </w: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bottom w:val="single" w:sz="8" w:color="0000FF"/>
            </w:tcBorders>
            <w:gridSpan w:val="3"/>
          </w:tcPr>
          <w:p>
            <w:pPr>
              <w:jc w:val="right"/>
              <w:spacing w:after="0" w:line="193" w:lineRule="exact"/>
              <w:rPr>
                <w:sz w:val="20"/>
                <w:szCs w:val="20"/>
                <w:color w:val="auto"/>
              </w:rPr>
            </w:pPr>
            <w:r>
              <w:rPr>
                <w:rFonts w:ascii="Times New Roman" w:cs="Times New Roman" w:eastAsia="Times New Roman" w:hAnsi="Times New Roman"/>
                <w:sz w:val="19"/>
                <w:szCs w:val="19"/>
                <w:color w:val="0000FF"/>
                <w:w w:val="73"/>
              </w:rPr>
              <w:t>58</w:t>
            </w:r>
          </w:p>
        </w:tc>
        <w:tc>
          <w:tcPr>
            <w:tcW w:w="20" w:type="dxa"/>
            <w:vAlign w:val="bottom"/>
            <w:tcBorders>
              <w:bottom w:val="single" w:sz="8" w:color="0000FF"/>
            </w:tcBorders>
          </w:tcPr>
          <w:p>
            <w:pPr>
              <w:spacing w:after="0"/>
              <w:rPr>
                <w:sz w:val="16"/>
                <w:szCs w:val="16"/>
                <w:color w:val="auto"/>
              </w:rPr>
            </w:pPr>
          </w:p>
        </w:tc>
        <w:tc>
          <w:tcPr>
            <w:tcW w:w="6760" w:type="dxa"/>
            <w:vAlign w:val="bottom"/>
            <w:gridSpan w:val="61"/>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gridSpan w:val="9"/>
          </w:tcPr>
          <w:p>
            <w:pPr>
              <w:spacing w:after="0"/>
              <w:rPr>
                <w:sz w:val="17"/>
                <w:szCs w:val="17"/>
                <w:color w:val="auto"/>
              </w:rPr>
            </w:pPr>
          </w:p>
        </w:tc>
        <w:tc>
          <w:tcPr>
            <w:tcW w:w="440" w:type="dxa"/>
            <w:vAlign w:val="bottom"/>
            <w:tcBorders>
              <w:bottom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6.1</w:t>
            </w:r>
          </w:p>
        </w:tc>
        <w:tc>
          <w:tcPr>
            <w:tcW w:w="220" w:type="dxa"/>
            <w:vAlign w:val="bottom"/>
            <w:gridSpan w:val="2"/>
          </w:tcPr>
          <w:p>
            <w:pPr>
              <w:spacing w:after="0"/>
              <w:rPr>
                <w:sz w:val="17"/>
                <w:szCs w:val="17"/>
                <w:color w:val="auto"/>
              </w:rPr>
            </w:pPr>
          </w:p>
        </w:tc>
        <w:tc>
          <w:tcPr>
            <w:tcW w:w="1220" w:type="dxa"/>
            <w:vAlign w:val="bottom"/>
            <w:tcBorders>
              <w:bottom w:val="single" w:sz="8" w:color="0000FF"/>
            </w:tcBorders>
            <w:gridSpan w:val="13"/>
          </w:tcPr>
          <w:p>
            <w:pPr>
              <w:spacing w:after="0" w:line="207" w:lineRule="exact"/>
              <w:rPr>
                <w:sz w:val="20"/>
                <w:szCs w:val="20"/>
                <w:color w:val="auto"/>
              </w:rPr>
            </w:pPr>
            <w:r>
              <w:rPr>
                <w:rFonts w:ascii="Times New Roman" w:cs="Times New Roman" w:eastAsia="Times New Roman" w:hAnsi="Times New Roman"/>
                <w:sz w:val="20"/>
                <w:szCs w:val="20"/>
                <w:color w:val="0000FF"/>
                <w:w w:val="82"/>
              </w:rPr>
              <w:t>Right to Prepay.</w:t>
            </w:r>
          </w:p>
        </w:tc>
        <w:tc>
          <w:tcPr>
            <w:tcW w:w="400" w:type="dxa"/>
            <w:vAlign w:val="bottom"/>
            <w:gridSpan w:val="9"/>
          </w:tcPr>
          <w:p>
            <w:pPr>
              <w:jc w:val="right"/>
              <w:ind w:right="299"/>
              <w:spacing w:after="0"/>
              <w:rPr>
                <w:sz w:val="20"/>
                <w:szCs w:val="20"/>
                <w:color w:val="auto"/>
              </w:rPr>
            </w:pPr>
            <w:r>
              <w:rPr>
                <w:rFonts w:ascii="Times New Roman" w:cs="Times New Roman" w:eastAsia="Times New Roman" w:hAnsi="Times New Roman"/>
                <w:sz w:val="20"/>
                <w:szCs w:val="20"/>
                <w:color w:val="FF0000"/>
                <w:strike w:val="1"/>
              </w:rPr>
              <w:t>49</w:t>
            </w:r>
          </w:p>
        </w:tc>
        <w:tc>
          <w:tcPr>
            <w:tcW w:w="320" w:type="dxa"/>
            <w:vAlign w:val="bottom"/>
            <w:tcBorders>
              <w:bottom w:val="single" w:sz="8" w:color="0000FF"/>
            </w:tcBorders>
            <w:gridSpan w:val="6"/>
          </w:tcPr>
          <w:p>
            <w:pPr>
              <w:jc w:val="right"/>
              <w:ind w:right="120"/>
              <w:spacing w:after="0" w:line="207" w:lineRule="exact"/>
              <w:rPr>
                <w:sz w:val="20"/>
                <w:szCs w:val="20"/>
                <w:color w:val="auto"/>
              </w:rPr>
            </w:pPr>
            <w:r>
              <w:rPr>
                <w:rFonts w:ascii="Times New Roman" w:cs="Times New Roman" w:eastAsia="Times New Roman" w:hAnsi="Times New Roman"/>
                <w:sz w:val="20"/>
                <w:szCs w:val="20"/>
                <w:color w:val="0000FF"/>
                <w:w w:val="89"/>
              </w:rPr>
              <w:t>58</w:t>
            </w:r>
          </w:p>
        </w:tc>
        <w:tc>
          <w:tcPr>
            <w:tcW w:w="240" w:type="dxa"/>
            <w:vAlign w:val="bottom"/>
            <w:gridSpan w:val="8"/>
          </w:tcPr>
          <w:p>
            <w:pPr>
              <w:spacing w:after="0"/>
              <w:rPr>
                <w:sz w:val="17"/>
                <w:szCs w:val="17"/>
                <w:color w:val="auto"/>
              </w:rPr>
            </w:pPr>
          </w:p>
        </w:tc>
        <w:tc>
          <w:tcPr>
            <w:tcW w:w="1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50</w:t>
            </w:r>
          </w:p>
        </w:tc>
        <w:tc>
          <w:tcPr>
            <w:tcW w:w="280" w:type="dxa"/>
            <w:vAlign w:val="bottom"/>
            <w:gridSpan w:val="8"/>
            <w:vMerge w:val="restart"/>
          </w:tcPr>
          <w:p>
            <w:pPr>
              <w:jc w:val="right"/>
              <w:spacing w:after="0"/>
              <w:rPr>
                <w:sz w:val="20"/>
                <w:szCs w:val="20"/>
                <w:color w:val="auto"/>
              </w:rPr>
            </w:pPr>
            <w:r>
              <w:rPr>
                <w:rFonts w:ascii="Times New Roman" w:cs="Times New Roman" w:eastAsia="Times New Roman" w:hAnsi="Times New Roman"/>
                <w:sz w:val="20"/>
                <w:szCs w:val="20"/>
                <w:color w:val="0000FF"/>
              </w:rPr>
              <w:t>58</w:t>
            </w:r>
          </w:p>
        </w:tc>
        <w:tc>
          <w:tcPr>
            <w:tcW w:w="584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0000FF"/>
            </w:tcBorders>
            <w:gridSpan w:val="13"/>
          </w:tcPr>
          <w:p>
            <w:pPr>
              <w:spacing w:after="0" w:line="207" w:lineRule="exact"/>
              <w:rPr>
                <w:sz w:val="20"/>
                <w:szCs w:val="20"/>
                <w:color w:val="auto"/>
              </w:rPr>
            </w:pPr>
            <w:r>
              <w:rPr>
                <w:rFonts w:ascii="Times New Roman" w:cs="Times New Roman" w:eastAsia="Times New Roman" w:hAnsi="Times New Roman"/>
                <w:sz w:val="20"/>
                <w:szCs w:val="20"/>
                <w:color w:val="0000FF"/>
                <w:w w:val="95"/>
              </w:rPr>
              <w:t>Replacement of</w:t>
            </w:r>
          </w:p>
        </w:tc>
        <w:tc>
          <w:tcPr>
            <w:tcW w:w="820" w:type="dxa"/>
            <w:vAlign w:val="bottom"/>
            <w:tcBorders>
              <w:bottom w:val="single" w:sz="8" w:color="0000FF"/>
            </w:tcBorders>
            <w:gridSpan w:val="18"/>
          </w:tcPr>
          <w:p>
            <w:pPr>
              <w:jc w:val="right"/>
              <w:ind w:right="60"/>
              <w:spacing w:after="0" w:line="207" w:lineRule="exact"/>
              <w:rPr>
                <w:sz w:val="20"/>
                <w:szCs w:val="20"/>
                <w:color w:val="auto"/>
              </w:rPr>
            </w:pPr>
            <w:r>
              <w:rPr>
                <w:rFonts w:ascii="Times New Roman" w:cs="Times New Roman" w:eastAsia="Times New Roman" w:hAnsi="Times New Roman"/>
                <w:sz w:val="20"/>
                <w:szCs w:val="20"/>
                <w:color w:val="0000FF"/>
                <w:w w:val="97"/>
              </w:rPr>
              <w:t>a Lender.</w:t>
            </w: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160" w:type="dxa"/>
            <w:vAlign w:val="bottom"/>
            <w:gridSpan w:val="5"/>
            <w:vMerge w:val="continue"/>
          </w:tcPr>
          <w:p>
            <w:pPr>
              <w:spacing w:after="0"/>
              <w:rPr>
                <w:sz w:val="17"/>
                <w:szCs w:val="17"/>
                <w:color w:val="auto"/>
              </w:rPr>
            </w:pPr>
          </w:p>
        </w:tc>
        <w:tc>
          <w:tcPr>
            <w:tcW w:w="280" w:type="dxa"/>
            <w:vAlign w:val="bottom"/>
            <w:tcBorders>
              <w:bottom w:val="single" w:sz="8" w:color="0000FF"/>
            </w:tcBorders>
            <w:gridSpan w:val="8"/>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10"/>
            <w:vMerge w:val="restart"/>
          </w:tcPr>
          <w:p>
            <w:pPr>
              <w:ind w:left="20"/>
              <w:spacing w:after="0"/>
              <w:rPr>
                <w:sz w:val="20"/>
                <w:szCs w:val="20"/>
                <w:color w:val="auto"/>
              </w:rPr>
            </w:pPr>
            <w:r>
              <w:rPr>
                <w:rFonts w:ascii="Times New Roman" w:cs="Times New Roman" w:eastAsia="Times New Roman" w:hAnsi="Times New Roman"/>
                <w:sz w:val="20"/>
                <w:szCs w:val="20"/>
                <w:color w:val="0000FF"/>
              </w:rPr>
              <w:t>Office.</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50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59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0" w:type="dxa"/>
            <w:vAlign w:val="bottom"/>
            <w:gridSpan w:val="5"/>
            <w:vMerge w:val="restart"/>
          </w:tcPr>
          <w:p>
            <w:pPr>
              <w:ind w:left="600"/>
              <w:spacing w:after="0"/>
              <w:rPr>
                <w:sz w:val="20"/>
                <w:szCs w:val="20"/>
                <w:color w:val="auto"/>
              </w:rPr>
            </w:pPr>
            <w:r>
              <w:rPr>
                <w:rFonts w:ascii="Times New Roman" w:cs="Times New Roman" w:eastAsia="Times New Roman" w:hAnsi="Times New Roman"/>
                <w:sz w:val="20"/>
                <w:szCs w:val="20"/>
                <w:color w:val="0000FF"/>
                <w:w w:val="95"/>
              </w:rPr>
              <w:t>5.</w:t>
            </w:r>
            <w:r>
              <w:rPr>
                <w:rFonts w:ascii="Times New Roman" w:cs="Times New Roman" w:eastAsia="Times New Roman" w:hAnsi="Times New Roman"/>
                <w:sz w:val="20"/>
                <w:szCs w:val="20"/>
                <w:u w:val="single" w:color="auto"/>
                <w:color w:val="0000FF"/>
                <w:w w:val="95"/>
              </w:rPr>
              <w:t>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4"/>
          </w:tcPr>
          <w:p>
            <w:pPr>
              <w:spacing w:after="0" w:line="194"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31"/>
          </w:tcPr>
          <w:p>
            <w:pPr>
              <w:spacing w:after="0" w:line="194" w:lineRule="exact"/>
              <w:rPr>
                <w:sz w:val="20"/>
                <w:szCs w:val="20"/>
                <w:color w:val="auto"/>
              </w:rPr>
            </w:pPr>
            <w:r>
              <w:rPr>
                <w:rFonts w:ascii="Times New Roman" w:cs="Times New Roman" w:eastAsia="Times New Roman" w:hAnsi="Times New Roman"/>
                <w:sz w:val="20"/>
                <w:szCs w:val="20"/>
                <w:color w:val="0000FF"/>
                <w:w w:val="94"/>
              </w:rPr>
              <w:t>Designation of a Different</w:t>
            </w:r>
          </w:p>
        </w:tc>
        <w:tc>
          <w:tcPr>
            <w:tcW w:w="40" w:type="dxa"/>
            <w:vAlign w:val="bottom"/>
          </w:tcPr>
          <w:p>
            <w:pPr>
              <w:spacing w:after="0"/>
              <w:rPr>
                <w:sz w:val="16"/>
                <w:szCs w:val="16"/>
                <w:color w:val="auto"/>
              </w:rPr>
            </w:pPr>
          </w:p>
        </w:tc>
        <w:tc>
          <w:tcPr>
            <w:tcW w:w="540" w:type="dxa"/>
            <w:vAlign w:val="bottom"/>
            <w:gridSpan w:val="17"/>
          </w:tcPr>
          <w:p>
            <w:pPr>
              <w:jc w:val="center"/>
              <w:spacing w:after="0" w:line="194" w:lineRule="exact"/>
              <w:rPr>
                <w:sz w:val="20"/>
                <w:szCs w:val="20"/>
                <w:color w:val="auto"/>
              </w:rPr>
            </w:pPr>
            <w:r>
              <w:rPr>
                <w:rFonts w:ascii="Times New Roman" w:cs="Times New Roman" w:eastAsia="Times New Roman" w:hAnsi="Times New Roman"/>
                <w:sz w:val="20"/>
                <w:szCs w:val="20"/>
                <w:color w:val="0000FF"/>
                <w:w w:val="77"/>
              </w:rPr>
              <w:t>Lending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10"/>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gridSpan w:val="5"/>
            <w:vMerge w:val="continue"/>
          </w:tcPr>
          <w:p>
            <w:pPr>
              <w:spacing w:after="0" w:line="20" w:lineRule="exact"/>
              <w:rPr>
                <w:sz w:val="1"/>
                <w:szCs w:val="1"/>
                <w:color w:val="auto"/>
              </w:rPr>
            </w:pPr>
          </w:p>
        </w:tc>
        <w:tc>
          <w:tcPr>
            <w:tcW w:w="760" w:type="dxa"/>
            <w:vAlign w:val="bottom"/>
            <w:tcBorders>
              <w:right w:val="single" w:sz="8" w:color="0000FF"/>
            </w:tcBorders>
            <w:gridSpan w:val="7"/>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80" w:type="dxa"/>
            <w:vAlign w:val="bottom"/>
            <w:tcBorders>
              <w:right w:val="single" w:sz="8" w:color="0000FF"/>
            </w:tcBorders>
            <w:gridSpan w:val="8"/>
            <w:shd w:val="clear" w:color="auto" w:fill="0000FF"/>
          </w:tcPr>
          <w:p>
            <w:pPr>
              <w:spacing w:after="0" w:line="20" w:lineRule="exact"/>
              <w:rPr>
                <w:sz w:val="1"/>
                <w:szCs w:val="1"/>
                <w:color w:val="auto"/>
              </w:rPr>
            </w:pPr>
          </w:p>
        </w:tc>
        <w:tc>
          <w:tcPr>
            <w:tcW w:w="44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gridSpan w:val="5"/>
            <w:vMerge w:val="continue"/>
          </w:tcPr>
          <w:p>
            <w:pPr>
              <w:spacing w:after="0"/>
              <w:rPr>
                <w:sz w:val="17"/>
                <w:szCs w:val="17"/>
                <w:color w:val="auto"/>
              </w:rPr>
            </w:pPr>
          </w:p>
        </w:tc>
        <w:tc>
          <w:tcPr>
            <w:tcW w:w="1120" w:type="dxa"/>
            <w:vAlign w:val="bottom"/>
            <w:gridSpan w:val="11"/>
          </w:tcPr>
          <w:p>
            <w:pPr>
              <w:spacing w:after="0"/>
              <w:rPr>
                <w:sz w:val="20"/>
                <w:szCs w:val="20"/>
                <w:color w:val="auto"/>
              </w:rPr>
            </w:pPr>
            <w:r>
              <w:rPr>
                <w:rFonts w:ascii="Times New Roman" w:cs="Times New Roman" w:eastAsia="Times New Roman" w:hAnsi="Times New Roman"/>
                <w:sz w:val="20"/>
                <w:szCs w:val="20"/>
                <w:color w:val="FF0000"/>
                <w:strike w:val="1"/>
              </w:rPr>
              <w:t>[Reserved]</w:t>
            </w:r>
          </w:p>
        </w:tc>
        <w:tc>
          <w:tcPr>
            <w:tcW w:w="1400" w:type="dxa"/>
            <w:vAlign w:val="bottom"/>
            <w:gridSpan w:val="19"/>
          </w:tcPr>
          <w:p>
            <w:pPr>
              <w:jc w:val="right"/>
              <w:ind w:right="79"/>
              <w:spacing w:after="0" w:line="207" w:lineRule="exact"/>
              <w:rPr>
                <w:sz w:val="20"/>
                <w:szCs w:val="20"/>
                <w:color w:val="auto"/>
              </w:rPr>
            </w:pPr>
            <w:r>
              <w:rPr>
                <w:rFonts w:ascii="Times New Roman" w:cs="Times New Roman" w:eastAsia="Times New Roman" w:hAnsi="Times New Roman"/>
                <w:sz w:val="20"/>
                <w:szCs w:val="20"/>
                <w:color w:val="0000FF"/>
                <w:w w:val="93"/>
              </w:rPr>
              <w:t>Cash Collateral.</w:t>
            </w:r>
          </w:p>
        </w:tc>
        <w:tc>
          <w:tcPr>
            <w:tcW w:w="240" w:type="dxa"/>
            <w:vAlign w:val="bottom"/>
            <w:gridSpan w:val="6"/>
          </w:tcPr>
          <w:p>
            <w:pPr>
              <w:jc w:val="center"/>
              <w:spacing w:after="0" w:line="207" w:lineRule="exact"/>
              <w:rPr>
                <w:sz w:val="20"/>
                <w:szCs w:val="20"/>
                <w:color w:val="auto"/>
              </w:rPr>
            </w:pPr>
            <w:r>
              <w:rPr>
                <w:rFonts w:ascii="Times New Roman" w:cs="Times New Roman" w:eastAsia="Times New Roman" w:hAnsi="Times New Roman"/>
                <w:sz w:val="20"/>
                <w:szCs w:val="20"/>
                <w:color w:val="FF0000"/>
                <w:strike w:val="1"/>
                <w:w w:val="99"/>
              </w:rPr>
              <w:t>51</w:t>
            </w:r>
          </w:p>
        </w:tc>
        <w:tc>
          <w:tcPr>
            <w:tcW w:w="6700" w:type="dxa"/>
            <w:vAlign w:val="bottom"/>
            <w:gridSpan w:val="59"/>
          </w:tcPr>
          <w:p>
            <w:pPr>
              <w:jc w:val="right"/>
              <w:ind w:right="6500"/>
              <w:spacing w:after="0" w:line="207" w:lineRule="exact"/>
              <w:rPr>
                <w:sz w:val="20"/>
                <w:szCs w:val="20"/>
                <w:color w:val="auto"/>
              </w:rPr>
            </w:pPr>
            <w:r>
              <w:rPr>
                <w:rFonts w:ascii="Times New Roman" w:cs="Times New Roman" w:eastAsia="Times New Roman" w:hAnsi="Times New Roman"/>
                <w:sz w:val="20"/>
                <w:szCs w:val="20"/>
                <w:color w:val="0000FF"/>
                <w:w w:val="89"/>
              </w:rPr>
              <w:t>59</w:t>
            </w:r>
          </w:p>
        </w:tc>
        <w:tc>
          <w:tcPr>
            <w:tcW w:w="0" w:type="dxa"/>
            <w:vAlign w:val="bottom"/>
          </w:tcPr>
          <w:p>
            <w:pPr>
              <w:spacing w:after="0"/>
              <w:rPr>
                <w:sz w:val="1"/>
                <w:szCs w:val="1"/>
                <w:color w:val="auto"/>
              </w:rPr>
            </w:pPr>
          </w:p>
        </w:tc>
      </w:tr>
      <w:tr>
        <w:trPr>
          <w:trHeight w:val="20"/>
        </w:trPr>
        <w:tc>
          <w:tcPr>
            <w:tcW w:w="1020" w:type="dxa"/>
            <w:vAlign w:val="bottom"/>
            <w:gridSpan w:val="7"/>
          </w:tcPr>
          <w:p>
            <w:pPr>
              <w:spacing w:after="0" w:line="20" w:lineRule="exact"/>
              <w:rPr>
                <w:sz w:val="1"/>
                <w:szCs w:val="1"/>
                <w:color w:val="auto"/>
              </w:rPr>
            </w:pPr>
          </w:p>
        </w:tc>
        <w:tc>
          <w:tcPr>
            <w:tcW w:w="620" w:type="dxa"/>
            <w:vAlign w:val="bottom"/>
            <w:gridSpan w:val="6"/>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7.1</w:t>
            </w:r>
          </w:p>
        </w:tc>
        <w:tc>
          <w:tcPr>
            <w:tcW w:w="340" w:type="dxa"/>
            <w:vAlign w:val="bottom"/>
            <w:tcBorders>
              <w:right w:val="single" w:sz="8" w:color="0000FF"/>
            </w:tcBorders>
            <w:gridSpan w:val="3"/>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right w:val="single" w:sz="8" w:color="0000FF"/>
            </w:tcBorders>
            <w:gridSpan w:val="10"/>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gridSpan w:val="11"/>
            <w:vMerge w:val="restart"/>
          </w:tcPr>
          <w:p>
            <w:pPr>
              <w:jc w:val="center"/>
              <w:ind w:left="19"/>
              <w:spacing w:after="0" w:line="227" w:lineRule="exact"/>
              <w:rPr>
                <w:sz w:val="20"/>
                <w:szCs w:val="20"/>
                <w:color w:val="auto"/>
              </w:rPr>
            </w:pPr>
            <w:r>
              <w:rPr>
                <w:rFonts w:ascii="Times New Roman" w:cs="Times New Roman" w:eastAsia="Times New Roman" w:hAnsi="Times New Roman"/>
                <w:sz w:val="20"/>
                <w:szCs w:val="20"/>
                <w:color w:val="0000FF"/>
                <w:w w:val="99"/>
              </w:rPr>
              <w:t>60</w:t>
            </w:r>
          </w:p>
        </w:tc>
        <w:tc>
          <w:tcPr>
            <w:tcW w:w="6020" w:type="dxa"/>
            <w:vAlign w:val="bottom"/>
            <w:gridSpan w:val="4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20" w:type="dxa"/>
            <w:vAlign w:val="bottom"/>
            <w:gridSpan w:val="7"/>
          </w:tcPr>
          <w:p>
            <w:pPr>
              <w:spacing w:after="0"/>
              <w:rPr>
                <w:sz w:val="17"/>
                <w:szCs w:val="17"/>
                <w:color w:val="auto"/>
              </w:rPr>
            </w:pPr>
          </w:p>
        </w:tc>
        <w:tc>
          <w:tcPr>
            <w:tcW w:w="620" w:type="dxa"/>
            <w:vAlign w:val="bottom"/>
            <w:gridSpan w:val="6"/>
            <w:vMerge w:val="continue"/>
          </w:tcPr>
          <w:p>
            <w:pPr>
              <w:spacing w:after="0"/>
              <w:rPr>
                <w:sz w:val="17"/>
                <w:szCs w:val="17"/>
                <w:color w:val="auto"/>
              </w:rPr>
            </w:pPr>
          </w:p>
        </w:tc>
        <w:tc>
          <w:tcPr>
            <w:tcW w:w="15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Grant of Security</w:t>
            </w:r>
          </w:p>
        </w:tc>
        <w:tc>
          <w:tcPr>
            <w:tcW w:w="620" w:type="dxa"/>
            <w:vAlign w:val="bottom"/>
            <w:gridSpan w:val="13"/>
          </w:tcPr>
          <w:p>
            <w:pPr>
              <w:jc w:val="center"/>
              <w:spacing w:after="0" w:line="207" w:lineRule="exact"/>
              <w:rPr>
                <w:sz w:val="20"/>
                <w:szCs w:val="20"/>
                <w:color w:val="auto"/>
              </w:rPr>
            </w:pPr>
            <w:r>
              <w:rPr>
                <w:rFonts w:ascii="Times New Roman" w:cs="Times New Roman" w:eastAsia="Times New Roman" w:hAnsi="Times New Roman"/>
                <w:sz w:val="20"/>
                <w:szCs w:val="20"/>
                <w:color w:val="0000FF"/>
                <w:w w:val="92"/>
              </w:rPr>
              <w:t>Interest.</w:t>
            </w: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360" w:type="dxa"/>
            <w:vAlign w:val="bottom"/>
            <w:gridSpan w:val="11"/>
            <w:vMerge w:val="continue"/>
          </w:tcPr>
          <w:p>
            <w:pPr>
              <w:spacing w:after="0"/>
              <w:rPr>
                <w:sz w:val="17"/>
                <w:szCs w:val="17"/>
                <w:color w:val="auto"/>
              </w:rPr>
            </w:pPr>
          </w:p>
        </w:tc>
        <w:tc>
          <w:tcPr>
            <w:tcW w:w="6020" w:type="dxa"/>
            <w:vAlign w:val="bottom"/>
            <w:gridSpan w:val="4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0" w:type="dxa"/>
            <w:vAlign w:val="bottom"/>
            <w:gridSpan w:val="9"/>
          </w:tcPr>
          <w:p>
            <w:pPr>
              <w:spacing w:after="0"/>
              <w:rPr>
                <w:sz w:val="16"/>
                <w:szCs w:val="16"/>
                <w:color w:val="auto"/>
              </w:rPr>
            </w:pPr>
          </w:p>
        </w:tc>
        <w:tc>
          <w:tcPr>
            <w:tcW w:w="660" w:type="dxa"/>
            <w:vAlign w:val="bottom"/>
            <w:tcBorders>
              <w:top w:val="single" w:sz="8" w:color="0000FF"/>
            </w:tcBorders>
            <w:gridSpan w:val="6"/>
          </w:tcPr>
          <w:p>
            <w:pPr>
              <w:spacing w:after="0" w:line="194"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7.2</w:t>
            </w:r>
          </w:p>
        </w:tc>
        <w:tc>
          <w:tcPr>
            <w:tcW w:w="2420" w:type="dxa"/>
            <w:vAlign w:val="bottom"/>
            <w:tcBorders>
              <w:top w:val="single" w:sz="8" w:color="0000FF"/>
            </w:tcBorders>
            <w:gridSpan w:val="42"/>
          </w:tcPr>
          <w:p>
            <w:pPr>
              <w:spacing w:after="0" w:line="194" w:lineRule="exact"/>
              <w:rPr>
                <w:sz w:val="20"/>
                <w:szCs w:val="20"/>
                <w:color w:val="auto"/>
              </w:rPr>
            </w:pPr>
            <w:r>
              <w:rPr>
                <w:rFonts w:ascii="Times New Roman" w:cs="Times New Roman" w:eastAsia="Times New Roman" w:hAnsi="Times New Roman"/>
                <w:sz w:val="20"/>
                <w:szCs w:val="20"/>
                <w:color w:val="0000FF"/>
              </w:rPr>
              <w:t>Application.  60</w:t>
            </w:r>
          </w:p>
        </w:tc>
        <w:tc>
          <w:tcPr>
            <w:tcW w:w="40" w:type="dxa"/>
            <w:vAlign w:val="bottom"/>
            <w:gridSpan w:val="2"/>
          </w:tcPr>
          <w:p>
            <w:pPr>
              <w:spacing w:after="0"/>
              <w:rPr>
                <w:sz w:val="16"/>
                <w:szCs w:val="16"/>
                <w:color w:val="auto"/>
              </w:rPr>
            </w:pPr>
          </w:p>
        </w:tc>
        <w:tc>
          <w:tcPr>
            <w:tcW w:w="22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60</w:t>
            </w:r>
          </w:p>
        </w:tc>
        <w:tc>
          <w:tcPr>
            <w:tcW w:w="5780" w:type="dxa"/>
            <w:vAlign w:val="bottom"/>
            <w:gridSpan w:val="35"/>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0" w:type="dxa"/>
            <w:vAlign w:val="bottom"/>
            <w:gridSpan w:val="5"/>
            <w:vMerge w:val="restart"/>
          </w:tcPr>
          <w:p>
            <w:pPr>
              <w:ind w:left="600"/>
              <w:spacing w:after="0"/>
              <w:rPr>
                <w:sz w:val="20"/>
                <w:szCs w:val="20"/>
                <w:color w:val="auto"/>
              </w:rPr>
            </w:pPr>
            <w:r>
              <w:rPr>
                <w:rFonts w:ascii="Times New Roman" w:cs="Times New Roman" w:eastAsia="Times New Roman" w:hAnsi="Times New Roman"/>
                <w:sz w:val="20"/>
                <w:szCs w:val="20"/>
                <w:color w:val="0000FF"/>
                <w:w w:val="95"/>
              </w:rPr>
              <w:t>5.</w:t>
            </w:r>
            <w:r>
              <w:rPr>
                <w:rFonts w:ascii="Times New Roman" w:cs="Times New Roman" w:eastAsia="Times New Roman" w:hAnsi="Times New Roman"/>
                <w:sz w:val="20"/>
                <w:szCs w:val="20"/>
                <w:u w:val="single" w:color="auto"/>
                <w:color w:val="0000FF"/>
                <w:w w:val="95"/>
              </w:rPr>
              <w:t>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7.3</w:t>
            </w: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gridSpan w:val="16"/>
          </w:tcPr>
          <w:p>
            <w:pPr>
              <w:spacing w:after="0" w:line="207" w:lineRule="exact"/>
              <w:rPr>
                <w:sz w:val="20"/>
                <w:szCs w:val="20"/>
                <w:color w:val="auto"/>
              </w:rPr>
            </w:pPr>
            <w:r>
              <w:rPr>
                <w:rFonts w:ascii="Times New Roman" w:cs="Times New Roman" w:eastAsia="Times New Roman" w:hAnsi="Times New Roman"/>
                <w:sz w:val="20"/>
                <w:szCs w:val="20"/>
                <w:color w:val="0000FF"/>
              </w:rPr>
              <w:t>Termination of</w:t>
            </w:r>
          </w:p>
        </w:tc>
        <w:tc>
          <w:tcPr>
            <w:tcW w:w="1120" w:type="dxa"/>
            <w:vAlign w:val="bottom"/>
            <w:gridSpan w:val="28"/>
          </w:tcPr>
          <w:p>
            <w:pPr>
              <w:spacing w:after="0" w:line="207" w:lineRule="exact"/>
              <w:rPr>
                <w:sz w:val="20"/>
                <w:szCs w:val="20"/>
                <w:color w:val="auto"/>
              </w:rPr>
            </w:pPr>
            <w:r>
              <w:rPr>
                <w:rFonts w:ascii="Times New Roman" w:cs="Times New Roman" w:eastAsia="Times New Roman" w:hAnsi="Times New Roman"/>
                <w:sz w:val="20"/>
                <w:szCs w:val="20"/>
                <w:color w:val="0000FF"/>
              </w:rPr>
              <w:t>Requirement.</w:t>
            </w:r>
          </w:p>
        </w:tc>
        <w:tc>
          <w:tcPr>
            <w:tcW w:w="22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5"/>
            <w:vMerge w:val="continue"/>
          </w:tcPr>
          <w:p>
            <w:pPr>
              <w:spacing w:after="0" w:line="20" w:lineRule="exact"/>
              <w:rPr>
                <w:sz w:val="1"/>
                <w:szCs w:val="1"/>
                <w:color w:val="auto"/>
              </w:rPr>
            </w:pPr>
          </w:p>
        </w:tc>
        <w:tc>
          <w:tcPr>
            <w:tcW w:w="760" w:type="dxa"/>
            <w:vAlign w:val="bottom"/>
            <w:tcBorders>
              <w:right w:val="single" w:sz="8" w:color="0000FF"/>
            </w:tcBorders>
            <w:gridSpan w:val="7"/>
          </w:tcPr>
          <w:p>
            <w:pPr>
              <w:spacing w:after="0" w:line="20" w:lineRule="exact"/>
              <w:rPr>
                <w:sz w:val="1"/>
                <w:szCs w:val="1"/>
                <w:color w:val="auto"/>
              </w:rPr>
            </w:pPr>
          </w:p>
        </w:tc>
        <w:tc>
          <w:tcPr>
            <w:tcW w:w="3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840" w:type="dxa"/>
            <w:vAlign w:val="bottom"/>
            <w:tcBorders>
              <w:left w:val="single" w:sz="8" w:color="0000FF"/>
            </w:tcBorders>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gridSpan w:val="5"/>
            <w:vMerge w:val="continue"/>
          </w:tcPr>
          <w:p>
            <w:pPr>
              <w:spacing w:after="0"/>
              <w:rPr>
                <w:sz w:val="17"/>
                <w:szCs w:val="17"/>
                <w:color w:val="auto"/>
              </w:rPr>
            </w:pPr>
          </w:p>
        </w:tc>
        <w:tc>
          <w:tcPr>
            <w:tcW w:w="174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Increased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70"/>
              </w:rPr>
              <w:t>51</w:t>
            </w:r>
          </w:p>
        </w:tc>
        <w:tc>
          <w:tcPr>
            <w:tcW w:w="1400" w:type="dxa"/>
            <w:vAlign w:val="bottom"/>
            <w:gridSpan w:val="29"/>
          </w:tcPr>
          <w:p>
            <w:pPr>
              <w:jc w:val="right"/>
              <w:ind w:right="1099"/>
              <w:spacing w:after="0" w:line="207" w:lineRule="exact"/>
              <w:rPr>
                <w:sz w:val="20"/>
                <w:szCs w:val="20"/>
                <w:color w:val="auto"/>
              </w:rPr>
            </w:pPr>
            <w:r>
              <w:rPr>
                <w:rFonts w:ascii="Times New Roman" w:cs="Times New Roman" w:eastAsia="Times New Roman" w:hAnsi="Times New Roman"/>
                <w:sz w:val="20"/>
                <w:szCs w:val="20"/>
                <w:color w:val="0000FF"/>
                <w:w w:val="89"/>
              </w:rPr>
              <w:t>60</w:t>
            </w:r>
          </w:p>
        </w:tc>
        <w:tc>
          <w:tcPr>
            <w:tcW w:w="20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FF0000"/>
                <w:strike w:val="1"/>
                <w:w w:val="89"/>
              </w:rPr>
              <w:t>51</w:t>
            </w:r>
          </w:p>
        </w:tc>
        <w:tc>
          <w:tcPr>
            <w:tcW w:w="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60</w:t>
            </w:r>
          </w:p>
        </w:tc>
        <w:tc>
          <w:tcPr>
            <w:tcW w:w="57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0000FF"/>
            </w:tcBorders>
            <w:gridSpan w:val="12"/>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000" w:type="dxa"/>
            <w:vAlign w:val="bottom"/>
            <w:gridSpan w:val="22"/>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0" w:type="dxa"/>
            <w:vAlign w:val="bottom"/>
            <w:gridSpan w:val="7"/>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5780" w:type="dxa"/>
            <w:vAlign w:val="bottom"/>
            <w:gridSpan w:val="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44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8.1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Borders>
              <w:bottom w:val="single" w:sz="8" w:color="0000FF"/>
            </w:tcBorders>
            <w:gridSpan w:val="32"/>
          </w:tcPr>
          <w:p>
            <w:pPr>
              <w:spacing w:after="0" w:line="194" w:lineRule="exact"/>
              <w:rPr>
                <w:sz w:val="20"/>
                <w:szCs w:val="20"/>
                <w:color w:val="auto"/>
              </w:rPr>
            </w:pPr>
            <w:r>
              <w:rPr>
                <w:rFonts w:ascii="Times New Roman" w:cs="Times New Roman" w:eastAsia="Times New Roman" w:hAnsi="Times New Roman"/>
                <w:sz w:val="20"/>
                <w:szCs w:val="20"/>
                <w:color w:val="0000FF"/>
                <w:w w:val="95"/>
              </w:rPr>
              <w:t>Increased Costs Generally.</w:t>
            </w:r>
          </w:p>
        </w:tc>
        <w:tc>
          <w:tcPr>
            <w:tcW w:w="40" w:type="dxa"/>
            <w:vAlign w:val="bottom"/>
            <w:gridSpan w:val="2"/>
            <w:vMerge w:val="continue"/>
          </w:tcPr>
          <w:p>
            <w:pPr>
              <w:spacing w:after="0"/>
              <w:rPr>
                <w:sz w:val="16"/>
                <w:szCs w:val="16"/>
                <w:color w:val="auto"/>
              </w:rPr>
            </w:pPr>
          </w:p>
        </w:tc>
        <w:tc>
          <w:tcPr>
            <w:tcW w:w="60" w:type="dxa"/>
            <w:vAlign w:val="bottom"/>
            <w:gridSpan w:val="2"/>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0" w:type="dxa"/>
            <w:vAlign w:val="bottom"/>
            <w:gridSpan w:val="7"/>
            <w:vMerge w:val="continue"/>
          </w:tcPr>
          <w:p>
            <w:pPr>
              <w:spacing w:after="0"/>
              <w:rPr>
                <w:sz w:val="16"/>
                <w:szCs w:val="16"/>
                <w:color w:val="auto"/>
              </w:rPr>
            </w:pPr>
          </w:p>
        </w:tc>
        <w:tc>
          <w:tcPr>
            <w:tcW w:w="200" w:type="dxa"/>
            <w:vAlign w:val="bottom"/>
            <w:tcBorders>
              <w:bottom w:val="single" w:sz="8" w:color="0000FF"/>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6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8.2</w:t>
            </w:r>
          </w:p>
        </w:tc>
        <w:tc>
          <w:tcPr>
            <w:tcW w:w="1940" w:type="dxa"/>
            <w:vAlign w:val="bottom"/>
            <w:gridSpan w:val="28"/>
          </w:tcPr>
          <w:p>
            <w:pPr>
              <w:spacing w:after="0" w:line="207" w:lineRule="exact"/>
              <w:rPr>
                <w:sz w:val="20"/>
                <w:szCs w:val="20"/>
                <w:color w:val="auto"/>
              </w:rPr>
            </w:pPr>
            <w:r>
              <w:rPr>
                <w:rFonts w:ascii="Times New Roman" w:cs="Times New Roman" w:eastAsia="Times New Roman" w:hAnsi="Times New Roman"/>
                <w:sz w:val="20"/>
                <w:szCs w:val="20"/>
                <w:color w:val="0000FF"/>
              </w:rPr>
              <w:t>Capital Requirements.</w:t>
            </w:r>
          </w:p>
        </w:tc>
        <w:tc>
          <w:tcPr>
            <w:tcW w:w="180" w:type="dxa"/>
            <w:vAlign w:val="bottom"/>
            <w:gridSpan w:val="6"/>
          </w:tcPr>
          <w:p>
            <w:pPr>
              <w:spacing w:after="0" w:line="207" w:lineRule="exact"/>
              <w:rPr>
                <w:sz w:val="20"/>
                <w:szCs w:val="20"/>
                <w:color w:val="auto"/>
              </w:rPr>
            </w:pPr>
            <w:r>
              <w:rPr>
                <w:rFonts w:ascii="Times New Roman" w:cs="Times New Roman" w:eastAsia="Times New Roman" w:hAnsi="Times New Roman"/>
                <w:sz w:val="20"/>
                <w:szCs w:val="20"/>
                <w:color w:val="FF0000"/>
                <w:strike w:val="1"/>
                <w:w w:val="79"/>
              </w:rPr>
              <w:t>51</w:t>
            </w:r>
          </w:p>
        </w:tc>
        <w:tc>
          <w:tcPr>
            <w:tcW w:w="6340" w:type="dxa"/>
            <w:vAlign w:val="bottom"/>
            <w:gridSpan w:val="51"/>
          </w:tcPr>
          <w:p>
            <w:pPr>
              <w:jc w:val="right"/>
              <w:ind w:right="6140"/>
              <w:spacing w:after="0" w:line="207" w:lineRule="exact"/>
              <w:rPr>
                <w:sz w:val="20"/>
                <w:szCs w:val="20"/>
                <w:color w:val="auto"/>
              </w:rPr>
            </w:pPr>
            <w:r>
              <w:rPr>
                <w:rFonts w:ascii="Times New Roman" w:cs="Times New Roman" w:eastAsia="Times New Roman" w:hAnsi="Times New Roman"/>
                <w:sz w:val="20"/>
                <w:szCs w:val="20"/>
                <w:color w:val="0000FF"/>
                <w:w w:val="89"/>
              </w:rPr>
              <w:t>61</w:t>
            </w:r>
          </w:p>
        </w:tc>
        <w:tc>
          <w:tcPr>
            <w:tcW w:w="0" w:type="dxa"/>
            <w:vAlign w:val="bottom"/>
          </w:tcPr>
          <w:p>
            <w:pPr>
              <w:spacing w:after="0"/>
              <w:rPr>
                <w:sz w:val="1"/>
                <w:szCs w:val="1"/>
                <w:color w:val="auto"/>
              </w:rPr>
            </w:pPr>
          </w:p>
        </w:tc>
      </w:tr>
      <w:tr>
        <w:trPr>
          <w:trHeight w:val="20"/>
        </w:trPr>
        <w:tc>
          <w:tcPr>
            <w:tcW w:w="1620" w:type="dxa"/>
            <w:vAlign w:val="bottom"/>
            <w:tcBorders>
              <w:right w:val="single" w:sz="8" w:color="0000FF"/>
            </w:tcBorders>
            <w:gridSpan w:val="12"/>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80" w:type="dxa"/>
            <w:vAlign w:val="bottom"/>
            <w:tcBorders>
              <w:left w:val="single" w:sz="8" w:color="0000FF"/>
            </w:tcBorders>
            <w:gridSpan w:val="6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00" w:type="dxa"/>
            <w:vAlign w:val="bottom"/>
            <w:gridSpan w:val="82"/>
          </w:tcPr>
          <w:p>
            <w:pPr>
              <w:spacing w:after="0" w:line="207" w:lineRule="exact"/>
              <w:rPr>
                <w:sz w:val="20"/>
                <w:szCs w:val="20"/>
                <w:color w:val="auto"/>
              </w:rPr>
            </w:pPr>
            <w:r>
              <w:rPr>
                <w:rFonts w:ascii="Times New Roman" w:cs="Times New Roman" w:eastAsia="Times New Roman" w:hAnsi="Times New Roman"/>
                <w:sz w:val="20"/>
                <w:szCs w:val="20"/>
                <w:color w:val="0000FF"/>
              </w:rPr>
              <w:t>Certificates for Reimbursement; Repayment of Outstanding Loans; Borrowing of New Loans.</w:t>
            </w:r>
          </w:p>
        </w:tc>
        <w:tc>
          <w:tcPr>
            <w:tcW w:w="2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52</w:t>
            </w:r>
          </w:p>
        </w:tc>
        <w:tc>
          <w:tcPr>
            <w:tcW w:w="2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0" w:type="dxa"/>
            <w:vAlign w:val="bottom"/>
            <w:gridSpan w:val="5"/>
            <w:vMerge w:val="restart"/>
          </w:tcPr>
          <w:p>
            <w:pPr>
              <w:ind w:left="600"/>
              <w:spacing w:after="0"/>
              <w:rPr>
                <w:sz w:val="20"/>
                <w:szCs w:val="20"/>
                <w:color w:val="auto"/>
              </w:rPr>
            </w:pPr>
            <w:r>
              <w:rPr>
                <w:rFonts w:ascii="Times New Roman" w:cs="Times New Roman" w:eastAsia="Times New Roman" w:hAnsi="Times New Roman"/>
                <w:sz w:val="20"/>
                <w:szCs w:val="20"/>
                <w:color w:val="0000FF"/>
                <w:w w:val="95"/>
              </w:rPr>
              <w:t>5.</w:t>
            </w:r>
            <w:r>
              <w:rPr>
                <w:rFonts w:ascii="Times New Roman" w:cs="Times New Roman" w:eastAsia="Times New Roman" w:hAnsi="Times New Roman"/>
                <w:sz w:val="20"/>
                <w:szCs w:val="20"/>
                <w:u w:val="single" w:color="auto"/>
                <w:color w:val="0000FF"/>
                <w:w w:val="95"/>
              </w:rPr>
              <w:t>9</w:t>
            </w:r>
          </w:p>
        </w:tc>
        <w:tc>
          <w:tcPr>
            <w:tcW w:w="340" w:type="dxa"/>
            <w:vAlign w:val="bottom"/>
            <w:gridSpan w:val="4"/>
          </w:tcPr>
          <w:p>
            <w:pPr>
              <w:spacing w:after="0"/>
              <w:rPr>
                <w:sz w:val="16"/>
                <w:szCs w:val="16"/>
                <w:color w:val="auto"/>
              </w:rPr>
            </w:pPr>
          </w:p>
        </w:tc>
        <w:tc>
          <w:tcPr>
            <w:tcW w:w="440" w:type="dxa"/>
            <w:vAlign w:val="bottom"/>
            <w:tcBorders>
              <w:top w:val="single" w:sz="8" w:color="0000FF"/>
            </w:tcBorders>
            <w:gridSpan w:val="4"/>
          </w:tcPr>
          <w:p>
            <w:pPr>
              <w:spacing w:after="0" w:line="194" w:lineRule="exact"/>
              <w:rPr>
                <w:sz w:val="20"/>
                <w:szCs w:val="20"/>
                <w:color w:val="auto"/>
              </w:rPr>
            </w:pPr>
            <w:r>
              <w:rPr>
                <w:rFonts w:ascii="Times New Roman" w:cs="Times New Roman" w:eastAsia="Times New Roman" w:hAnsi="Times New Roman"/>
                <w:sz w:val="20"/>
                <w:szCs w:val="20"/>
                <w:color w:val="0000FF"/>
                <w:w w:val="94"/>
              </w:rPr>
              <w:t>5.</w:t>
            </w:r>
            <w:r>
              <w:rPr>
                <w:rFonts w:ascii="Times New Roman" w:cs="Times New Roman" w:eastAsia="Times New Roman" w:hAnsi="Times New Roman"/>
                <w:sz w:val="20"/>
                <w:szCs w:val="20"/>
                <w:u w:val="single" w:color="auto"/>
                <w:color w:val="0000FF"/>
                <w:w w:val="94"/>
              </w:rPr>
              <w:t>8.4</w:t>
            </w:r>
          </w:p>
        </w:tc>
        <w:tc>
          <w:tcPr>
            <w:tcW w:w="220" w:type="dxa"/>
            <w:vAlign w:val="bottom"/>
            <w:gridSpan w:val="2"/>
          </w:tcPr>
          <w:p>
            <w:pPr>
              <w:spacing w:after="0"/>
              <w:rPr>
                <w:sz w:val="16"/>
                <w:szCs w:val="16"/>
                <w:color w:val="auto"/>
              </w:rPr>
            </w:pPr>
          </w:p>
        </w:tc>
        <w:tc>
          <w:tcPr>
            <w:tcW w:w="1620" w:type="dxa"/>
            <w:vAlign w:val="bottom"/>
            <w:tcBorders>
              <w:top w:val="single" w:sz="8" w:color="0000FF"/>
            </w:tcBorders>
            <w:gridSpan w:val="22"/>
          </w:tcPr>
          <w:p>
            <w:pPr>
              <w:spacing w:after="0" w:line="194" w:lineRule="exact"/>
              <w:rPr>
                <w:sz w:val="20"/>
                <w:szCs w:val="20"/>
                <w:color w:val="auto"/>
              </w:rPr>
            </w:pPr>
            <w:r>
              <w:rPr>
                <w:rFonts w:ascii="Times New Roman" w:cs="Times New Roman" w:eastAsia="Times New Roman" w:hAnsi="Times New Roman"/>
                <w:sz w:val="20"/>
                <w:szCs w:val="20"/>
                <w:color w:val="0000FF"/>
                <w:w w:val="88"/>
              </w:rPr>
              <w:t>Delay in Requests.</w:t>
            </w:r>
          </w:p>
        </w:tc>
        <w:tc>
          <w:tcPr>
            <w:tcW w:w="320" w:type="dxa"/>
            <w:vAlign w:val="bottom"/>
            <w:tcBorders>
              <w:top w:val="single" w:sz="8" w:color="0000FF"/>
            </w:tcBorders>
            <w:gridSpan w:val="6"/>
          </w:tcPr>
          <w:p>
            <w:pPr>
              <w:jc w:val="right"/>
              <w:ind w:right="100"/>
              <w:spacing w:after="0" w:line="194" w:lineRule="exact"/>
              <w:rPr>
                <w:sz w:val="20"/>
                <w:szCs w:val="20"/>
                <w:color w:val="auto"/>
              </w:rPr>
            </w:pPr>
            <w:r>
              <w:rPr>
                <w:rFonts w:ascii="Times New Roman" w:cs="Times New Roman" w:eastAsia="Times New Roman" w:hAnsi="Times New Roman"/>
                <w:sz w:val="20"/>
                <w:szCs w:val="20"/>
                <w:color w:val="FF0000"/>
                <w:strike w:val="1"/>
                <w:w w:val="99"/>
              </w:rPr>
              <w:t>52</w:t>
            </w:r>
          </w:p>
        </w:tc>
        <w:tc>
          <w:tcPr>
            <w:tcW w:w="5560" w:type="dxa"/>
            <w:vAlign w:val="bottom"/>
            <w:tcBorders>
              <w:top w:val="single" w:sz="8" w:color="0000FF"/>
            </w:tcBorders>
            <w:gridSpan w:val="53"/>
          </w:tcPr>
          <w:p>
            <w:pPr>
              <w:jc w:val="right"/>
              <w:ind w:right="5359"/>
              <w:spacing w:after="0"/>
              <w:rPr>
                <w:sz w:val="20"/>
                <w:szCs w:val="20"/>
                <w:color w:val="auto"/>
              </w:rPr>
            </w:pPr>
            <w:r>
              <w:rPr>
                <w:rFonts w:ascii="Times New Roman" w:cs="Times New Roman" w:eastAsia="Times New Roman" w:hAnsi="Times New Roman"/>
                <w:sz w:val="11"/>
                <w:szCs w:val="11"/>
                <w:color w:val="0000FF"/>
                <w:w w:val="72"/>
              </w:rPr>
              <w:t>61</w:t>
            </w:r>
          </w:p>
        </w:tc>
        <w:tc>
          <w:tcPr>
            <w:tcW w:w="400" w:type="dxa"/>
            <w:vAlign w:val="bottom"/>
            <w:gridSpan w:val="2"/>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gridSpan w:val="5"/>
            <w:vMerge w:val="continue"/>
          </w:tcPr>
          <w:p>
            <w:pPr>
              <w:spacing w:after="0" w:line="20" w:lineRule="exact"/>
              <w:rPr>
                <w:sz w:val="1"/>
                <w:szCs w:val="1"/>
                <w:color w:val="auto"/>
              </w:rPr>
            </w:pPr>
          </w:p>
        </w:tc>
        <w:tc>
          <w:tcPr>
            <w:tcW w:w="760" w:type="dxa"/>
            <w:vAlign w:val="bottom"/>
            <w:tcBorders>
              <w:right w:val="single" w:sz="8" w:color="0000FF"/>
            </w:tcBorders>
            <w:gridSpan w:val="7"/>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420" w:type="dxa"/>
            <w:vAlign w:val="bottom"/>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gridSpan w:val="5"/>
            <w:vMerge w:val="continue"/>
          </w:tcPr>
          <w:p>
            <w:pPr>
              <w:spacing w:after="0"/>
              <w:rPr>
                <w:sz w:val="17"/>
                <w:szCs w:val="17"/>
                <w:color w:val="auto"/>
              </w:rPr>
            </w:pPr>
          </w:p>
        </w:tc>
        <w:tc>
          <w:tcPr>
            <w:tcW w:w="10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Taxes.</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FF0000"/>
                <w:strike w:val="1"/>
                <w:w w:val="72"/>
              </w:rPr>
              <w:t>52</w:t>
            </w:r>
          </w:p>
        </w:tc>
        <w:tc>
          <w:tcPr>
            <w:tcW w:w="1220" w:type="dxa"/>
            <w:vAlign w:val="bottom"/>
            <w:gridSpan w:val="15"/>
          </w:tcPr>
          <w:p>
            <w:pPr>
              <w:jc w:val="right"/>
              <w:ind w:right="959"/>
              <w:spacing w:after="0" w:line="206" w:lineRule="exact"/>
              <w:rPr>
                <w:sz w:val="20"/>
                <w:szCs w:val="20"/>
                <w:color w:val="auto"/>
              </w:rPr>
            </w:pPr>
            <w:r>
              <w:rPr>
                <w:rFonts w:ascii="Times New Roman" w:cs="Times New Roman" w:eastAsia="Times New Roman" w:hAnsi="Times New Roman"/>
                <w:sz w:val="19"/>
                <w:szCs w:val="19"/>
                <w:color w:val="0000FF"/>
                <w:w w:val="73"/>
              </w:rPr>
              <w:t>62</w:t>
            </w:r>
          </w:p>
        </w:tc>
        <w:tc>
          <w:tcPr>
            <w:tcW w:w="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52</w:t>
            </w:r>
          </w:p>
        </w:tc>
        <w:tc>
          <w:tcPr>
            <w:tcW w:w="2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62</w:t>
            </w:r>
          </w:p>
        </w:tc>
        <w:tc>
          <w:tcPr>
            <w:tcW w:w="6700" w:type="dxa"/>
            <w:vAlign w:val="bottom"/>
            <w:gridSpan w:val="5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right w:val="single" w:sz="8" w:color="0000FF"/>
            </w:tcBorders>
            <w:gridSpan w:val="16"/>
          </w:tcPr>
          <w:p>
            <w:pPr>
              <w:spacing w:after="0" w:line="20" w:lineRule="exact"/>
              <w:rPr>
                <w:sz w:val="1"/>
                <w:szCs w:val="1"/>
                <w:color w:val="auto"/>
              </w:rPr>
            </w:pPr>
          </w:p>
        </w:tc>
        <w:tc>
          <w:tcPr>
            <w:tcW w:w="1160" w:type="dxa"/>
            <w:vAlign w:val="bottom"/>
            <w:tcBorders>
              <w:left w:val="single" w:sz="8" w:color="0000FF"/>
            </w:tcBorders>
            <w:gridSpan w:val="14"/>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52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6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9.1</w:t>
            </w:r>
          </w:p>
        </w:tc>
        <w:tc>
          <w:tcPr>
            <w:tcW w:w="1280" w:type="dxa"/>
            <w:vAlign w:val="bottom"/>
            <w:gridSpan w:val="15"/>
          </w:tcPr>
          <w:p>
            <w:pPr>
              <w:spacing w:after="0" w:line="207" w:lineRule="exact"/>
              <w:rPr>
                <w:sz w:val="20"/>
                <w:szCs w:val="20"/>
                <w:color w:val="auto"/>
              </w:rPr>
            </w:pPr>
            <w:r>
              <w:rPr>
                <w:rFonts w:ascii="Times New Roman" w:cs="Times New Roman" w:eastAsia="Times New Roman" w:hAnsi="Times New Roman"/>
                <w:sz w:val="20"/>
                <w:szCs w:val="20"/>
                <w:color w:val="0000FF"/>
              </w:rPr>
              <w:t>Issuing Lender.</w:t>
            </w:r>
          </w:p>
        </w:tc>
        <w:tc>
          <w:tcPr>
            <w:tcW w:w="60" w:type="dxa"/>
            <w:vAlign w:val="bottom"/>
            <w:vMerge w:val="continue"/>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gridSpan w:val="4"/>
          </w:tcPr>
          <w:p>
            <w:pPr>
              <w:spacing w:after="0"/>
              <w:rPr>
                <w:sz w:val="17"/>
                <w:szCs w:val="17"/>
                <w:color w:val="auto"/>
              </w:rPr>
            </w:pPr>
          </w:p>
        </w:tc>
        <w:tc>
          <w:tcPr>
            <w:tcW w:w="2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52</w:t>
            </w:r>
          </w:p>
        </w:tc>
        <w:tc>
          <w:tcPr>
            <w:tcW w:w="20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0000FF"/>
                <w:w w:val="89"/>
              </w:rPr>
              <w:t>62</w:t>
            </w:r>
          </w:p>
        </w:tc>
        <w:tc>
          <w:tcPr>
            <w:tcW w:w="5960" w:type="dxa"/>
            <w:vAlign w:val="bottom"/>
            <w:gridSpan w:val="3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gridSpan w:val="15"/>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16"/>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0" w:type="dxa"/>
            <w:vAlign w:val="bottom"/>
            <w:gridSpan w:val="7"/>
            <w:vMerge w:val="continue"/>
          </w:tcPr>
          <w:p>
            <w:pPr>
              <w:spacing w:after="0" w:line="20" w:lineRule="exact"/>
              <w:rPr>
                <w:sz w:val="1"/>
                <w:szCs w:val="1"/>
                <w:color w:val="auto"/>
              </w:rPr>
            </w:pPr>
          </w:p>
        </w:tc>
        <w:tc>
          <w:tcPr>
            <w:tcW w:w="200" w:type="dxa"/>
            <w:vAlign w:val="bottom"/>
            <w:gridSpan w:val="7"/>
            <w:vMerge w:val="continue"/>
          </w:tcPr>
          <w:p>
            <w:pPr>
              <w:spacing w:after="0" w:line="20" w:lineRule="exact"/>
              <w:rPr>
                <w:sz w:val="1"/>
                <w:szCs w:val="1"/>
                <w:color w:val="auto"/>
              </w:rPr>
            </w:pPr>
          </w:p>
        </w:tc>
        <w:tc>
          <w:tcPr>
            <w:tcW w:w="596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20"/>
                <w:szCs w:val="20"/>
                <w:color w:val="0000FF"/>
                <w:w w:val="96"/>
              </w:rPr>
              <w:t>Payments Free</w:t>
            </w:r>
          </w:p>
        </w:tc>
        <w:tc>
          <w:tcPr>
            <w:tcW w:w="780" w:type="dxa"/>
            <w:vAlign w:val="bottom"/>
            <w:tcBorders>
              <w:bottom w:val="single" w:sz="8" w:color="0000FF"/>
            </w:tcBorders>
            <w:gridSpan w:val="16"/>
          </w:tcPr>
          <w:p>
            <w:pPr>
              <w:jc w:val="center"/>
              <w:ind w:right="40"/>
              <w:spacing w:after="0" w:line="194" w:lineRule="exact"/>
              <w:rPr>
                <w:sz w:val="20"/>
                <w:szCs w:val="20"/>
                <w:color w:val="auto"/>
              </w:rPr>
            </w:pPr>
            <w:r>
              <w:rPr>
                <w:rFonts w:ascii="Times New Roman" w:cs="Times New Roman" w:eastAsia="Times New Roman" w:hAnsi="Times New Roman"/>
                <w:sz w:val="20"/>
                <w:szCs w:val="20"/>
                <w:color w:val="0000FF"/>
                <w:w w:val="99"/>
              </w:rPr>
              <w:t>of Taxes.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7"/>
            <w:vMerge w:val="continue"/>
          </w:tcPr>
          <w:p>
            <w:pPr>
              <w:spacing w:after="0"/>
              <w:rPr>
                <w:sz w:val="16"/>
                <w:szCs w:val="16"/>
                <w:color w:val="auto"/>
              </w:rPr>
            </w:pPr>
          </w:p>
        </w:tc>
        <w:tc>
          <w:tcPr>
            <w:tcW w:w="200" w:type="dxa"/>
            <w:vAlign w:val="bottom"/>
            <w:tcBorders>
              <w:bottom w:val="single" w:sz="8" w:color="0000FF"/>
            </w:tcBorders>
            <w:gridSpan w:val="7"/>
            <w:vMerge w:val="continue"/>
          </w:tcPr>
          <w:p>
            <w:pPr>
              <w:spacing w:after="0"/>
              <w:rPr>
                <w:sz w:val="16"/>
                <w:szCs w:val="16"/>
                <w:color w:val="auto"/>
              </w:rPr>
            </w:pPr>
          </w:p>
        </w:tc>
        <w:tc>
          <w:tcPr>
            <w:tcW w:w="1060" w:type="dxa"/>
            <w:vAlign w:val="bottom"/>
            <w:gridSpan w:val="15"/>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Loan Parties.</w:t>
            </w:r>
          </w:p>
        </w:tc>
        <w:tc>
          <w:tcPr>
            <w:tcW w:w="180" w:type="dxa"/>
            <w:vAlign w:val="bottom"/>
          </w:tcPr>
          <w:p>
            <w:pPr>
              <w:spacing w:after="0"/>
              <w:rPr>
                <w:sz w:val="16"/>
                <w:szCs w:val="16"/>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53</w:t>
            </w:r>
          </w:p>
        </w:tc>
        <w:tc>
          <w:tcPr>
            <w:tcW w:w="28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9"/>
                <w:szCs w:val="19"/>
                <w:color w:val="0000FF"/>
                <w:w w:val="73"/>
              </w:rPr>
              <w:t>62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28"/>
          </w:tcPr>
          <w:p>
            <w:pPr>
              <w:spacing w:after="0" w:line="207" w:lineRule="exact"/>
              <w:rPr>
                <w:sz w:val="20"/>
                <w:szCs w:val="20"/>
                <w:color w:val="auto"/>
              </w:rPr>
            </w:pPr>
            <w:r>
              <w:rPr>
                <w:rFonts w:ascii="Times New Roman" w:cs="Times New Roman" w:eastAsia="Times New Roman" w:hAnsi="Times New Roman"/>
                <w:sz w:val="20"/>
                <w:szCs w:val="20"/>
                <w:color w:val="0000FF"/>
                <w:w w:val="97"/>
              </w:rPr>
              <w:t>Payment of Other Taxes</w:t>
            </w:r>
          </w:p>
        </w:tc>
        <w:tc>
          <w:tcPr>
            <w:tcW w:w="560" w:type="dxa"/>
            <w:vAlign w:val="bottom"/>
            <w:gridSpan w:val="18"/>
          </w:tcPr>
          <w:p>
            <w:pPr>
              <w:spacing w:after="0" w:line="207" w:lineRule="exact"/>
              <w:rPr>
                <w:sz w:val="20"/>
                <w:szCs w:val="20"/>
                <w:color w:val="auto"/>
              </w:rPr>
            </w:pPr>
            <w:r>
              <w:rPr>
                <w:rFonts w:ascii="Times New Roman" w:cs="Times New Roman" w:eastAsia="Times New Roman" w:hAnsi="Times New Roman"/>
                <w:sz w:val="20"/>
                <w:szCs w:val="20"/>
                <w:color w:val="0000FF"/>
              </w:rPr>
              <w:t>by the</w:t>
            </w:r>
          </w:p>
        </w:tc>
        <w:tc>
          <w:tcPr>
            <w:tcW w:w="1060" w:type="dxa"/>
            <w:vAlign w:val="bottom"/>
            <w:gridSpan w:val="15"/>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top w:val="single" w:sz="8" w:color="0000FF"/>
            </w:tcBorders>
            <w:gridSpan w:val="56"/>
          </w:tcPr>
          <w:p>
            <w:pPr>
              <w:spacing w:after="0" w:line="207" w:lineRule="exact"/>
              <w:rPr>
                <w:sz w:val="20"/>
                <w:szCs w:val="20"/>
                <w:color w:val="auto"/>
              </w:rPr>
            </w:pPr>
            <w:r>
              <w:rPr>
                <w:rFonts w:ascii="Times New Roman" w:cs="Times New Roman" w:eastAsia="Times New Roman" w:hAnsi="Times New Roman"/>
                <w:sz w:val="20"/>
                <w:szCs w:val="20"/>
                <w:color w:val="0000FF"/>
              </w:rPr>
              <w:t>Indemnification by the Loan Parties.</w:t>
            </w:r>
          </w:p>
        </w:tc>
        <w:tc>
          <w:tcPr>
            <w:tcW w:w="160" w:type="dxa"/>
            <w:vAlign w:val="bottom"/>
            <w:tcBorders>
              <w:top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9"/>
                <w:szCs w:val="19"/>
                <w:color w:val="FF0000"/>
                <w:strike w:val="1"/>
                <w:w w:val="73"/>
              </w:rPr>
              <w:t>53</w:t>
            </w:r>
          </w:p>
        </w:tc>
        <w:tc>
          <w:tcPr>
            <w:tcW w:w="22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w w:val="99"/>
              </w:rPr>
              <w:t>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0000FF"/>
            </w:tcBorders>
            <w:gridSpan w:val="4"/>
          </w:tcPr>
          <w:p>
            <w:pPr>
              <w:spacing w:after="0" w:line="194"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Borders>
              <w:top w:val="single" w:sz="8" w:color="0000FF"/>
            </w:tcBorders>
            <w:gridSpan w:val="50"/>
          </w:tcPr>
          <w:p>
            <w:pPr>
              <w:spacing w:after="0" w:line="194" w:lineRule="exact"/>
              <w:rPr>
                <w:sz w:val="20"/>
                <w:szCs w:val="20"/>
                <w:color w:val="auto"/>
              </w:rPr>
            </w:pPr>
            <w:r>
              <w:rPr>
                <w:rFonts w:ascii="Times New Roman" w:cs="Times New Roman" w:eastAsia="Times New Roman" w:hAnsi="Times New Roman"/>
                <w:sz w:val="20"/>
                <w:szCs w:val="20"/>
                <w:color w:val="0000FF"/>
              </w:rPr>
              <w:t>Indemnification by the Lenders.</w:t>
            </w:r>
          </w:p>
        </w:tc>
        <w:tc>
          <w:tcPr>
            <w:tcW w:w="180" w:type="dxa"/>
            <w:vAlign w:val="bottom"/>
            <w:tcBorders>
              <w:top w:val="single" w:sz="8" w:color="0000FF"/>
            </w:tcBorders>
            <w:gridSpan w:val="3"/>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79"/>
              </w:rPr>
              <w:t>53</w:t>
            </w:r>
          </w:p>
        </w:tc>
        <w:tc>
          <w:tcPr>
            <w:tcW w:w="40" w:type="dxa"/>
            <w:vAlign w:val="bottom"/>
          </w:tcPr>
          <w:p>
            <w:pPr>
              <w:spacing w:after="0"/>
              <w:rPr>
                <w:sz w:val="16"/>
                <w:szCs w:val="16"/>
                <w:color w:val="auto"/>
              </w:rPr>
            </w:pPr>
          </w:p>
        </w:tc>
        <w:tc>
          <w:tcPr>
            <w:tcW w:w="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20"/>
                <w:szCs w:val="20"/>
                <w:color w:val="0000FF"/>
                <w:w w:val="99"/>
              </w:rPr>
              <w:t>62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gridSpan w:val="9"/>
          </w:tcPr>
          <w:p>
            <w:pPr>
              <w:spacing w:after="0"/>
              <w:rPr>
                <w:sz w:val="17"/>
                <w:szCs w:val="17"/>
                <w:color w:val="auto"/>
              </w:rPr>
            </w:pPr>
          </w:p>
        </w:tc>
        <w:tc>
          <w:tcPr>
            <w:tcW w:w="440" w:type="dxa"/>
            <w:vAlign w:val="bottom"/>
            <w:tcBorders>
              <w:top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9.6</w:t>
            </w:r>
          </w:p>
        </w:tc>
        <w:tc>
          <w:tcPr>
            <w:tcW w:w="220" w:type="dxa"/>
            <w:vAlign w:val="bottom"/>
            <w:gridSpan w:val="2"/>
          </w:tcPr>
          <w:p>
            <w:pPr>
              <w:spacing w:after="0"/>
              <w:rPr>
                <w:sz w:val="17"/>
                <w:szCs w:val="17"/>
                <w:color w:val="auto"/>
              </w:rPr>
            </w:pPr>
          </w:p>
        </w:tc>
        <w:tc>
          <w:tcPr>
            <w:tcW w:w="1960" w:type="dxa"/>
            <w:vAlign w:val="bottom"/>
            <w:tcBorders>
              <w:top w:val="single" w:sz="8" w:color="0000FF"/>
            </w:tcBorders>
            <w:gridSpan w:val="29"/>
          </w:tcPr>
          <w:p>
            <w:pPr>
              <w:spacing w:after="0" w:line="207" w:lineRule="exact"/>
              <w:rPr>
                <w:sz w:val="20"/>
                <w:szCs w:val="20"/>
                <w:color w:val="auto"/>
              </w:rPr>
            </w:pPr>
            <w:r>
              <w:rPr>
                <w:rFonts w:ascii="Times New Roman" w:cs="Times New Roman" w:eastAsia="Times New Roman" w:hAnsi="Times New Roman"/>
                <w:sz w:val="20"/>
                <w:szCs w:val="20"/>
                <w:color w:val="0000FF"/>
              </w:rPr>
              <w:t>Evidence of Payments.</w:t>
            </w:r>
          </w:p>
        </w:tc>
        <w:tc>
          <w:tcPr>
            <w:tcW w:w="220" w:type="dxa"/>
            <w:vAlign w:val="bottom"/>
            <w:tcBorders>
              <w:top w:val="single" w:sz="8" w:color="0000FF"/>
            </w:tcBorders>
            <w:gridSpan w:val="7"/>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99"/>
              </w:rPr>
              <w:t>53</w:t>
            </w:r>
          </w:p>
        </w:tc>
        <w:tc>
          <w:tcPr>
            <w:tcW w:w="360" w:type="dxa"/>
            <w:vAlign w:val="bottom"/>
            <w:tcBorders>
              <w:top w:val="single" w:sz="8" w:color="0000FF"/>
            </w:tcBorders>
            <w:gridSpan w:val="11"/>
          </w:tcPr>
          <w:p>
            <w:pPr>
              <w:jc w:val="right"/>
              <w:ind w:right="59"/>
              <w:spacing w:after="0" w:line="207" w:lineRule="exact"/>
              <w:rPr>
                <w:sz w:val="20"/>
                <w:szCs w:val="20"/>
                <w:color w:val="auto"/>
              </w:rPr>
            </w:pPr>
            <w:r>
              <w:rPr>
                <w:rFonts w:ascii="Times New Roman" w:cs="Times New Roman" w:eastAsia="Times New Roman" w:hAnsi="Times New Roman"/>
                <w:sz w:val="20"/>
                <w:szCs w:val="20"/>
                <w:color w:val="0000FF"/>
                <w:w w:val="89"/>
              </w:rPr>
              <w:t>63</w:t>
            </w:r>
          </w:p>
        </w:tc>
        <w:tc>
          <w:tcPr>
            <w:tcW w:w="360" w:type="dxa"/>
            <w:vAlign w:val="bottom"/>
            <w:gridSpan w:val="7"/>
          </w:tcPr>
          <w:p>
            <w:pPr>
              <w:spacing w:after="0"/>
              <w:rPr>
                <w:sz w:val="17"/>
                <w:szCs w:val="17"/>
                <w:color w:val="auto"/>
              </w:rPr>
            </w:pPr>
          </w:p>
        </w:tc>
        <w:tc>
          <w:tcPr>
            <w:tcW w:w="200" w:type="dxa"/>
            <w:vAlign w:val="bottom"/>
            <w:tcBorders>
              <w:top w:val="single" w:sz="8" w:color="0000FF"/>
            </w:tcBorders>
            <w:gridSpan w:val="2"/>
          </w:tcPr>
          <w:p>
            <w:pPr>
              <w:spacing w:after="0"/>
              <w:rPr>
                <w:sz w:val="17"/>
                <w:szCs w:val="17"/>
                <w:color w:val="auto"/>
              </w:rPr>
            </w:pPr>
          </w:p>
        </w:tc>
        <w:tc>
          <w:tcPr>
            <w:tcW w:w="53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9"/>
          </w:tcPr>
          <w:p>
            <w:pPr>
              <w:spacing w:after="0"/>
              <w:rPr>
                <w:sz w:val="17"/>
                <w:szCs w:val="17"/>
                <w:color w:val="auto"/>
              </w:rPr>
            </w:pPr>
          </w:p>
        </w:tc>
        <w:tc>
          <w:tcPr>
            <w:tcW w:w="440" w:type="dxa"/>
            <w:vAlign w:val="bottom"/>
            <w:tcBorders>
              <w:top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9.7</w:t>
            </w:r>
          </w:p>
        </w:tc>
        <w:tc>
          <w:tcPr>
            <w:tcW w:w="220" w:type="dxa"/>
            <w:vAlign w:val="bottom"/>
            <w:gridSpan w:val="2"/>
          </w:tcPr>
          <w:p>
            <w:pPr>
              <w:spacing w:after="0"/>
              <w:rPr>
                <w:sz w:val="17"/>
                <w:szCs w:val="17"/>
                <w:color w:val="auto"/>
              </w:rPr>
            </w:pPr>
          </w:p>
        </w:tc>
        <w:tc>
          <w:tcPr>
            <w:tcW w:w="1560" w:type="dxa"/>
            <w:vAlign w:val="bottom"/>
            <w:tcBorders>
              <w:top w:val="single" w:sz="8" w:color="0000FF"/>
            </w:tcBorders>
            <w:gridSpan w:val="21"/>
          </w:tcPr>
          <w:p>
            <w:pPr>
              <w:spacing w:after="0" w:line="207" w:lineRule="exact"/>
              <w:rPr>
                <w:sz w:val="20"/>
                <w:szCs w:val="20"/>
                <w:color w:val="auto"/>
              </w:rPr>
            </w:pPr>
            <w:r>
              <w:rPr>
                <w:rFonts w:ascii="Times New Roman" w:cs="Times New Roman" w:eastAsia="Times New Roman" w:hAnsi="Times New Roman"/>
                <w:sz w:val="20"/>
                <w:szCs w:val="20"/>
                <w:color w:val="0000FF"/>
              </w:rPr>
              <w:t>Status of Lenders.</w:t>
            </w:r>
          </w:p>
        </w:tc>
        <w:tc>
          <w:tcPr>
            <w:tcW w:w="200" w:type="dxa"/>
            <w:vAlign w:val="bottom"/>
            <w:tcBorders>
              <w:top w:val="single" w:sz="8" w:color="0000FF"/>
            </w:tcBorders>
            <w:gridSpan w:val="5"/>
          </w:tcPr>
          <w:p>
            <w:pPr>
              <w:jc w:val="center"/>
              <w:spacing w:after="0" w:line="207" w:lineRule="exact"/>
              <w:rPr>
                <w:sz w:val="20"/>
                <w:szCs w:val="20"/>
                <w:color w:val="auto"/>
              </w:rPr>
            </w:pPr>
            <w:r>
              <w:rPr>
                <w:rFonts w:ascii="Times New Roman" w:cs="Times New Roman" w:eastAsia="Times New Roman" w:hAnsi="Times New Roman"/>
                <w:sz w:val="20"/>
                <w:szCs w:val="20"/>
                <w:color w:val="FF0000"/>
                <w:strike w:val="1"/>
                <w:w w:val="99"/>
              </w:rPr>
              <w:t>53</w:t>
            </w:r>
          </w:p>
        </w:tc>
        <w:tc>
          <w:tcPr>
            <w:tcW w:w="420" w:type="dxa"/>
            <w:vAlign w:val="bottom"/>
            <w:gridSpan w:val="10"/>
          </w:tcPr>
          <w:p>
            <w:pPr>
              <w:jc w:val="right"/>
              <w:ind w:right="324"/>
              <w:spacing w:after="0"/>
              <w:rPr>
                <w:sz w:val="20"/>
                <w:szCs w:val="20"/>
                <w:color w:val="auto"/>
              </w:rPr>
            </w:pPr>
            <w:r>
              <w:rPr>
                <w:rFonts w:ascii="Times New Roman" w:cs="Times New Roman" w:eastAsia="Times New Roman" w:hAnsi="Times New Roman"/>
                <w:sz w:val="20"/>
                <w:szCs w:val="20"/>
                <w:color w:val="0000FF"/>
              </w:rPr>
              <w:t>63</w:t>
            </w:r>
          </w:p>
        </w:tc>
        <w:tc>
          <w:tcPr>
            <w:tcW w:w="160" w:type="dxa"/>
            <w:vAlign w:val="bottom"/>
            <w:tcBorders>
              <w:top w:val="single" w:sz="8" w:color="0000FF"/>
            </w:tcBorders>
            <w:gridSpan w:val="5"/>
          </w:tcPr>
          <w:p>
            <w:pPr>
              <w:spacing w:after="0"/>
              <w:rPr>
                <w:sz w:val="17"/>
                <w:szCs w:val="17"/>
                <w:color w:val="auto"/>
              </w:rPr>
            </w:pPr>
          </w:p>
        </w:tc>
        <w:tc>
          <w:tcPr>
            <w:tcW w:w="240" w:type="dxa"/>
            <w:vAlign w:val="bottom"/>
            <w:gridSpan w:val="7"/>
          </w:tcPr>
          <w:p>
            <w:pPr>
              <w:spacing w:after="0"/>
              <w:rPr>
                <w:sz w:val="17"/>
                <w:szCs w:val="17"/>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55</w:t>
            </w:r>
          </w:p>
        </w:tc>
        <w:tc>
          <w:tcPr>
            <w:tcW w:w="32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20"/>
                <w:szCs w:val="20"/>
                <w:color w:val="0000FF"/>
                <w:w w:val="89"/>
              </w:rPr>
              <w:t>65</w:t>
            </w:r>
          </w:p>
        </w:tc>
        <w:tc>
          <w:tcPr>
            <w:tcW w:w="53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FF"/>
            </w:tcBorders>
            <w:gridSpan w:val="15"/>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34"/>
            <w:shd w:val="clear" w:color="auto" w:fill="0000FF"/>
          </w:tcPr>
          <w:p>
            <w:pPr>
              <w:spacing w:after="0" w:line="20" w:lineRule="exact"/>
              <w:rPr>
                <w:sz w:val="1"/>
                <w:szCs w:val="1"/>
                <w:color w:val="auto"/>
              </w:rPr>
            </w:pPr>
          </w:p>
        </w:tc>
        <w:tc>
          <w:tcPr>
            <w:tcW w:w="120" w:type="dxa"/>
            <w:vAlign w:val="bottom"/>
            <w:gridSpan w:val="4"/>
            <w:vMerge w:val="restart"/>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320" w:type="dxa"/>
            <w:vAlign w:val="bottom"/>
            <w:gridSpan w:val="5"/>
            <w:vMerge w:val="continue"/>
          </w:tcPr>
          <w:p>
            <w:pPr>
              <w:spacing w:after="0" w:line="20" w:lineRule="exact"/>
              <w:rPr>
                <w:sz w:val="1"/>
                <w:szCs w:val="1"/>
                <w:color w:val="auto"/>
              </w:rPr>
            </w:pPr>
          </w:p>
        </w:tc>
        <w:tc>
          <w:tcPr>
            <w:tcW w:w="5360" w:type="dxa"/>
            <w:vAlign w:val="bottom"/>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4"/>
          </w:tcPr>
          <w:p>
            <w:pPr>
              <w:spacing w:after="0" w:line="194"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44"/>
          </w:tcPr>
          <w:p>
            <w:pPr>
              <w:spacing w:after="0" w:line="194" w:lineRule="exact"/>
              <w:rPr>
                <w:sz w:val="20"/>
                <w:szCs w:val="20"/>
                <w:color w:val="auto"/>
              </w:rPr>
            </w:pPr>
            <w:r>
              <w:rPr>
                <w:rFonts w:ascii="Times New Roman" w:cs="Times New Roman" w:eastAsia="Times New Roman" w:hAnsi="Times New Roman"/>
                <w:sz w:val="20"/>
                <w:szCs w:val="20"/>
                <w:color w:val="0000FF"/>
                <w:w w:val="99"/>
              </w:rPr>
              <w:t>Treatment of Certain Refunds.</w:t>
            </w:r>
          </w:p>
        </w:tc>
        <w:tc>
          <w:tcPr>
            <w:tcW w:w="120" w:type="dxa"/>
            <w:vAlign w:val="bottom"/>
            <w:gridSpan w:val="4"/>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3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20" w:type="dxa"/>
            <w:vAlign w:val="bottom"/>
            <w:gridSpan w:val="7"/>
            <w:vMerge w:val="restart"/>
          </w:tcPr>
          <w:p>
            <w:pPr>
              <w:ind w:left="60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10</w:t>
            </w:r>
          </w:p>
        </w:tc>
        <w:tc>
          <w:tcPr>
            <w:tcW w:w="180" w:type="dxa"/>
            <w:vAlign w:val="bottom"/>
            <w:gridSpan w:val="2"/>
          </w:tcPr>
          <w:p>
            <w:pPr>
              <w:spacing w:after="0"/>
              <w:rPr>
                <w:sz w:val="17"/>
                <w:szCs w:val="17"/>
                <w:color w:val="auto"/>
              </w:rPr>
            </w:pPr>
          </w:p>
        </w:tc>
        <w:tc>
          <w:tcPr>
            <w:tcW w:w="440" w:type="dxa"/>
            <w:vAlign w:val="bottom"/>
            <w:tcBorders>
              <w:top w:val="single" w:sz="8" w:color="0000FF"/>
              <w:bottom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9.9</w:t>
            </w:r>
          </w:p>
        </w:tc>
        <w:tc>
          <w:tcPr>
            <w:tcW w:w="220" w:type="dxa"/>
            <w:vAlign w:val="bottom"/>
            <w:gridSpan w:val="2"/>
          </w:tcPr>
          <w:p>
            <w:pPr>
              <w:spacing w:after="0"/>
              <w:rPr>
                <w:sz w:val="17"/>
                <w:szCs w:val="17"/>
                <w:color w:val="auto"/>
              </w:rPr>
            </w:pPr>
          </w:p>
        </w:tc>
        <w:tc>
          <w:tcPr>
            <w:tcW w:w="600" w:type="dxa"/>
            <w:vAlign w:val="bottom"/>
            <w:tcBorders>
              <w:top w:val="single" w:sz="8" w:color="0000FF"/>
              <w:bottom w:val="single" w:sz="8" w:color="0000FF"/>
            </w:tcBorders>
            <w:gridSpan w:val="7"/>
          </w:tcPr>
          <w:p>
            <w:pPr>
              <w:spacing w:after="0" w:line="207" w:lineRule="exact"/>
              <w:rPr>
                <w:sz w:val="20"/>
                <w:szCs w:val="20"/>
                <w:color w:val="auto"/>
              </w:rPr>
            </w:pPr>
            <w:r>
              <w:rPr>
                <w:rFonts w:ascii="Times New Roman" w:cs="Times New Roman" w:eastAsia="Times New Roman" w:hAnsi="Times New Roman"/>
                <w:sz w:val="20"/>
                <w:szCs w:val="20"/>
                <w:color w:val="0000FF"/>
                <w:w w:val="76"/>
              </w:rPr>
              <w:t>Survival.</w:t>
            </w:r>
          </w:p>
        </w:tc>
        <w:tc>
          <w:tcPr>
            <w:tcW w:w="480" w:type="dxa"/>
            <w:vAlign w:val="bottom"/>
            <w:tcBorders>
              <w:top w:val="single" w:sz="8" w:color="0000FF"/>
            </w:tcBorders>
            <w:gridSpan w:val="3"/>
          </w:tcPr>
          <w:p>
            <w:pPr>
              <w:jc w:val="right"/>
              <w:ind w:right="379"/>
              <w:spacing w:after="0"/>
              <w:rPr>
                <w:sz w:val="20"/>
                <w:szCs w:val="20"/>
                <w:color w:val="auto"/>
              </w:rPr>
            </w:pPr>
            <w:r>
              <w:rPr>
                <w:rFonts w:ascii="Times New Roman" w:cs="Times New Roman" w:eastAsia="Times New Roman" w:hAnsi="Times New Roman"/>
                <w:sz w:val="20"/>
                <w:szCs w:val="20"/>
                <w:color w:val="FF0000"/>
                <w:strike w:val="1"/>
              </w:rPr>
              <w:t>56</w:t>
            </w:r>
          </w:p>
        </w:tc>
        <w:tc>
          <w:tcPr>
            <w:tcW w:w="180" w:type="dxa"/>
            <w:vAlign w:val="bottom"/>
            <w:tcBorders>
              <w:top w:val="single" w:sz="8" w:color="0000FF"/>
              <w:bottom w:val="single" w:sz="8" w:color="0000FF"/>
            </w:tcBorders>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0000FF"/>
                <w:w w:val="79"/>
              </w:rPr>
              <w:t>65</w:t>
            </w:r>
          </w:p>
        </w:tc>
        <w:tc>
          <w:tcPr>
            <w:tcW w:w="1080" w:type="dxa"/>
            <w:vAlign w:val="bottom"/>
            <w:tcBorders>
              <w:top w:val="single" w:sz="8" w:color="0000FF"/>
            </w:tcBorders>
            <w:gridSpan w:val="27"/>
          </w:tcPr>
          <w:p>
            <w:pPr>
              <w:spacing w:after="0"/>
              <w:rPr>
                <w:sz w:val="17"/>
                <w:szCs w:val="17"/>
                <w:color w:val="auto"/>
              </w:rPr>
            </w:pPr>
          </w:p>
        </w:tc>
        <w:tc>
          <w:tcPr>
            <w:tcW w:w="440" w:type="dxa"/>
            <w:vAlign w:val="bottom"/>
            <w:gridSpan w:val="10"/>
          </w:tcPr>
          <w:p>
            <w:pPr>
              <w:spacing w:after="0"/>
              <w:rPr>
                <w:sz w:val="17"/>
                <w:szCs w:val="17"/>
                <w:color w:val="auto"/>
              </w:rPr>
            </w:pPr>
          </w:p>
        </w:tc>
        <w:tc>
          <w:tcPr>
            <w:tcW w:w="200" w:type="dxa"/>
            <w:vAlign w:val="bottom"/>
            <w:tcBorders>
              <w:top w:val="single" w:sz="8" w:color="0000FF"/>
            </w:tcBorders>
            <w:gridSpan w:val="4"/>
          </w:tcPr>
          <w:p>
            <w:pPr>
              <w:spacing w:after="0"/>
              <w:rPr>
                <w:sz w:val="17"/>
                <w:szCs w:val="17"/>
                <w:color w:val="auto"/>
              </w:rPr>
            </w:pPr>
          </w:p>
        </w:tc>
        <w:tc>
          <w:tcPr>
            <w:tcW w:w="54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gridSpan w:val="7"/>
            <w:vMerge w:val="continue"/>
          </w:tcPr>
          <w:p>
            <w:pPr>
              <w:spacing w:after="0"/>
              <w:rPr>
                <w:sz w:val="17"/>
                <w:szCs w:val="17"/>
                <w:color w:val="auto"/>
              </w:rPr>
            </w:pPr>
          </w:p>
        </w:tc>
        <w:tc>
          <w:tcPr>
            <w:tcW w:w="118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Indemnity.</w:t>
            </w:r>
          </w:p>
        </w:tc>
        <w:tc>
          <w:tcPr>
            <w:tcW w:w="260" w:type="dxa"/>
            <w:vAlign w:val="bottom"/>
            <w:gridSpan w:val="3"/>
          </w:tcPr>
          <w:p>
            <w:pPr>
              <w:jc w:val="right"/>
              <w:ind w:right="60"/>
              <w:spacing w:after="0" w:line="207" w:lineRule="exact"/>
              <w:rPr>
                <w:sz w:val="20"/>
                <w:szCs w:val="20"/>
                <w:color w:val="auto"/>
              </w:rPr>
            </w:pPr>
            <w:r>
              <w:rPr>
                <w:rFonts w:ascii="Times New Roman" w:cs="Times New Roman" w:eastAsia="Times New Roman" w:hAnsi="Times New Roman"/>
                <w:sz w:val="20"/>
                <w:szCs w:val="20"/>
                <w:color w:val="FF0000"/>
                <w:strike w:val="1"/>
                <w:w w:val="89"/>
              </w:rPr>
              <w:t>56</w:t>
            </w:r>
          </w:p>
        </w:tc>
        <w:tc>
          <w:tcPr>
            <w:tcW w:w="7860" w:type="dxa"/>
            <w:vAlign w:val="bottom"/>
            <w:gridSpan w:val="78"/>
          </w:tcPr>
          <w:p>
            <w:pPr>
              <w:jc w:val="right"/>
              <w:ind w:right="7720"/>
              <w:spacing w:after="0"/>
              <w:rPr>
                <w:sz w:val="20"/>
                <w:szCs w:val="20"/>
                <w:color w:val="auto"/>
              </w:rPr>
            </w:pPr>
            <w:r>
              <w:rPr>
                <w:rFonts w:ascii="Times New Roman" w:cs="Times New Roman" w:eastAsia="Times New Roman" w:hAnsi="Times New Roman"/>
                <w:sz w:val="17"/>
                <w:szCs w:val="17"/>
                <w:color w:val="0000FF"/>
                <w:w w:val="70"/>
              </w:rPr>
              <w:t>66</w:t>
            </w:r>
          </w:p>
        </w:tc>
        <w:tc>
          <w:tcPr>
            <w:tcW w:w="0" w:type="dxa"/>
            <w:vAlign w:val="bottom"/>
          </w:tcPr>
          <w:p>
            <w:pPr>
              <w:spacing w:after="0"/>
              <w:rPr>
                <w:sz w:val="1"/>
                <w:szCs w:val="1"/>
                <w:color w:val="auto"/>
              </w:rPr>
            </w:pPr>
          </w:p>
        </w:tc>
      </w:tr>
      <w:tr>
        <w:trPr>
          <w:trHeight w:val="20"/>
        </w:trPr>
        <w:tc>
          <w:tcPr>
            <w:tcW w:w="1620" w:type="dxa"/>
            <w:vAlign w:val="bottom"/>
            <w:tcBorders>
              <w:right w:val="single" w:sz="8" w:color="0000FF"/>
            </w:tcBorders>
            <w:gridSpan w:val="12"/>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720" w:type="dxa"/>
            <w:vAlign w:val="bottom"/>
            <w:gridSpan w:val="7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320" w:top="1440" w:right="12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0320"/>
          </w:cols>
          <w:pgMar w:left="320" w:top="1440" w:right="1259" w:bottom="1440" w:gutter="0" w:footer="0" w:header="0"/>
          <w:type w:val="continuous"/>
        </w:sectPr>
      </w:pPr>
    </w:p>
    <w:bookmarkStart w:id="89" w:name="page90"/>
    <w:bookmarkEnd w:id="89"/>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8"/>
        </w:trPr>
        <w:tc>
          <w:tcPr>
            <w:tcW w:w="160" w:type="dxa"/>
            <w:vAlign w:val="bottom"/>
          </w:tcPr>
          <w:p>
            <w:pPr>
              <w:spacing w:after="0"/>
              <w:rPr>
                <w:sz w:val="3"/>
                <w:szCs w:val="3"/>
                <w:color w:val="auto"/>
              </w:rPr>
            </w:pPr>
          </w:p>
        </w:tc>
        <w:tc>
          <w:tcPr>
            <w:tcW w:w="780" w:type="dxa"/>
            <w:vAlign w:val="bottom"/>
            <w:gridSpan w:val="4"/>
            <w:vMerge w:val="restart"/>
          </w:tcPr>
          <w:p>
            <w:pPr>
              <w:ind w:left="440"/>
              <w:spacing w:after="0"/>
              <w:rPr>
                <w:sz w:val="20"/>
                <w:szCs w:val="20"/>
                <w:color w:val="auto"/>
              </w:rPr>
            </w:pPr>
            <w:r>
              <w:rPr>
                <w:rFonts w:ascii="Times New Roman" w:cs="Times New Roman" w:eastAsia="Times New Roman" w:hAnsi="Times New Roman"/>
                <w:sz w:val="20"/>
                <w:szCs w:val="20"/>
                <w:color w:val="0000FF"/>
                <w:w w:val="91"/>
              </w:rPr>
              <w:t>5.</w:t>
            </w:r>
            <w:r>
              <w:rPr>
                <w:rFonts w:ascii="Times New Roman" w:cs="Times New Roman" w:eastAsia="Times New Roman" w:hAnsi="Times New Roman"/>
                <w:sz w:val="20"/>
                <w:szCs w:val="20"/>
                <w:u w:val="single" w:color="auto"/>
                <w:color w:val="0000FF"/>
                <w:w w:val="91"/>
              </w:rPr>
              <w:t>11</w:t>
            </w:r>
          </w:p>
        </w:tc>
        <w:tc>
          <w:tcPr>
            <w:tcW w:w="80" w:type="dxa"/>
            <w:vAlign w:val="bottom"/>
            <w:vMerge w:val="restart"/>
          </w:tcPr>
          <w:p>
            <w:pPr>
              <w:spacing w:after="0"/>
              <w:rPr>
                <w:sz w:val="3"/>
                <w:szCs w:val="3"/>
                <w:color w:val="auto"/>
              </w:rPr>
            </w:pPr>
          </w:p>
        </w:tc>
        <w:tc>
          <w:tcPr>
            <w:tcW w:w="2600" w:type="dxa"/>
            <w:vAlign w:val="bottom"/>
            <w:gridSpan w:val="30"/>
            <w:vMerge w:val="restart"/>
          </w:tcPr>
          <w:p>
            <w:pPr>
              <w:ind w:left="100"/>
              <w:spacing w:after="0"/>
              <w:rPr>
                <w:sz w:val="20"/>
                <w:szCs w:val="20"/>
                <w:color w:val="auto"/>
              </w:rPr>
            </w:pPr>
            <w:r>
              <w:rPr>
                <w:rFonts w:ascii="Times New Roman" w:cs="Times New Roman" w:eastAsia="Times New Roman" w:hAnsi="Times New Roman"/>
                <w:sz w:val="20"/>
                <w:szCs w:val="20"/>
                <w:color w:val="0000FF"/>
              </w:rPr>
              <w:t>Settlement Date Procedures.</w:t>
            </w: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79"/>
              </w:rPr>
              <w:t>57</w:t>
            </w:r>
          </w:p>
        </w:tc>
        <w:tc>
          <w:tcPr>
            <w:tcW w:w="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66</w:t>
            </w:r>
          </w:p>
        </w:tc>
        <w:tc>
          <w:tcPr>
            <w:tcW w:w="10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6240" w:type="dxa"/>
            <w:vAlign w:val="bottom"/>
            <w:gridSpan w:val="4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0" w:type="dxa"/>
            <w:vAlign w:val="bottom"/>
            <w:gridSpan w:val="30"/>
            <w:vMerge w:val="continue"/>
          </w:tcPr>
          <w:p>
            <w:pPr>
              <w:spacing w:after="0"/>
              <w:rPr>
                <w:sz w:val="16"/>
                <w:szCs w:val="16"/>
                <w:color w:val="auto"/>
              </w:rPr>
            </w:pPr>
          </w:p>
        </w:tc>
        <w:tc>
          <w:tcPr>
            <w:tcW w:w="180" w:type="dxa"/>
            <w:vAlign w:val="bottom"/>
            <w:gridSpan w:val="4"/>
            <w:vMerge w:val="continue"/>
          </w:tcPr>
          <w:p>
            <w:pPr>
              <w:spacing w:after="0"/>
              <w:rPr>
                <w:sz w:val="16"/>
                <w:szCs w:val="16"/>
                <w:color w:val="auto"/>
              </w:rPr>
            </w:pPr>
          </w:p>
        </w:tc>
        <w:tc>
          <w:tcPr>
            <w:tcW w:w="14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240" w:type="dxa"/>
            <w:vAlign w:val="bottom"/>
            <w:gridSpan w:val="4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0" w:type="dxa"/>
            <w:vAlign w:val="bottom"/>
            <w:gridSpan w:val="3"/>
          </w:tcPr>
          <w:p>
            <w:pPr>
              <w:spacing w:after="0"/>
              <w:rPr>
                <w:sz w:val="17"/>
                <w:szCs w:val="17"/>
                <w:color w:val="auto"/>
              </w:rPr>
            </w:pPr>
          </w:p>
        </w:tc>
        <w:tc>
          <w:tcPr>
            <w:tcW w:w="340" w:type="dxa"/>
            <w:vAlign w:val="bottom"/>
            <w:tcBorders>
              <w:top w:val="single" w:sz="8" w:color="0000FF"/>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1"/>
              </w:rPr>
              <w:t>5.</w:t>
            </w:r>
            <w:r>
              <w:rPr>
                <w:rFonts w:ascii="Times New Roman" w:cs="Times New Roman" w:eastAsia="Times New Roman" w:hAnsi="Times New Roman"/>
                <w:sz w:val="20"/>
                <w:szCs w:val="20"/>
                <w:u w:val="single" w:color="auto"/>
                <w:color w:val="0000FF"/>
                <w:w w:val="91"/>
              </w:rPr>
              <w:t>12</w:t>
            </w:r>
          </w:p>
        </w:tc>
        <w:tc>
          <w:tcPr>
            <w:tcW w:w="180" w:type="dxa"/>
            <w:vAlign w:val="bottom"/>
            <w:tcBorders>
              <w:bottom w:val="single" w:sz="8" w:color="0000FF"/>
            </w:tcBorders>
            <w:gridSpan w:val="2"/>
          </w:tcPr>
          <w:p>
            <w:pPr>
              <w:spacing w:after="0"/>
              <w:rPr>
                <w:sz w:val="17"/>
                <w:szCs w:val="17"/>
                <w:color w:val="auto"/>
              </w:rPr>
            </w:pPr>
          </w:p>
        </w:tc>
        <w:tc>
          <w:tcPr>
            <w:tcW w:w="2280" w:type="dxa"/>
            <w:vAlign w:val="bottom"/>
            <w:tcBorders>
              <w:top w:val="single" w:sz="8" w:color="0000FF"/>
              <w:bottom w:val="single" w:sz="8" w:color="0000FF"/>
            </w:tcBorders>
            <w:gridSpan w:val="22"/>
          </w:tcPr>
          <w:p>
            <w:pPr>
              <w:jc w:val="center"/>
              <w:ind w:right="99"/>
              <w:spacing w:after="0" w:line="207" w:lineRule="exact"/>
              <w:rPr>
                <w:sz w:val="20"/>
                <w:szCs w:val="20"/>
                <w:color w:val="auto"/>
              </w:rPr>
            </w:pPr>
            <w:r>
              <w:rPr>
                <w:rFonts w:ascii="Times New Roman" w:cs="Times New Roman" w:eastAsia="Times New Roman" w:hAnsi="Times New Roman"/>
                <w:sz w:val="20"/>
                <w:szCs w:val="20"/>
                <w:color w:val="0000FF"/>
              </w:rPr>
              <w:t>Replacement of a Lender.</w:t>
            </w:r>
          </w:p>
        </w:tc>
        <w:tc>
          <w:tcPr>
            <w:tcW w:w="220" w:type="dxa"/>
            <w:vAlign w:val="bottom"/>
            <w:tcBorders>
              <w:bottom w:val="single" w:sz="8" w:color="0000FF"/>
            </w:tcBorders>
            <w:gridSpan w:val="7"/>
          </w:tcPr>
          <w:p>
            <w:pPr>
              <w:jc w:val="center"/>
              <w:spacing w:after="0" w:line="207" w:lineRule="exact"/>
              <w:rPr>
                <w:sz w:val="20"/>
                <w:szCs w:val="20"/>
                <w:color w:val="auto"/>
              </w:rPr>
            </w:pPr>
            <w:r>
              <w:rPr>
                <w:rFonts w:ascii="Times New Roman" w:cs="Times New Roman" w:eastAsia="Times New Roman" w:hAnsi="Times New Roman"/>
                <w:sz w:val="20"/>
                <w:szCs w:val="20"/>
                <w:color w:val="0000FF"/>
                <w:w w:val="99"/>
              </w:rPr>
              <w:t>67</w:t>
            </w:r>
          </w:p>
        </w:tc>
        <w:tc>
          <w:tcPr>
            <w:tcW w:w="180" w:type="dxa"/>
            <w:vAlign w:val="bottom"/>
            <w:gridSpan w:val="4"/>
          </w:tcPr>
          <w:p>
            <w:pPr>
              <w:spacing w:after="0"/>
              <w:rPr>
                <w:sz w:val="17"/>
                <w:szCs w:val="17"/>
                <w:color w:val="auto"/>
              </w:rPr>
            </w:pPr>
          </w:p>
        </w:tc>
        <w:tc>
          <w:tcPr>
            <w:tcW w:w="140" w:type="dxa"/>
            <w:vAlign w:val="bottom"/>
            <w:tcBorders>
              <w:top w:val="single" w:sz="8" w:color="0000FF"/>
            </w:tcBorders>
            <w:gridSpan w:val="3"/>
          </w:tcPr>
          <w:p>
            <w:pPr>
              <w:spacing w:after="0"/>
              <w:rPr>
                <w:sz w:val="17"/>
                <w:szCs w:val="17"/>
                <w:color w:val="auto"/>
              </w:rPr>
            </w:pPr>
          </w:p>
        </w:tc>
        <w:tc>
          <w:tcPr>
            <w:tcW w:w="6500" w:type="dxa"/>
            <w:vAlign w:val="bottom"/>
            <w:gridSpan w:val="50"/>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80" w:type="dxa"/>
            <w:vAlign w:val="bottom"/>
            <w:tcBorders>
              <w:bottom w:val="single" w:sz="8" w:color="0000FF"/>
            </w:tcBorders>
            <w:gridSpan w:val="54"/>
          </w:tcPr>
          <w:p>
            <w:pPr>
              <w:spacing w:after="0" w:line="194" w:lineRule="exact"/>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13</w:t>
            </w:r>
            <w:r>
              <w:rPr>
                <w:rFonts w:ascii="Times New Roman" w:cs="Times New Roman" w:eastAsia="Times New Roman" w:hAnsi="Times New Roman"/>
                <w:sz w:val="20"/>
                <w:szCs w:val="20"/>
                <w:color w:val="0000FF"/>
              </w:rPr>
              <w:t xml:space="preserve">  Designation of a Different Lending Office.  68</w:t>
            </w:r>
          </w:p>
        </w:tc>
        <w:tc>
          <w:tcPr>
            <w:tcW w:w="52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3"/>
              </w:rPr>
              <w:t>6.</w:t>
            </w:r>
          </w:p>
        </w:tc>
        <w:tc>
          <w:tcPr>
            <w:tcW w:w="4040" w:type="dxa"/>
            <w:vAlign w:val="bottom"/>
            <w:gridSpan w:val="44"/>
          </w:tcPr>
          <w:p>
            <w:pPr>
              <w:jc w:val="center"/>
              <w:ind w:right="60"/>
              <w:spacing w:after="0"/>
              <w:rPr>
                <w:sz w:val="20"/>
                <w:szCs w:val="20"/>
                <w:color w:val="auto"/>
              </w:rPr>
            </w:pPr>
            <w:r>
              <w:rPr>
                <w:rFonts w:ascii="Times New Roman" w:cs="Times New Roman" w:eastAsia="Times New Roman" w:hAnsi="Times New Roman"/>
                <w:sz w:val="20"/>
                <w:szCs w:val="20"/>
                <w:color w:val="0000FF"/>
                <w:w w:val="98"/>
              </w:rPr>
              <w:t>REPRESENTATIONS AND WARRANTIES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79"/>
              </w:rPr>
              <w:t>57</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w w:val="89"/>
              </w:rPr>
              <w:t>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w:t>
            </w:r>
          </w:p>
        </w:tc>
        <w:tc>
          <w:tcPr>
            <w:tcW w:w="2800" w:type="dxa"/>
            <w:vAlign w:val="bottom"/>
            <w:tcBorders>
              <w:top w:val="single" w:sz="8" w:color="0000FF"/>
            </w:tcBorders>
            <w:gridSpan w:val="35"/>
          </w:tcPr>
          <w:p>
            <w:pPr>
              <w:spacing w:after="0" w:line="207" w:lineRule="exact"/>
              <w:rPr>
                <w:sz w:val="20"/>
                <w:szCs w:val="20"/>
                <w:color w:val="auto"/>
              </w:rPr>
            </w:pPr>
            <w:r>
              <w:rPr>
                <w:rFonts w:ascii="Times New Roman" w:cs="Times New Roman" w:eastAsia="Times New Roman" w:hAnsi="Times New Roman"/>
                <w:sz w:val="20"/>
                <w:szCs w:val="20"/>
                <w:color w:val="0000FF"/>
              </w:rPr>
              <w:t>Representations and Warranties.</w:t>
            </w:r>
          </w:p>
        </w:tc>
        <w:tc>
          <w:tcPr>
            <w:tcW w:w="120" w:type="dxa"/>
            <w:vAlign w:val="bottom"/>
            <w:tcBorders>
              <w:top w:val="single" w:sz="8" w:color="0000FF"/>
            </w:tcBorders>
            <w:gridSpan w:val="2"/>
          </w:tcPr>
          <w:p>
            <w:pPr>
              <w:jc w:val="right"/>
              <w:spacing w:after="0" w:line="206" w:lineRule="exact"/>
              <w:rPr>
                <w:sz w:val="20"/>
                <w:szCs w:val="20"/>
                <w:color w:val="auto"/>
              </w:rPr>
            </w:pPr>
            <w:r>
              <w:rPr>
                <w:rFonts w:ascii="Times New Roman" w:cs="Times New Roman" w:eastAsia="Times New Roman" w:hAnsi="Times New Roman"/>
                <w:sz w:val="19"/>
                <w:szCs w:val="19"/>
                <w:color w:val="FF0000"/>
                <w:strike w:val="1"/>
                <w:w w:val="73"/>
              </w:rPr>
              <w:t>57</w:t>
            </w:r>
          </w:p>
        </w:tc>
        <w:tc>
          <w:tcPr>
            <w:tcW w:w="440" w:type="dxa"/>
            <w:vAlign w:val="bottom"/>
            <w:gridSpan w:val="4"/>
          </w:tcPr>
          <w:p>
            <w:pPr>
              <w:jc w:val="right"/>
              <w:ind w:right="339"/>
              <w:spacing w:after="0"/>
              <w:rPr>
                <w:sz w:val="20"/>
                <w:szCs w:val="20"/>
                <w:color w:val="auto"/>
              </w:rPr>
            </w:pPr>
            <w:r>
              <w:rPr>
                <w:rFonts w:ascii="Times New Roman" w:cs="Times New Roman" w:eastAsia="Times New Roman" w:hAnsi="Times New Roman"/>
                <w:sz w:val="20"/>
                <w:szCs w:val="20"/>
                <w:color w:val="0000FF"/>
              </w:rPr>
              <w:t>68</w:t>
            </w:r>
          </w:p>
        </w:tc>
        <w:tc>
          <w:tcPr>
            <w:tcW w:w="200" w:type="dxa"/>
            <w:vAlign w:val="bottom"/>
            <w:tcBorders>
              <w:top w:val="single" w:sz="8" w:color="0000FF"/>
            </w:tcBorders>
            <w:gridSpan w:val="4"/>
          </w:tcPr>
          <w:p>
            <w:pPr>
              <w:spacing w:after="0"/>
              <w:rPr>
                <w:sz w:val="17"/>
                <w:szCs w:val="17"/>
                <w:color w:val="auto"/>
              </w:rPr>
            </w:pPr>
          </w:p>
        </w:tc>
        <w:tc>
          <w:tcPr>
            <w:tcW w:w="5860" w:type="dxa"/>
            <w:vAlign w:val="bottom"/>
            <w:gridSpan w:val="4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5"/>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20" w:type="dxa"/>
            <w:vAlign w:val="bottom"/>
            <w:tcBorders>
              <w:right w:val="single" w:sz="8" w:color="0000FF"/>
            </w:tcBorders>
            <w:gridSpan w:val="8"/>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40" w:type="dxa"/>
            <w:vAlign w:val="bottom"/>
            <w:gridSpan w:val="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gridSpan w:val="2"/>
          </w:tcPr>
          <w:p>
            <w:pPr>
              <w:spacing w:after="0"/>
              <w:rPr>
                <w:sz w:val="16"/>
                <w:szCs w:val="16"/>
                <w:color w:val="auto"/>
              </w:rPr>
            </w:pPr>
          </w:p>
        </w:tc>
        <w:tc>
          <w:tcPr>
            <w:tcW w:w="4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9"/>
              </w:rPr>
              <w:t>6.</w:t>
            </w:r>
            <w:r>
              <w:rPr>
                <w:rFonts w:ascii="Times New Roman" w:cs="Times New Roman" w:eastAsia="Times New Roman" w:hAnsi="Times New Roman"/>
                <w:sz w:val="20"/>
                <w:szCs w:val="20"/>
                <w:u w:val="single" w:color="auto"/>
                <w:color w:val="0000FF"/>
                <w:w w:val="99"/>
              </w:rPr>
              <w:t>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00" w:type="dxa"/>
            <w:vAlign w:val="bottom"/>
            <w:tcBorders>
              <w:bottom w:val="single" w:sz="8" w:color="0000FF"/>
            </w:tcBorders>
            <w:gridSpan w:val="81"/>
          </w:tcPr>
          <w:p>
            <w:pPr>
              <w:spacing w:after="0" w:line="194" w:lineRule="exact"/>
              <w:rPr>
                <w:sz w:val="20"/>
                <w:szCs w:val="20"/>
                <w:color w:val="auto"/>
              </w:rPr>
            </w:pPr>
            <w:r>
              <w:rPr>
                <w:rFonts w:ascii="Times New Roman" w:cs="Times New Roman" w:eastAsia="Times New Roman" w:hAnsi="Times New Roman"/>
                <w:sz w:val="20"/>
                <w:szCs w:val="20"/>
                <w:color w:val="0000FF"/>
                <w:w w:val="98"/>
              </w:rPr>
              <w:t>Organization and Qualification; Power and Authority; Compliance With Laws; Title to Properties; Event of</w:t>
            </w:r>
          </w:p>
        </w:tc>
        <w:tc>
          <w:tcPr>
            <w:tcW w:w="0" w:type="dxa"/>
            <w:vAlign w:val="bottom"/>
          </w:tcPr>
          <w:p>
            <w:pPr>
              <w:spacing w:after="0"/>
              <w:rPr>
                <w:sz w:val="1"/>
                <w:szCs w:val="1"/>
                <w:color w:val="auto"/>
              </w:rPr>
            </w:pPr>
          </w:p>
        </w:tc>
      </w:tr>
      <w:tr>
        <w:trPr>
          <w:trHeight w:val="206"/>
        </w:trPr>
        <w:tc>
          <w:tcPr>
            <w:tcW w:w="940" w:type="dxa"/>
            <w:vAlign w:val="bottom"/>
            <w:gridSpan w:val="5"/>
          </w:tcPr>
          <w:p>
            <w:pPr>
              <w:spacing w:after="0"/>
              <w:rPr>
                <w:sz w:val="17"/>
                <w:szCs w:val="17"/>
                <w:color w:val="auto"/>
              </w:rPr>
            </w:pPr>
          </w:p>
        </w:tc>
        <w:tc>
          <w:tcPr>
            <w:tcW w:w="260" w:type="dxa"/>
            <w:vAlign w:val="bottom"/>
            <w:gridSpan w:val="3"/>
            <w:vMerge w:val="restart"/>
          </w:tcPr>
          <w:p>
            <w:pPr>
              <w:spacing w:after="0"/>
              <w:rPr>
                <w:sz w:val="17"/>
                <w:szCs w:val="17"/>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9"/>
              </w:rPr>
              <w:t>6.</w:t>
            </w:r>
            <w:r>
              <w:rPr>
                <w:rFonts w:ascii="Times New Roman" w:cs="Times New Roman" w:eastAsia="Times New Roman" w:hAnsi="Times New Roman"/>
                <w:sz w:val="20"/>
                <w:szCs w:val="20"/>
                <w:u w:val="single" w:color="auto"/>
                <w:color w:val="0000FF"/>
                <w:w w:val="99"/>
              </w:rPr>
              <w:t>1.2</w:t>
            </w:r>
          </w:p>
        </w:tc>
        <w:tc>
          <w:tcPr>
            <w:tcW w:w="10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Default.</w:t>
            </w:r>
          </w:p>
        </w:tc>
        <w:tc>
          <w:tcPr>
            <w:tcW w:w="2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57</w:t>
            </w:r>
          </w:p>
        </w:tc>
        <w:tc>
          <w:tcPr>
            <w:tcW w:w="1580" w:type="dxa"/>
            <w:vAlign w:val="bottom"/>
            <w:gridSpan w:val="31"/>
          </w:tcPr>
          <w:p>
            <w:pPr>
              <w:jc w:val="right"/>
              <w:ind w:right="1380"/>
              <w:spacing w:after="0" w:line="207" w:lineRule="exact"/>
              <w:rPr>
                <w:sz w:val="20"/>
                <w:szCs w:val="20"/>
                <w:color w:val="auto"/>
              </w:rPr>
            </w:pPr>
            <w:r>
              <w:rPr>
                <w:rFonts w:ascii="Times New Roman" w:cs="Times New Roman" w:eastAsia="Times New Roman" w:hAnsi="Times New Roman"/>
                <w:sz w:val="20"/>
                <w:szCs w:val="20"/>
                <w:color w:val="0000FF"/>
                <w:w w:val="89"/>
              </w:rPr>
              <w:t>68</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58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68</w:t>
            </w:r>
          </w:p>
        </w:tc>
        <w:tc>
          <w:tcPr>
            <w:tcW w:w="20" w:type="dxa"/>
            <w:vAlign w:val="bottom"/>
            <w:vMerge w:val="restart"/>
          </w:tcPr>
          <w:p>
            <w:pPr>
              <w:spacing w:after="0"/>
              <w:rPr>
                <w:sz w:val="17"/>
                <w:szCs w:val="17"/>
                <w:color w:val="auto"/>
              </w:rPr>
            </w:pPr>
          </w:p>
        </w:tc>
        <w:tc>
          <w:tcPr>
            <w:tcW w:w="558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5"/>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360" w:type="dxa"/>
            <w:vAlign w:val="bottom"/>
            <w:gridSpan w:val="28"/>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6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420" w:type="dxa"/>
            <w:vAlign w:val="bottom"/>
            <w:tcBorders>
              <w:bottom w:val="single" w:sz="8" w:color="0000FF"/>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Borders>
              <w:bottom w:val="single" w:sz="8" w:color="0000FF"/>
            </w:tcBorders>
            <w:gridSpan w:val="33"/>
          </w:tcPr>
          <w:p>
            <w:pPr>
              <w:jc w:val="center"/>
              <w:spacing w:after="0" w:line="182" w:lineRule="exact"/>
              <w:rPr>
                <w:sz w:val="20"/>
                <w:szCs w:val="20"/>
                <w:color w:val="auto"/>
              </w:rPr>
            </w:pPr>
            <w:r>
              <w:rPr>
                <w:rFonts w:ascii="Times New Roman" w:cs="Times New Roman" w:eastAsia="Times New Roman" w:hAnsi="Times New Roman"/>
                <w:sz w:val="20"/>
                <w:szCs w:val="20"/>
                <w:color w:val="0000FF"/>
                <w:w w:val="94"/>
              </w:rPr>
              <w:t>Capitalization and Ownership.</w:t>
            </w:r>
          </w:p>
        </w:tc>
        <w:tc>
          <w:tcPr>
            <w:tcW w:w="240" w:type="dxa"/>
            <w:vAlign w:val="bottom"/>
            <w:gridSpan w:val="4"/>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0" w:type="dxa"/>
            <w:vAlign w:val="bottom"/>
            <w:tcBorders>
              <w:bottom w:val="single" w:sz="8" w:color="0000FF"/>
            </w:tcBorders>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420" w:type="dxa"/>
            <w:vAlign w:val="bottom"/>
            <w:tcBorders>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6.</w:t>
            </w:r>
            <w:r>
              <w:rPr>
                <w:rFonts w:ascii="Times New Roman" w:cs="Times New Roman" w:eastAsia="Times New Roman" w:hAnsi="Times New Roman"/>
                <w:sz w:val="20"/>
                <w:szCs w:val="20"/>
                <w:u w:val="single" w:color="auto"/>
                <w:color w:val="0000FF"/>
                <w:w w:val="99"/>
              </w:rPr>
              <w:t>1.3</w:t>
            </w:r>
          </w:p>
        </w:tc>
        <w:tc>
          <w:tcPr>
            <w:tcW w:w="320" w:type="dxa"/>
            <w:vAlign w:val="bottom"/>
            <w:gridSpan w:val="2"/>
          </w:tcPr>
          <w:p>
            <w:pPr>
              <w:spacing w:after="0"/>
              <w:rPr>
                <w:sz w:val="17"/>
                <w:szCs w:val="17"/>
                <w:color w:val="auto"/>
              </w:rPr>
            </w:pPr>
          </w:p>
        </w:tc>
        <w:tc>
          <w:tcPr>
            <w:tcW w:w="920" w:type="dxa"/>
            <w:vAlign w:val="bottom"/>
            <w:tcBorders>
              <w:bottom w:val="single" w:sz="8" w:color="0000FF"/>
            </w:tcBorders>
            <w:gridSpan w:val="6"/>
          </w:tcPr>
          <w:p>
            <w:pPr>
              <w:spacing w:after="0" w:line="207" w:lineRule="exact"/>
              <w:rPr>
                <w:sz w:val="20"/>
                <w:szCs w:val="20"/>
                <w:color w:val="auto"/>
              </w:rPr>
            </w:pPr>
            <w:r>
              <w:rPr>
                <w:rFonts w:ascii="Times New Roman" w:cs="Times New Roman" w:eastAsia="Times New Roman" w:hAnsi="Times New Roman"/>
                <w:sz w:val="20"/>
                <w:szCs w:val="20"/>
                <w:color w:val="0000FF"/>
                <w:w w:val="85"/>
              </w:rPr>
              <w:t>Subsidiaries.</w:t>
            </w:r>
          </w:p>
        </w:tc>
        <w:tc>
          <w:tcPr>
            <w:tcW w:w="360" w:type="dxa"/>
            <w:vAlign w:val="bottom"/>
            <w:gridSpan w:val="5"/>
          </w:tcPr>
          <w:p>
            <w:pPr>
              <w:jc w:val="right"/>
              <w:ind w:right="264"/>
              <w:spacing w:after="0"/>
              <w:rPr>
                <w:sz w:val="20"/>
                <w:szCs w:val="20"/>
                <w:color w:val="auto"/>
              </w:rPr>
            </w:pPr>
            <w:r>
              <w:rPr>
                <w:rFonts w:ascii="Times New Roman" w:cs="Times New Roman" w:eastAsia="Times New Roman" w:hAnsi="Times New Roman"/>
                <w:sz w:val="17"/>
                <w:szCs w:val="17"/>
                <w:color w:val="FF0000"/>
                <w:strike w:val="1"/>
              </w:rPr>
              <w:t>58</w:t>
            </w:r>
          </w:p>
        </w:tc>
        <w:tc>
          <w:tcPr>
            <w:tcW w:w="200" w:type="dxa"/>
            <w:vAlign w:val="bottom"/>
            <w:tcBorders>
              <w:bottom w:val="single" w:sz="8" w:color="0000FF"/>
            </w:tcBorders>
            <w:gridSpan w:val="7"/>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69</w:t>
            </w:r>
          </w:p>
        </w:tc>
        <w:tc>
          <w:tcPr>
            <w:tcW w:w="60" w:type="dxa"/>
            <w:vAlign w:val="bottom"/>
            <w:gridSpan w:val="2"/>
          </w:tcPr>
          <w:p>
            <w:pPr>
              <w:spacing w:after="0"/>
              <w:rPr>
                <w:sz w:val="17"/>
                <w:szCs w:val="17"/>
                <w:color w:val="auto"/>
              </w:rPr>
            </w:pPr>
          </w:p>
        </w:tc>
        <w:tc>
          <w:tcPr>
            <w:tcW w:w="560" w:type="dxa"/>
            <w:vAlign w:val="bottom"/>
            <w:gridSpan w:val="12"/>
            <w:vMerge w:val="restart"/>
          </w:tcPr>
          <w:p>
            <w:pPr>
              <w:jc w:val="right"/>
              <w:spacing w:after="0"/>
              <w:rPr>
                <w:sz w:val="20"/>
                <w:szCs w:val="20"/>
                <w:color w:val="auto"/>
              </w:rPr>
            </w:pPr>
            <w:r>
              <w:rPr>
                <w:rFonts w:ascii="Times New Roman" w:cs="Times New Roman" w:eastAsia="Times New Roman" w:hAnsi="Times New Roman"/>
                <w:sz w:val="20"/>
                <w:szCs w:val="20"/>
                <w:color w:val="0000FF"/>
              </w:rPr>
              <w:t>Effect.</w:t>
            </w:r>
          </w:p>
        </w:tc>
        <w:tc>
          <w:tcPr>
            <w:tcW w:w="160" w:type="dxa"/>
            <w:vAlign w:val="bottom"/>
            <w:vMerge w:val="restart"/>
          </w:tcPr>
          <w:p>
            <w:pPr>
              <w:spacing w:after="0"/>
              <w:rPr>
                <w:sz w:val="17"/>
                <w:szCs w:val="17"/>
                <w:color w:val="auto"/>
              </w:rPr>
            </w:pPr>
          </w:p>
        </w:tc>
        <w:tc>
          <w:tcPr>
            <w:tcW w:w="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rPr>
              <w:t>58</w:t>
            </w: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99"/>
              </w:rPr>
              <w:t>69</w:t>
            </w:r>
          </w:p>
        </w:tc>
        <w:tc>
          <w:tcPr>
            <w:tcW w:w="5780" w:type="dxa"/>
            <w:vAlign w:val="bottom"/>
            <w:gridSpan w:val="40"/>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9"/>
              </w:rPr>
              <w:t>6.</w:t>
            </w:r>
            <w:r>
              <w:rPr>
                <w:rFonts w:ascii="Times New Roman" w:cs="Times New Roman" w:eastAsia="Times New Roman" w:hAnsi="Times New Roman"/>
                <w:sz w:val="20"/>
                <w:szCs w:val="20"/>
                <w:u w:val="single" w:color="auto"/>
                <w:color w:val="0000FF"/>
                <w:w w:val="99"/>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bottom w:val="single" w:sz="8" w:color="0000FF"/>
            </w:tcBorders>
            <w:gridSpan w:val="6"/>
          </w:tcPr>
          <w:p>
            <w:pPr>
              <w:spacing w:after="0" w:line="194" w:lineRule="exact"/>
              <w:rPr>
                <w:sz w:val="20"/>
                <w:szCs w:val="20"/>
                <w:color w:val="auto"/>
              </w:rPr>
            </w:pPr>
            <w:r>
              <w:rPr>
                <w:rFonts w:ascii="Times New Roman" w:cs="Times New Roman" w:eastAsia="Times New Roman" w:hAnsi="Times New Roman"/>
                <w:sz w:val="20"/>
                <w:szCs w:val="20"/>
                <w:color w:val="0000FF"/>
                <w:w w:val="88"/>
              </w:rPr>
              <w:t>Validity and</w:t>
            </w:r>
          </w:p>
        </w:tc>
        <w:tc>
          <w:tcPr>
            <w:tcW w:w="56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20"/>
                <w:szCs w:val="20"/>
                <w:color w:val="0000FF"/>
                <w:w w:val="83"/>
              </w:rPr>
              <w:t>Binding</w:t>
            </w:r>
          </w:p>
        </w:tc>
        <w:tc>
          <w:tcPr>
            <w:tcW w:w="20" w:type="dxa"/>
            <w:vAlign w:val="bottom"/>
            <w:tcBorders>
              <w:bottom w:val="single" w:sz="8" w:color="0000FF"/>
            </w:tcBorders>
          </w:tcPr>
          <w:p>
            <w:pPr>
              <w:spacing w:after="0"/>
              <w:rPr>
                <w:sz w:val="16"/>
                <w:szCs w:val="16"/>
                <w:color w:val="auto"/>
              </w:rPr>
            </w:pPr>
          </w:p>
        </w:tc>
        <w:tc>
          <w:tcPr>
            <w:tcW w:w="40" w:type="dxa"/>
            <w:vAlign w:val="bottom"/>
            <w:tcBorders>
              <w:bottom w:val="single" w:sz="8" w:color="0000FF"/>
            </w:tcBorders>
          </w:tcPr>
          <w:p>
            <w:pPr>
              <w:spacing w:after="0"/>
              <w:rPr>
                <w:sz w:val="16"/>
                <w:szCs w:val="16"/>
                <w:color w:val="auto"/>
              </w:rPr>
            </w:pPr>
          </w:p>
        </w:tc>
        <w:tc>
          <w:tcPr>
            <w:tcW w:w="560" w:type="dxa"/>
            <w:vAlign w:val="bottom"/>
            <w:tcBorders>
              <w:bottom w:val="single" w:sz="8" w:color="0000FF"/>
            </w:tcBorders>
            <w:gridSpan w:val="1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gridSpan w:val="4"/>
            <w:vMerge w:val="continue"/>
          </w:tcPr>
          <w:p>
            <w:pPr>
              <w:spacing w:after="0"/>
              <w:rPr>
                <w:sz w:val="16"/>
                <w:szCs w:val="16"/>
                <w:color w:val="auto"/>
              </w:rPr>
            </w:pPr>
          </w:p>
        </w:tc>
        <w:tc>
          <w:tcPr>
            <w:tcW w:w="220" w:type="dxa"/>
            <w:vAlign w:val="bottom"/>
            <w:tcBorders>
              <w:bottom w:val="single" w:sz="8" w:color="0000FF"/>
            </w:tcBorders>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58</w:t>
            </w:r>
          </w:p>
        </w:tc>
        <w:tc>
          <w:tcPr>
            <w:tcW w:w="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6.</w:t>
            </w:r>
            <w:r>
              <w:rPr>
                <w:rFonts w:ascii="Times New Roman" w:cs="Times New Roman" w:eastAsia="Times New Roman" w:hAnsi="Times New Roman"/>
                <w:sz w:val="20"/>
                <w:szCs w:val="20"/>
                <w:u w:val="single" w:color="auto"/>
                <w:color w:val="0000FF"/>
                <w:w w:val="99"/>
              </w:rPr>
              <w:t>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53"/>
          </w:tcPr>
          <w:p>
            <w:pPr>
              <w:spacing w:after="0" w:line="207" w:lineRule="exact"/>
              <w:rPr>
                <w:sz w:val="20"/>
                <w:szCs w:val="20"/>
                <w:color w:val="auto"/>
              </w:rPr>
            </w:pPr>
            <w:r>
              <w:rPr>
                <w:rFonts w:ascii="Times New Roman" w:cs="Times New Roman" w:eastAsia="Times New Roman" w:hAnsi="Times New Roman"/>
                <w:sz w:val="20"/>
                <w:szCs w:val="20"/>
                <w:color w:val="0000FF"/>
                <w:w w:val="97"/>
              </w:rPr>
              <w:t>No Conflict; Material Agreements; Consents.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6"/>
            <w:vMerge w:val="continue"/>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420" w:type="dxa"/>
            <w:vAlign w:val="bottom"/>
            <w:tcBorders>
              <w:top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6.</w:t>
            </w:r>
            <w:r>
              <w:rPr>
                <w:rFonts w:ascii="Times New Roman" w:cs="Times New Roman" w:eastAsia="Times New Roman" w:hAnsi="Times New Roman"/>
                <w:sz w:val="20"/>
                <w:szCs w:val="20"/>
                <w:u w:val="single" w:color="auto"/>
                <w:color w:val="0000FF"/>
                <w:w w:val="99"/>
              </w:rPr>
              <w:t>1.6</w:t>
            </w:r>
          </w:p>
        </w:tc>
        <w:tc>
          <w:tcPr>
            <w:tcW w:w="320" w:type="dxa"/>
            <w:vAlign w:val="bottom"/>
            <w:gridSpan w:val="2"/>
          </w:tcPr>
          <w:p>
            <w:pPr>
              <w:spacing w:after="0"/>
              <w:rPr>
                <w:sz w:val="17"/>
                <w:szCs w:val="17"/>
                <w:color w:val="auto"/>
              </w:rPr>
            </w:pPr>
          </w:p>
        </w:tc>
        <w:tc>
          <w:tcPr>
            <w:tcW w:w="920" w:type="dxa"/>
            <w:vAlign w:val="bottom"/>
            <w:tcBorders>
              <w:top w:val="single" w:sz="8" w:color="0000FF"/>
            </w:tcBorders>
            <w:gridSpan w:val="6"/>
          </w:tcPr>
          <w:p>
            <w:pPr>
              <w:spacing w:after="0" w:line="207" w:lineRule="exact"/>
              <w:rPr>
                <w:sz w:val="20"/>
                <w:szCs w:val="20"/>
                <w:color w:val="auto"/>
              </w:rPr>
            </w:pPr>
            <w:r>
              <w:rPr>
                <w:rFonts w:ascii="Times New Roman" w:cs="Times New Roman" w:eastAsia="Times New Roman" w:hAnsi="Times New Roman"/>
                <w:sz w:val="20"/>
                <w:szCs w:val="20"/>
                <w:color w:val="0000FF"/>
                <w:w w:val="83"/>
              </w:rPr>
              <w:t>Litigation.</w:t>
            </w:r>
          </w:p>
        </w:tc>
        <w:tc>
          <w:tcPr>
            <w:tcW w:w="220" w:type="dxa"/>
            <w:vAlign w:val="bottom"/>
            <w:tcBorders>
              <w:top w:val="single" w:sz="8" w:color="0000FF"/>
            </w:tcBorders>
            <w:gridSpan w:val="3"/>
          </w:tcPr>
          <w:p>
            <w:pPr>
              <w:spacing w:after="0" w:line="207" w:lineRule="exact"/>
              <w:rPr>
                <w:sz w:val="20"/>
                <w:szCs w:val="20"/>
                <w:color w:val="auto"/>
              </w:rPr>
            </w:pPr>
            <w:r>
              <w:rPr>
                <w:rFonts w:ascii="Times New Roman" w:cs="Times New Roman" w:eastAsia="Times New Roman" w:hAnsi="Times New Roman"/>
                <w:sz w:val="20"/>
                <w:szCs w:val="20"/>
                <w:color w:val="FF0000"/>
                <w:strike w:val="1"/>
                <w:w w:val="89"/>
              </w:rPr>
              <w:t>58</w:t>
            </w:r>
          </w:p>
        </w:tc>
        <w:tc>
          <w:tcPr>
            <w:tcW w:w="620" w:type="dxa"/>
            <w:vAlign w:val="bottom"/>
            <w:tcBorders>
              <w:top w:val="single" w:sz="8" w:color="0000FF"/>
            </w:tcBorders>
            <w:gridSpan w:val="17"/>
          </w:tcPr>
          <w:p>
            <w:pPr>
              <w:jc w:val="right"/>
              <w:ind w:right="379"/>
              <w:spacing w:after="0"/>
              <w:rPr>
                <w:sz w:val="20"/>
                <w:szCs w:val="20"/>
                <w:color w:val="auto"/>
              </w:rPr>
            </w:pPr>
            <w:r>
              <w:rPr>
                <w:rFonts w:ascii="Times New Roman" w:cs="Times New Roman" w:eastAsia="Times New Roman" w:hAnsi="Times New Roman"/>
                <w:sz w:val="17"/>
                <w:szCs w:val="17"/>
                <w:color w:val="0000FF"/>
                <w:w w:val="70"/>
              </w:rPr>
              <w:t>69</w:t>
            </w:r>
          </w:p>
        </w:tc>
        <w:tc>
          <w:tcPr>
            <w:tcW w:w="240" w:type="dxa"/>
            <w:vAlign w:val="bottom"/>
            <w:tcBorders>
              <w:top w:val="single" w:sz="8" w:color="0000FF"/>
            </w:tcBorders>
            <w:gridSpan w:val="5"/>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59</w:t>
            </w:r>
          </w:p>
        </w:tc>
        <w:tc>
          <w:tcPr>
            <w:tcW w:w="260" w:type="dxa"/>
            <w:vAlign w:val="bottom"/>
            <w:tcBorders>
              <w:top w:val="single" w:sz="8" w:color="0000FF"/>
            </w:tcBorders>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0000FF"/>
                <w:w w:val="79"/>
              </w:rPr>
              <w:t>70</w:t>
            </w:r>
          </w:p>
        </w:tc>
        <w:tc>
          <w:tcPr>
            <w:tcW w:w="1240" w:type="dxa"/>
            <w:vAlign w:val="bottom"/>
            <w:tcBorders>
              <w:top w:val="single" w:sz="8" w:color="0000FF"/>
            </w:tcBorders>
            <w:gridSpan w:val="18"/>
          </w:tcPr>
          <w:p>
            <w:pPr>
              <w:spacing w:after="0"/>
              <w:rPr>
                <w:sz w:val="17"/>
                <w:szCs w:val="17"/>
                <w:color w:val="auto"/>
              </w:rPr>
            </w:pPr>
          </w:p>
        </w:tc>
        <w:tc>
          <w:tcPr>
            <w:tcW w:w="400" w:type="dxa"/>
            <w:vAlign w:val="bottom"/>
            <w:gridSpan w:val="11"/>
          </w:tcPr>
          <w:p>
            <w:pPr>
              <w:spacing w:after="0"/>
              <w:rPr>
                <w:sz w:val="17"/>
                <w:szCs w:val="17"/>
                <w:color w:val="auto"/>
              </w:rPr>
            </w:pPr>
          </w:p>
        </w:tc>
        <w:tc>
          <w:tcPr>
            <w:tcW w:w="200" w:type="dxa"/>
            <w:vAlign w:val="bottom"/>
            <w:tcBorders>
              <w:top w:val="single" w:sz="8" w:color="0000FF"/>
            </w:tcBorders>
            <w:gridSpan w:val="5"/>
          </w:tcPr>
          <w:p>
            <w:pPr>
              <w:spacing w:after="0"/>
              <w:rPr>
                <w:sz w:val="17"/>
                <w:szCs w:val="17"/>
                <w:color w:val="auto"/>
              </w:rPr>
            </w:pPr>
          </w:p>
        </w:tc>
        <w:tc>
          <w:tcPr>
            <w:tcW w:w="4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Borders>
              <w:right w:val="single" w:sz="8" w:color="0000FF"/>
            </w:tcBorders>
            <w:gridSpan w:val="1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6"/>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14"/>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gridSpan w:val="5"/>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6240" w:type="dxa"/>
            <w:vAlign w:val="bottom"/>
            <w:gridSpan w:val="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940" w:type="dxa"/>
            <w:vAlign w:val="bottom"/>
            <w:gridSpan w:val="12"/>
          </w:tcPr>
          <w:p>
            <w:pPr>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1.7</w:t>
            </w:r>
          </w:p>
        </w:tc>
        <w:tc>
          <w:tcPr>
            <w:tcW w:w="680" w:type="dxa"/>
            <w:vAlign w:val="bottom"/>
            <w:gridSpan w:val="3"/>
          </w:tcPr>
          <w:p>
            <w:pPr>
              <w:spacing w:after="0" w:line="194" w:lineRule="exact"/>
              <w:rPr>
                <w:sz w:val="20"/>
                <w:szCs w:val="20"/>
                <w:color w:val="auto"/>
              </w:rPr>
            </w:pPr>
            <w:r>
              <w:rPr>
                <w:rFonts w:ascii="Times New Roman" w:cs="Times New Roman" w:eastAsia="Times New Roman" w:hAnsi="Times New Roman"/>
                <w:sz w:val="20"/>
                <w:szCs w:val="20"/>
                <w:color w:val="0000FF"/>
                <w:w w:val="85"/>
              </w:rPr>
              <w:t>Financial</w:t>
            </w:r>
          </w:p>
        </w:tc>
        <w:tc>
          <w:tcPr>
            <w:tcW w:w="1000" w:type="dxa"/>
            <w:vAlign w:val="bottom"/>
            <w:gridSpan w:val="21"/>
          </w:tcPr>
          <w:p>
            <w:pPr>
              <w:spacing w:after="0" w:line="194" w:lineRule="exact"/>
              <w:rPr>
                <w:sz w:val="20"/>
                <w:szCs w:val="20"/>
                <w:color w:val="auto"/>
              </w:rPr>
            </w:pPr>
            <w:r>
              <w:rPr>
                <w:rFonts w:ascii="Times New Roman" w:cs="Times New Roman" w:eastAsia="Times New Roman" w:hAnsi="Times New Roman"/>
                <w:sz w:val="20"/>
                <w:szCs w:val="20"/>
                <w:color w:val="0000FF"/>
              </w:rPr>
              <w:t>Statements.</w:t>
            </w:r>
          </w:p>
        </w:tc>
        <w:tc>
          <w:tcPr>
            <w:tcW w:w="4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40" w:type="dxa"/>
            <w:vAlign w:val="bottom"/>
            <w:gridSpan w:val="5"/>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6240" w:type="dxa"/>
            <w:vAlign w:val="bottom"/>
            <w:gridSpan w:val="4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6.</w:t>
            </w:r>
            <w:r>
              <w:rPr>
                <w:rFonts w:ascii="Times New Roman" w:cs="Times New Roman" w:eastAsia="Times New Roman" w:hAnsi="Times New Roman"/>
                <w:sz w:val="20"/>
                <w:szCs w:val="20"/>
                <w:u w:val="single" w:color="auto"/>
                <w:color w:val="0000FF"/>
                <w:w w:val="99"/>
              </w:rPr>
              <w:t>1.8</w:t>
            </w:r>
          </w:p>
        </w:tc>
        <w:tc>
          <w:tcPr>
            <w:tcW w:w="320" w:type="dxa"/>
            <w:vAlign w:val="bottom"/>
            <w:gridSpan w:val="2"/>
          </w:tcPr>
          <w:p>
            <w:pPr>
              <w:spacing w:after="0"/>
              <w:rPr>
                <w:sz w:val="17"/>
                <w:szCs w:val="17"/>
                <w:color w:val="auto"/>
              </w:rPr>
            </w:pPr>
          </w:p>
        </w:tc>
        <w:tc>
          <w:tcPr>
            <w:tcW w:w="1000" w:type="dxa"/>
            <w:vAlign w:val="bottom"/>
            <w:tcBorders>
              <w:top w:val="single" w:sz="8" w:color="0000FF"/>
              <w:bottom w:val="single" w:sz="8" w:color="0000FF"/>
            </w:tcBorders>
            <w:gridSpan w:val="7"/>
          </w:tcPr>
          <w:p>
            <w:pPr>
              <w:spacing w:after="0" w:line="207" w:lineRule="exact"/>
              <w:rPr>
                <w:sz w:val="20"/>
                <w:szCs w:val="20"/>
                <w:color w:val="auto"/>
              </w:rPr>
            </w:pPr>
            <w:r>
              <w:rPr>
                <w:rFonts w:ascii="Times New Roman" w:cs="Times New Roman" w:eastAsia="Times New Roman" w:hAnsi="Times New Roman"/>
                <w:sz w:val="20"/>
                <w:szCs w:val="20"/>
                <w:color w:val="0000FF"/>
                <w:w w:val="85"/>
              </w:rPr>
              <w:t>Margin Stock.</w:t>
            </w:r>
          </w:p>
        </w:tc>
        <w:tc>
          <w:tcPr>
            <w:tcW w:w="400" w:type="dxa"/>
            <w:vAlign w:val="bottom"/>
            <w:tcBorders>
              <w:top w:val="single" w:sz="8" w:color="0000FF"/>
            </w:tcBorders>
            <w:gridSpan w:val="8"/>
          </w:tcPr>
          <w:p>
            <w:pPr>
              <w:jc w:val="right"/>
              <w:ind w:right="299"/>
              <w:spacing w:after="0"/>
              <w:rPr>
                <w:sz w:val="20"/>
                <w:szCs w:val="20"/>
                <w:color w:val="auto"/>
              </w:rPr>
            </w:pPr>
            <w:r>
              <w:rPr>
                <w:rFonts w:ascii="Times New Roman" w:cs="Times New Roman" w:eastAsia="Times New Roman" w:hAnsi="Times New Roman"/>
                <w:sz w:val="20"/>
                <w:szCs w:val="20"/>
                <w:color w:val="FF0000"/>
                <w:strike w:val="1"/>
              </w:rPr>
              <w:t>59</w:t>
            </w:r>
          </w:p>
        </w:tc>
        <w:tc>
          <w:tcPr>
            <w:tcW w:w="180" w:type="dxa"/>
            <w:vAlign w:val="bottom"/>
            <w:tcBorders>
              <w:top w:val="single" w:sz="8" w:color="0000FF"/>
              <w:bottom w:val="single" w:sz="8" w:color="0000FF"/>
            </w:tcBorders>
            <w:gridSpan w:val="6"/>
          </w:tcPr>
          <w:p>
            <w:pPr>
              <w:jc w:val="right"/>
              <w:spacing w:after="0" w:line="207" w:lineRule="exact"/>
              <w:rPr>
                <w:sz w:val="20"/>
                <w:szCs w:val="20"/>
                <w:color w:val="auto"/>
              </w:rPr>
            </w:pPr>
            <w:r>
              <w:rPr>
                <w:rFonts w:ascii="Times New Roman" w:cs="Times New Roman" w:eastAsia="Times New Roman" w:hAnsi="Times New Roman"/>
                <w:sz w:val="20"/>
                <w:szCs w:val="20"/>
                <w:color w:val="0000FF"/>
                <w:w w:val="79"/>
              </w:rPr>
              <w:t>70</w:t>
            </w:r>
          </w:p>
        </w:tc>
        <w:tc>
          <w:tcPr>
            <w:tcW w:w="20" w:type="dxa"/>
            <w:vAlign w:val="bottom"/>
            <w:tcBorders>
              <w:bottom w:val="single" w:sz="8" w:color="0000FF"/>
            </w:tcBorders>
          </w:tcPr>
          <w:p>
            <w:pPr>
              <w:spacing w:after="0"/>
              <w:rPr>
                <w:sz w:val="17"/>
                <w:szCs w:val="17"/>
                <w:color w:val="auto"/>
              </w:rPr>
            </w:pPr>
          </w:p>
        </w:tc>
        <w:tc>
          <w:tcPr>
            <w:tcW w:w="400" w:type="dxa"/>
            <w:vAlign w:val="bottom"/>
            <w:gridSpan w:val="9"/>
          </w:tcPr>
          <w:p>
            <w:pPr>
              <w:spacing w:after="0"/>
              <w:rPr>
                <w:sz w:val="17"/>
                <w:szCs w:val="17"/>
                <w:color w:val="auto"/>
              </w:rPr>
            </w:pPr>
          </w:p>
        </w:tc>
        <w:tc>
          <w:tcPr>
            <w:tcW w:w="260" w:type="dxa"/>
            <w:vAlign w:val="bottom"/>
            <w:tcBorders>
              <w:top w:val="single" w:sz="8" w:color="0000FF"/>
            </w:tcBorders>
            <w:gridSpan w:val="2"/>
          </w:tcPr>
          <w:p>
            <w:pPr>
              <w:spacing w:after="0"/>
              <w:rPr>
                <w:sz w:val="17"/>
                <w:szCs w:val="17"/>
                <w:color w:val="auto"/>
              </w:rPr>
            </w:pPr>
          </w:p>
        </w:tc>
        <w:tc>
          <w:tcPr>
            <w:tcW w:w="6240" w:type="dxa"/>
            <w:vAlign w:val="bottom"/>
            <w:gridSpan w:val="4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420" w:type="dxa"/>
            <w:vAlign w:val="bottom"/>
            <w:tcBorders>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6.</w:t>
            </w:r>
            <w:r>
              <w:rPr>
                <w:rFonts w:ascii="Times New Roman" w:cs="Times New Roman" w:eastAsia="Times New Roman" w:hAnsi="Times New Roman"/>
                <w:sz w:val="20"/>
                <w:szCs w:val="20"/>
                <w:u w:val="single" w:color="auto"/>
                <w:color w:val="0000FF"/>
                <w:w w:val="99"/>
              </w:rPr>
              <w:t>1.9</w:t>
            </w:r>
          </w:p>
        </w:tc>
        <w:tc>
          <w:tcPr>
            <w:tcW w:w="320" w:type="dxa"/>
            <w:vAlign w:val="bottom"/>
            <w:gridSpan w:val="2"/>
          </w:tcPr>
          <w:p>
            <w:pPr>
              <w:spacing w:after="0"/>
              <w:rPr>
                <w:sz w:val="17"/>
                <w:szCs w:val="17"/>
                <w:color w:val="auto"/>
              </w:rPr>
            </w:pPr>
          </w:p>
        </w:tc>
        <w:tc>
          <w:tcPr>
            <w:tcW w:w="1140" w:type="dxa"/>
            <w:vAlign w:val="bottom"/>
            <w:tcBorders>
              <w:bottom w:val="single" w:sz="8" w:color="0000FF"/>
            </w:tcBorders>
            <w:gridSpan w:val="9"/>
          </w:tcPr>
          <w:p>
            <w:pPr>
              <w:spacing w:after="0" w:line="207" w:lineRule="exact"/>
              <w:rPr>
                <w:sz w:val="20"/>
                <w:szCs w:val="20"/>
                <w:color w:val="auto"/>
              </w:rPr>
            </w:pPr>
            <w:r>
              <w:rPr>
                <w:rFonts w:ascii="Times New Roman" w:cs="Times New Roman" w:eastAsia="Times New Roman" w:hAnsi="Times New Roman"/>
                <w:sz w:val="20"/>
                <w:szCs w:val="20"/>
                <w:color w:val="0000FF"/>
                <w:w w:val="76"/>
              </w:rPr>
              <w:t>Full Disclosure.</w:t>
            </w:r>
          </w:p>
        </w:tc>
        <w:tc>
          <w:tcPr>
            <w:tcW w:w="400" w:type="dxa"/>
            <w:vAlign w:val="bottom"/>
            <w:gridSpan w:val="11"/>
          </w:tcPr>
          <w:p>
            <w:pPr>
              <w:jc w:val="right"/>
              <w:ind w:right="400"/>
              <w:spacing w:after="0"/>
              <w:rPr>
                <w:sz w:val="20"/>
                <w:szCs w:val="20"/>
                <w:color w:val="auto"/>
              </w:rPr>
            </w:pPr>
            <w:r>
              <w:rPr>
                <w:rFonts w:ascii="Times New Roman" w:cs="Times New Roman" w:eastAsia="Times New Roman" w:hAnsi="Times New Roman"/>
                <w:sz w:val="20"/>
                <w:szCs w:val="20"/>
                <w:color w:val="FF0000"/>
                <w:strike w:val="1"/>
              </w:rPr>
              <w:t>59</w:t>
            </w:r>
          </w:p>
        </w:tc>
        <w:tc>
          <w:tcPr>
            <w:tcW w:w="220" w:type="dxa"/>
            <w:vAlign w:val="bottom"/>
            <w:tcBorders>
              <w:bottom w:val="single" w:sz="8" w:color="0000FF"/>
            </w:tcBorders>
            <w:gridSpan w:val="6"/>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70</w:t>
            </w:r>
          </w:p>
        </w:tc>
        <w:tc>
          <w:tcPr>
            <w:tcW w:w="6740" w:type="dxa"/>
            <w:vAlign w:val="bottom"/>
            <w:gridSpan w:val="55"/>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2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1.10</w:t>
            </w:r>
            <w:r>
              <w:rPr>
                <w:rFonts w:ascii="Times New Roman" w:cs="Times New Roman" w:eastAsia="Times New Roman" w:hAnsi="Times New Roman"/>
                <w:sz w:val="20"/>
                <w:szCs w:val="20"/>
                <w:color w:val="0000FF"/>
              </w:rPr>
              <w:t xml:space="preserve">  Taxes.</w:t>
            </w:r>
          </w:p>
        </w:tc>
        <w:tc>
          <w:tcPr>
            <w:tcW w:w="240" w:type="dxa"/>
            <w:vAlign w:val="bottom"/>
            <w:gridSpan w:val="3"/>
          </w:tcPr>
          <w:p>
            <w:pPr>
              <w:spacing w:after="0" w:line="194" w:lineRule="exact"/>
              <w:rPr>
                <w:sz w:val="20"/>
                <w:szCs w:val="20"/>
                <w:color w:val="auto"/>
              </w:rPr>
            </w:pPr>
            <w:r>
              <w:rPr>
                <w:rFonts w:ascii="Times New Roman" w:cs="Times New Roman" w:eastAsia="Times New Roman" w:hAnsi="Times New Roman"/>
                <w:sz w:val="20"/>
                <w:szCs w:val="20"/>
                <w:color w:val="FF0000"/>
                <w:strike w:val="1"/>
                <w:w w:val="99"/>
              </w:rPr>
              <w:t>59</w:t>
            </w:r>
          </w:p>
        </w:tc>
        <w:tc>
          <w:tcPr>
            <w:tcW w:w="7580" w:type="dxa"/>
            <w:vAlign w:val="bottom"/>
            <w:gridSpan w:val="75"/>
          </w:tcPr>
          <w:p>
            <w:pPr>
              <w:spacing w:after="0" w:line="194" w:lineRule="exact"/>
              <w:rPr>
                <w:sz w:val="20"/>
                <w:szCs w:val="20"/>
                <w:color w:val="auto"/>
              </w:rPr>
            </w:pPr>
            <w:r>
              <w:rPr>
                <w:rFonts w:ascii="Times New Roman" w:cs="Times New Roman" w:eastAsia="Times New Roman" w:hAnsi="Times New Roman"/>
                <w:sz w:val="20"/>
                <w:szCs w:val="20"/>
                <w:color w:val="0000FF"/>
                <w:w w:val="89"/>
              </w:rPr>
              <w:t>70</w:t>
            </w:r>
          </w:p>
        </w:tc>
        <w:tc>
          <w:tcPr>
            <w:tcW w:w="0" w:type="dxa"/>
            <w:vAlign w:val="bottom"/>
          </w:tcPr>
          <w:p>
            <w:pPr>
              <w:spacing w:after="0"/>
              <w:rPr>
                <w:sz w:val="1"/>
                <w:szCs w:val="1"/>
                <w:color w:val="auto"/>
              </w:rPr>
            </w:pPr>
          </w:p>
        </w:tc>
      </w:tr>
      <w:tr>
        <w:trPr>
          <w:trHeight w:val="20"/>
        </w:trPr>
        <w:tc>
          <w:tcPr>
            <w:tcW w:w="1720" w:type="dxa"/>
            <w:vAlign w:val="bottom"/>
            <w:tcBorders>
              <w:right w:val="single" w:sz="8" w:color="0000FF"/>
            </w:tcBorders>
            <w:gridSpan w:val="11"/>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7580" w:type="dxa"/>
            <w:vAlign w:val="bottom"/>
            <w:tcBorders>
              <w:left w:val="single" w:sz="8" w:color="0000FF"/>
            </w:tcBorders>
            <w:gridSpan w:val="7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spacing w:after="0" w:line="207" w:lineRule="exact"/>
              <w:rPr>
                <w:sz w:val="20"/>
                <w:szCs w:val="20"/>
                <w:color w:val="auto"/>
              </w:rPr>
            </w:pPr>
            <w:r>
              <w:rPr>
                <w:rFonts w:ascii="Times New Roman" w:cs="Times New Roman" w:eastAsia="Times New Roman" w:hAnsi="Times New Roman"/>
                <w:sz w:val="20"/>
                <w:szCs w:val="20"/>
                <w:color w:val="0000FF"/>
                <w:w w:val="95"/>
              </w:rPr>
              <w:t>6.</w:t>
            </w:r>
            <w:r>
              <w:rPr>
                <w:rFonts w:ascii="Times New Roman" w:cs="Times New Roman" w:eastAsia="Times New Roman" w:hAnsi="Times New Roman"/>
                <w:sz w:val="20"/>
                <w:szCs w:val="20"/>
                <w:u w:val="single" w:color="auto"/>
                <w:color w:val="0000FF"/>
                <w:w w:val="95"/>
              </w:rPr>
              <w:t>1.11</w:t>
            </w:r>
          </w:p>
        </w:tc>
        <w:tc>
          <w:tcPr>
            <w:tcW w:w="220" w:type="dxa"/>
            <w:vAlign w:val="bottom"/>
          </w:tcPr>
          <w:p>
            <w:pPr>
              <w:spacing w:after="0"/>
              <w:rPr>
                <w:sz w:val="17"/>
                <w:szCs w:val="17"/>
                <w:color w:val="auto"/>
              </w:rPr>
            </w:pPr>
          </w:p>
        </w:tc>
        <w:tc>
          <w:tcPr>
            <w:tcW w:w="460" w:type="dxa"/>
            <w:vAlign w:val="bottom"/>
            <w:gridSpan w:val="2"/>
          </w:tcPr>
          <w:p>
            <w:pPr>
              <w:spacing w:after="0" w:line="206" w:lineRule="exact"/>
              <w:rPr>
                <w:sz w:val="20"/>
                <w:szCs w:val="20"/>
                <w:color w:val="auto"/>
              </w:rPr>
            </w:pPr>
            <w:r>
              <w:rPr>
                <w:rFonts w:ascii="Times New Roman" w:cs="Times New Roman" w:eastAsia="Times New Roman" w:hAnsi="Times New Roman"/>
                <w:sz w:val="19"/>
                <w:szCs w:val="19"/>
                <w:color w:val="0000FF"/>
                <w:w w:val="70"/>
              </w:rPr>
              <w:t>Patents,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59"/>
          </w:tcPr>
          <w:p>
            <w:pPr>
              <w:spacing w:after="0" w:line="207" w:lineRule="exact"/>
              <w:rPr>
                <w:sz w:val="20"/>
                <w:szCs w:val="20"/>
                <w:color w:val="auto"/>
              </w:rPr>
            </w:pPr>
            <w:r>
              <w:rPr>
                <w:rFonts w:ascii="Times New Roman" w:cs="Times New Roman" w:eastAsia="Times New Roman" w:hAnsi="Times New Roman"/>
                <w:sz w:val="20"/>
                <w:szCs w:val="20"/>
                <w:color w:val="0000FF"/>
                <w:w w:val="96"/>
              </w:rPr>
              <w:t>Trademarks, Copyrights, Licenses, Etc.</w:t>
            </w:r>
          </w:p>
        </w:tc>
        <w:tc>
          <w:tcPr>
            <w:tcW w:w="20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60</w:t>
            </w:r>
          </w:p>
        </w:tc>
        <w:tc>
          <w:tcPr>
            <w:tcW w:w="480" w:type="dxa"/>
            <w:vAlign w:val="bottom"/>
            <w:gridSpan w:val="2"/>
          </w:tcPr>
          <w:p>
            <w:pPr>
              <w:jc w:val="right"/>
              <w:ind w:right="280"/>
              <w:spacing w:after="0" w:line="207" w:lineRule="exact"/>
              <w:rPr>
                <w:sz w:val="20"/>
                <w:szCs w:val="20"/>
                <w:color w:val="auto"/>
              </w:rPr>
            </w:pPr>
            <w:r>
              <w:rPr>
                <w:rFonts w:ascii="Times New Roman" w:cs="Times New Roman" w:eastAsia="Times New Roman" w:hAnsi="Times New Roman"/>
                <w:sz w:val="20"/>
                <w:szCs w:val="20"/>
                <w:color w:val="0000FF"/>
                <w:w w:val="89"/>
              </w:rPr>
              <w:t>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520" w:type="dxa"/>
            <w:vAlign w:val="bottom"/>
            <w:tcBorders>
              <w:top w:val="single" w:sz="8" w:color="0000FF"/>
            </w:tcBorders>
            <w:gridSpan w:val="3"/>
          </w:tcPr>
          <w:p>
            <w:pPr>
              <w:spacing w:after="0" w:line="207" w:lineRule="exact"/>
              <w:rPr>
                <w:sz w:val="20"/>
                <w:szCs w:val="20"/>
                <w:color w:val="auto"/>
              </w:rPr>
            </w:pPr>
            <w:r>
              <w:rPr>
                <w:rFonts w:ascii="Times New Roman" w:cs="Times New Roman" w:eastAsia="Times New Roman" w:hAnsi="Times New Roman"/>
                <w:sz w:val="20"/>
                <w:szCs w:val="20"/>
                <w:color w:val="0000FF"/>
                <w:w w:val="95"/>
              </w:rPr>
              <w:t>6.</w:t>
            </w:r>
            <w:r>
              <w:rPr>
                <w:rFonts w:ascii="Times New Roman" w:cs="Times New Roman" w:eastAsia="Times New Roman" w:hAnsi="Times New Roman"/>
                <w:sz w:val="20"/>
                <w:szCs w:val="20"/>
                <w:u w:val="single" w:color="auto"/>
                <w:color w:val="0000FF"/>
                <w:w w:val="95"/>
              </w:rPr>
              <w:t>1.12</w:t>
            </w:r>
          </w:p>
        </w:tc>
        <w:tc>
          <w:tcPr>
            <w:tcW w:w="220" w:type="dxa"/>
            <w:vAlign w:val="bottom"/>
          </w:tcPr>
          <w:p>
            <w:pPr>
              <w:spacing w:after="0"/>
              <w:rPr>
                <w:sz w:val="17"/>
                <w:szCs w:val="17"/>
                <w:color w:val="auto"/>
              </w:rPr>
            </w:pPr>
          </w:p>
        </w:tc>
        <w:tc>
          <w:tcPr>
            <w:tcW w:w="920" w:type="dxa"/>
            <w:vAlign w:val="bottom"/>
            <w:tcBorders>
              <w:top w:val="single" w:sz="8" w:color="0000FF"/>
            </w:tcBorders>
            <w:gridSpan w:val="6"/>
          </w:tcPr>
          <w:p>
            <w:pPr>
              <w:spacing w:after="0" w:line="207" w:lineRule="exact"/>
              <w:rPr>
                <w:sz w:val="20"/>
                <w:szCs w:val="20"/>
                <w:color w:val="auto"/>
              </w:rPr>
            </w:pPr>
            <w:r>
              <w:rPr>
                <w:rFonts w:ascii="Times New Roman" w:cs="Times New Roman" w:eastAsia="Times New Roman" w:hAnsi="Times New Roman"/>
                <w:sz w:val="20"/>
                <w:szCs w:val="20"/>
                <w:color w:val="0000FF"/>
              </w:rPr>
              <w:t>Insurance.</w:t>
            </w:r>
          </w:p>
        </w:tc>
        <w:tc>
          <w:tcPr>
            <w:tcW w:w="320" w:type="dxa"/>
            <w:vAlign w:val="bottom"/>
            <w:tcBorders>
              <w:top w:val="single" w:sz="8" w:color="0000FF"/>
            </w:tcBorders>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rPr>
              <w:t>60</w:t>
            </w:r>
          </w:p>
        </w:tc>
        <w:tc>
          <w:tcPr>
            <w:tcW w:w="2560" w:type="dxa"/>
            <w:vAlign w:val="bottom"/>
            <w:tcBorders>
              <w:top w:val="single" w:sz="8" w:color="0000FF"/>
            </w:tcBorders>
            <w:gridSpan w:val="50"/>
          </w:tcPr>
          <w:p>
            <w:pPr>
              <w:jc w:val="center"/>
              <w:ind w:right="2420"/>
              <w:spacing w:after="0" w:line="206" w:lineRule="exact"/>
              <w:rPr>
                <w:sz w:val="20"/>
                <w:szCs w:val="20"/>
                <w:color w:val="auto"/>
              </w:rPr>
            </w:pPr>
            <w:r>
              <w:rPr>
                <w:rFonts w:ascii="Times New Roman" w:cs="Times New Roman" w:eastAsia="Times New Roman" w:hAnsi="Times New Roman"/>
                <w:sz w:val="19"/>
                <w:szCs w:val="19"/>
                <w:color w:val="0000FF"/>
                <w:w w:val="73"/>
              </w:rPr>
              <w:t>71</w:t>
            </w:r>
          </w:p>
        </w:tc>
        <w:tc>
          <w:tcPr>
            <w:tcW w:w="400" w:type="dxa"/>
            <w:vAlign w:val="bottom"/>
            <w:gridSpan w:val="8"/>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0000FF"/>
            </w:tcBorders>
            <w:gridSpan w:val="11"/>
          </w:tcPr>
          <w:p>
            <w:pPr>
              <w:spacing w:after="0" w:line="20" w:lineRule="exact"/>
              <w:rPr>
                <w:sz w:val="1"/>
                <w:szCs w:val="1"/>
                <w:color w:val="auto"/>
              </w:rPr>
            </w:pPr>
          </w:p>
        </w:tc>
        <w:tc>
          <w:tcPr>
            <w:tcW w:w="220" w:type="dxa"/>
            <w:vAlign w:val="bottom"/>
            <w:tcBorders>
              <w:left w:val="single" w:sz="8" w:color="0000FF"/>
              <w:right w:val="single" w:sz="8" w:color="0000FF"/>
            </w:tcBorders>
          </w:tcPr>
          <w:p>
            <w:pPr>
              <w:spacing w:after="0" w:line="20" w:lineRule="exact"/>
              <w:rPr>
                <w:sz w:val="1"/>
                <w:szCs w:val="1"/>
                <w:color w:val="auto"/>
              </w:rPr>
            </w:pPr>
          </w:p>
        </w:tc>
        <w:tc>
          <w:tcPr>
            <w:tcW w:w="78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tcBorders>
              <w:right w:val="single" w:sz="8" w:color="0000FF"/>
            </w:tcBorders>
            <w:gridSpan w:val="5"/>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7120" w:type="dxa"/>
            <w:vAlign w:val="bottom"/>
            <w:gridSpan w:val="6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spacing w:after="0" w:line="194" w:lineRule="exact"/>
              <w:rPr>
                <w:sz w:val="20"/>
                <w:szCs w:val="20"/>
                <w:color w:val="auto"/>
              </w:rPr>
            </w:pPr>
            <w:r>
              <w:rPr>
                <w:rFonts w:ascii="Times New Roman" w:cs="Times New Roman" w:eastAsia="Times New Roman" w:hAnsi="Times New Roman"/>
                <w:sz w:val="20"/>
                <w:szCs w:val="20"/>
                <w:color w:val="0000FF"/>
                <w:w w:val="95"/>
              </w:rPr>
              <w:t>6.</w:t>
            </w:r>
            <w:r>
              <w:rPr>
                <w:rFonts w:ascii="Times New Roman" w:cs="Times New Roman" w:eastAsia="Times New Roman" w:hAnsi="Times New Roman"/>
                <w:sz w:val="20"/>
                <w:szCs w:val="20"/>
                <w:u w:val="single" w:color="auto"/>
                <w:color w:val="0000FF"/>
                <w:w w:val="95"/>
              </w:rPr>
              <w:t>1.13</w:t>
            </w:r>
          </w:p>
        </w:tc>
        <w:tc>
          <w:tcPr>
            <w:tcW w:w="220" w:type="dxa"/>
            <w:vAlign w:val="bottom"/>
          </w:tcPr>
          <w:p>
            <w:pPr>
              <w:spacing w:after="0"/>
              <w:rPr>
                <w:sz w:val="16"/>
                <w:szCs w:val="16"/>
                <w:color w:val="auto"/>
              </w:rPr>
            </w:pPr>
          </w:p>
        </w:tc>
        <w:tc>
          <w:tcPr>
            <w:tcW w:w="780" w:type="dxa"/>
            <w:vAlign w:val="bottom"/>
            <w:gridSpan w:val="5"/>
          </w:tcPr>
          <w:p>
            <w:pPr>
              <w:spacing w:after="0" w:line="194" w:lineRule="exact"/>
              <w:rPr>
                <w:sz w:val="20"/>
                <w:szCs w:val="20"/>
                <w:color w:val="auto"/>
              </w:rPr>
            </w:pPr>
            <w:r>
              <w:rPr>
                <w:rFonts w:ascii="Times New Roman" w:cs="Times New Roman" w:eastAsia="Times New Roman" w:hAnsi="Times New Roman"/>
                <w:sz w:val="20"/>
                <w:szCs w:val="20"/>
                <w:color w:val="0000FF"/>
              </w:rPr>
              <w:t>Benefit</w:t>
            </w:r>
          </w:p>
        </w:tc>
        <w:tc>
          <w:tcPr>
            <w:tcW w:w="5300" w:type="dxa"/>
            <w:vAlign w:val="bottom"/>
            <w:gridSpan w:val="71"/>
          </w:tcPr>
          <w:p>
            <w:pPr>
              <w:jc w:val="right"/>
              <w:ind w:right="200"/>
              <w:spacing w:after="0" w:line="194" w:lineRule="exact"/>
              <w:rPr>
                <w:sz w:val="20"/>
                <w:szCs w:val="20"/>
                <w:color w:val="auto"/>
              </w:rPr>
            </w:pPr>
            <w:r>
              <w:rPr>
                <w:rFonts w:ascii="Times New Roman" w:cs="Times New Roman" w:eastAsia="Times New Roman" w:hAnsi="Times New Roman"/>
                <w:sz w:val="20"/>
                <w:szCs w:val="20"/>
                <w:color w:val="0000FF"/>
                <w:w w:val="96"/>
              </w:rPr>
              <w:t>Arrangement, Pension Plan and Multiemployer Plan Compliance.</w:t>
            </w:r>
          </w:p>
        </w:tc>
        <w:tc>
          <w:tcPr>
            <w:tcW w:w="2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60</w:t>
            </w:r>
          </w:p>
        </w:tc>
        <w:tc>
          <w:tcPr>
            <w:tcW w:w="220" w:type="dxa"/>
            <w:vAlign w:val="bottom"/>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89"/>
              </w:rPr>
              <w:t>71</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520" w:type="dxa"/>
            <w:vAlign w:val="bottom"/>
            <w:tcBorders>
              <w:top w:val="single" w:sz="8" w:color="0000FF"/>
            </w:tcBorders>
            <w:gridSpan w:val="3"/>
          </w:tcPr>
          <w:p>
            <w:pPr>
              <w:spacing w:after="0" w:line="207" w:lineRule="exact"/>
              <w:rPr>
                <w:sz w:val="20"/>
                <w:szCs w:val="20"/>
                <w:color w:val="auto"/>
              </w:rPr>
            </w:pPr>
            <w:r>
              <w:rPr>
                <w:rFonts w:ascii="Times New Roman" w:cs="Times New Roman" w:eastAsia="Times New Roman" w:hAnsi="Times New Roman"/>
                <w:sz w:val="20"/>
                <w:szCs w:val="20"/>
                <w:color w:val="0000FF"/>
                <w:w w:val="95"/>
              </w:rPr>
              <w:t>6.</w:t>
            </w:r>
            <w:r>
              <w:rPr>
                <w:rFonts w:ascii="Times New Roman" w:cs="Times New Roman" w:eastAsia="Times New Roman" w:hAnsi="Times New Roman"/>
                <w:sz w:val="20"/>
                <w:szCs w:val="20"/>
                <w:u w:val="single" w:color="auto"/>
                <w:color w:val="0000FF"/>
                <w:w w:val="95"/>
              </w:rPr>
              <w:t>1.14</w:t>
            </w:r>
          </w:p>
        </w:tc>
        <w:tc>
          <w:tcPr>
            <w:tcW w:w="220" w:type="dxa"/>
            <w:vAlign w:val="bottom"/>
          </w:tcPr>
          <w:p>
            <w:pPr>
              <w:spacing w:after="0"/>
              <w:rPr>
                <w:sz w:val="17"/>
                <w:szCs w:val="17"/>
                <w:color w:val="auto"/>
              </w:rPr>
            </w:pPr>
          </w:p>
        </w:tc>
        <w:tc>
          <w:tcPr>
            <w:tcW w:w="2000" w:type="dxa"/>
            <w:vAlign w:val="bottom"/>
            <w:tcBorders>
              <w:top w:val="single" w:sz="8" w:color="0000FF"/>
            </w:tcBorders>
            <w:gridSpan w:val="31"/>
          </w:tcPr>
          <w:p>
            <w:pPr>
              <w:spacing w:after="0" w:line="207" w:lineRule="exact"/>
              <w:rPr>
                <w:sz w:val="20"/>
                <w:szCs w:val="20"/>
                <w:color w:val="auto"/>
              </w:rPr>
            </w:pPr>
            <w:r>
              <w:rPr>
                <w:rFonts w:ascii="Times New Roman" w:cs="Times New Roman" w:eastAsia="Times New Roman" w:hAnsi="Times New Roman"/>
                <w:sz w:val="20"/>
                <w:szCs w:val="20"/>
                <w:color w:val="0000FF"/>
                <w:w w:val="96"/>
              </w:rPr>
              <w:t>Environmental Matters.</w:t>
            </w:r>
          </w:p>
        </w:tc>
        <w:tc>
          <w:tcPr>
            <w:tcW w:w="26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rPr>
              <w:t>61</w:t>
            </w:r>
          </w:p>
        </w:tc>
        <w:tc>
          <w:tcPr>
            <w:tcW w:w="3620" w:type="dxa"/>
            <w:vAlign w:val="bottom"/>
            <w:tcBorders>
              <w:top w:val="single" w:sz="8" w:color="0000FF"/>
            </w:tcBorders>
            <w:gridSpan w:val="42"/>
          </w:tcPr>
          <w:p>
            <w:pPr>
              <w:jc w:val="right"/>
              <w:ind w:right="3365"/>
              <w:spacing w:after="0" w:line="207" w:lineRule="exact"/>
              <w:rPr>
                <w:sz w:val="20"/>
                <w:szCs w:val="20"/>
                <w:color w:val="auto"/>
              </w:rPr>
            </w:pPr>
            <w:r>
              <w:rPr>
                <w:rFonts w:ascii="Times New Roman" w:cs="Times New Roman" w:eastAsia="Times New Roman" w:hAnsi="Times New Roman"/>
                <w:sz w:val="20"/>
                <w:szCs w:val="20"/>
                <w:color w:val="0000FF"/>
                <w:w w:val="89"/>
              </w:rPr>
              <w:t>72</w:t>
            </w:r>
          </w:p>
        </w:tc>
        <w:tc>
          <w:tcPr>
            <w:tcW w:w="400" w:type="dxa"/>
            <w:vAlign w:val="bottom"/>
            <w:gridSpan w:val="3"/>
          </w:tcPr>
          <w:p>
            <w:pPr>
              <w:spacing w:after="0"/>
              <w:rPr>
                <w:sz w:val="17"/>
                <w:szCs w:val="17"/>
                <w:color w:val="auto"/>
              </w:rPr>
            </w:pPr>
          </w:p>
        </w:tc>
        <w:tc>
          <w:tcPr>
            <w:tcW w:w="220" w:type="dxa"/>
            <w:vAlign w:val="bottom"/>
            <w:tcBorders>
              <w:top w:val="single" w:sz="8" w:color="0000FF"/>
            </w:tcBorders>
            <w:gridSpan w:val="2"/>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0" w:type="dxa"/>
            <w:vAlign w:val="bottom"/>
            <w:gridSpan w:val="8"/>
          </w:tcPr>
          <w:p>
            <w:pPr>
              <w:spacing w:after="0"/>
              <w:rPr>
                <w:sz w:val="16"/>
                <w:szCs w:val="16"/>
                <w:color w:val="auto"/>
              </w:rPr>
            </w:pPr>
          </w:p>
        </w:tc>
        <w:tc>
          <w:tcPr>
            <w:tcW w:w="520" w:type="dxa"/>
            <w:vAlign w:val="bottom"/>
            <w:tcBorders>
              <w:top w:val="single" w:sz="8" w:color="0000FF"/>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20"/>
                <w:szCs w:val="20"/>
                <w:color w:val="0000FF"/>
                <w:w w:val="95"/>
              </w:rPr>
              <w:t>6.</w:t>
            </w:r>
            <w:r>
              <w:rPr>
                <w:rFonts w:ascii="Times New Roman" w:cs="Times New Roman" w:eastAsia="Times New Roman" w:hAnsi="Times New Roman"/>
                <w:sz w:val="20"/>
                <w:szCs w:val="20"/>
                <w:u w:val="single" w:color="auto"/>
                <w:color w:val="0000FF"/>
                <w:w w:val="95"/>
              </w:rPr>
              <w:t>1.15</w:t>
            </w:r>
          </w:p>
        </w:tc>
        <w:tc>
          <w:tcPr>
            <w:tcW w:w="220" w:type="dxa"/>
            <w:vAlign w:val="bottom"/>
          </w:tcPr>
          <w:p>
            <w:pPr>
              <w:spacing w:after="0"/>
              <w:rPr>
                <w:sz w:val="16"/>
                <w:szCs w:val="16"/>
                <w:color w:val="auto"/>
              </w:rPr>
            </w:pPr>
          </w:p>
        </w:tc>
        <w:tc>
          <w:tcPr>
            <w:tcW w:w="780" w:type="dxa"/>
            <w:vAlign w:val="bottom"/>
            <w:tcBorders>
              <w:top w:val="single" w:sz="8" w:color="0000FF"/>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20"/>
                <w:szCs w:val="20"/>
                <w:color w:val="0000FF"/>
                <w:w w:val="93"/>
              </w:rPr>
              <w:t>Solvency.</w:t>
            </w:r>
          </w:p>
        </w:tc>
        <w:tc>
          <w:tcPr>
            <w:tcW w:w="360" w:type="dxa"/>
            <w:vAlign w:val="bottom"/>
            <w:tcBorders>
              <w:top w:val="single" w:sz="8" w:color="0000FF"/>
            </w:tcBorders>
            <w:gridSpan w:val="4"/>
          </w:tcPr>
          <w:p>
            <w:pPr>
              <w:jc w:val="right"/>
              <w:ind w:right="360"/>
              <w:spacing w:after="0"/>
              <w:rPr>
                <w:sz w:val="20"/>
                <w:szCs w:val="20"/>
                <w:color w:val="auto"/>
              </w:rPr>
            </w:pPr>
            <w:r>
              <w:rPr>
                <w:rFonts w:ascii="Times New Roman" w:cs="Times New Roman" w:eastAsia="Times New Roman" w:hAnsi="Times New Roman"/>
                <w:sz w:val="20"/>
                <w:szCs w:val="20"/>
                <w:color w:val="FF0000"/>
                <w:strike w:val="1"/>
              </w:rPr>
              <w:t>61</w:t>
            </w:r>
          </w:p>
        </w:tc>
        <w:tc>
          <w:tcPr>
            <w:tcW w:w="240" w:type="dxa"/>
            <w:vAlign w:val="bottom"/>
            <w:tcBorders>
              <w:top w:val="single" w:sz="8" w:color="0000FF"/>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20"/>
                <w:szCs w:val="20"/>
                <w:color w:val="0000FF"/>
                <w:w w:val="99"/>
              </w:rPr>
              <w:t>72</w:t>
            </w:r>
          </w:p>
        </w:tc>
        <w:tc>
          <w:tcPr>
            <w:tcW w:w="500" w:type="dxa"/>
            <w:vAlign w:val="bottom"/>
            <w:tcBorders>
              <w:top w:val="single" w:sz="8" w:color="0000FF"/>
            </w:tcBorders>
            <w:gridSpan w:val="15"/>
          </w:tcPr>
          <w:p>
            <w:pPr>
              <w:spacing w:after="0"/>
              <w:rPr>
                <w:sz w:val="16"/>
                <w:szCs w:val="16"/>
                <w:color w:val="auto"/>
              </w:rPr>
            </w:pPr>
          </w:p>
        </w:tc>
        <w:tc>
          <w:tcPr>
            <w:tcW w:w="380" w:type="dxa"/>
            <w:vAlign w:val="bottom"/>
            <w:gridSpan w:val="4"/>
          </w:tcPr>
          <w:p>
            <w:pPr>
              <w:spacing w:after="0"/>
              <w:rPr>
                <w:sz w:val="16"/>
                <w:szCs w:val="16"/>
                <w:color w:val="auto"/>
              </w:rPr>
            </w:pPr>
          </w:p>
        </w:tc>
        <w:tc>
          <w:tcPr>
            <w:tcW w:w="200" w:type="dxa"/>
            <w:vAlign w:val="bottom"/>
            <w:tcBorders>
              <w:top w:val="single" w:sz="8" w:color="0000FF"/>
            </w:tcBorders>
            <w:gridSpan w:val="3"/>
          </w:tcPr>
          <w:p>
            <w:pPr>
              <w:spacing w:after="0"/>
              <w:rPr>
                <w:sz w:val="16"/>
                <w:szCs w:val="16"/>
                <w:color w:val="auto"/>
              </w:rPr>
            </w:pPr>
          </w:p>
        </w:tc>
        <w:tc>
          <w:tcPr>
            <w:tcW w:w="6040" w:type="dxa"/>
            <w:vAlign w:val="bottom"/>
            <w:gridSpan w:val="45"/>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spacing w:after="0" w:line="207" w:lineRule="exact"/>
              <w:rPr>
                <w:sz w:val="20"/>
                <w:szCs w:val="20"/>
                <w:color w:val="auto"/>
              </w:rPr>
            </w:pPr>
            <w:r>
              <w:rPr>
                <w:rFonts w:ascii="Times New Roman" w:cs="Times New Roman" w:eastAsia="Times New Roman" w:hAnsi="Times New Roman"/>
                <w:sz w:val="20"/>
                <w:szCs w:val="20"/>
                <w:color w:val="0000FF"/>
                <w:w w:val="95"/>
              </w:rPr>
              <w:t>6.</w:t>
            </w:r>
            <w:r>
              <w:rPr>
                <w:rFonts w:ascii="Times New Roman" w:cs="Times New Roman" w:eastAsia="Times New Roman" w:hAnsi="Times New Roman"/>
                <w:sz w:val="20"/>
                <w:szCs w:val="20"/>
                <w:u w:val="single" w:color="auto"/>
                <w:color w:val="0000FF"/>
                <w:w w:val="95"/>
              </w:rPr>
              <w:t>1.16</w:t>
            </w:r>
          </w:p>
        </w:tc>
        <w:tc>
          <w:tcPr>
            <w:tcW w:w="220" w:type="dxa"/>
            <w:vAlign w:val="bottom"/>
          </w:tcPr>
          <w:p>
            <w:pPr>
              <w:spacing w:after="0"/>
              <w:rPr>
                <w:sz w:val="17"/>
                <w:szCs w:val="17"/>
                <w:color w:val="auto"/>
              </w:rPr>
            </w:pPr>
          </w:p>
        </w:tc>
        <w:tc>
          <w:tcPr>
            <w:tcW w:w="780" w:type="dxa"/>
            <w:vAlign w:val="bottom"/>
            <w:gridSpan w:val="5"/>
          </w:tcPr>
          <w:p>
            <w:pPr>
              <w:spacing w:after="0" w:line="207" w:lineRule="exact"/>
              <w:rPr>
                <w:sz w:val="20"/>
                <w:szCs w:val="20"/>
                <w:color w:val="auto"/>
              </w:rPr>
            </w:pPr>
            <w:r>
              <w:rPr>
                <w:rFonts w:ascii="Times New Roman" w:cs="Times New Roman" w:eastAsia="Times New Roman" w:hAnsi="Times New Roman"/>
                <w:sz w:val="20"/>
                <w:szCs w:val="20"/>
                <w:color w:val="0000FF"/>
                <w:w w:val="95"/>
              </w:rPr>
              <w:t>Sanctions</w:t>
            </w:r>
          </w:p>
        </w:tc>
        <w:tc>
          <w:tcPr>
            <w:tcW w:w="360" w:type="dxa"/>
            <w:vAlign w:val="bottom"/>
            <w:gridSpan w:val="4"/>
          </w:tcPr>
          <w:p>
            <w:pPr>
              <w:jc w:val="right"/>
              <w:ind w:right="80"/>
              <w:spacing w:after="0" w:line="207" w:lineRule="exact"/>
              <w:rPr>
                <w:sz w:val="20"/>
                <w:szCs w:val="20"/>
                <w:color w:val="auto"/>
              </w:rPr>
            </w:pPr>
            <w:r>
              <w:rPr>
                <w:rFonts w:ascii="Times New Roman" w:cs="Times New Roman" w:eastAsia="Times New Roman" w:hAnsi="Times New Roman"/>
                <w:sz w:val="20"/>
                <w:szCs w:val="20"/>
                <w:color w:val="0000FF"/>
                <w:w w:val="89"/>
              </w:rPr>
              <w:t>and</w:t>
            </w:r>
          </w:p>
        </w:tc>
        <w:tc>
          <w:tcPr>
            <w:tcW w:w="2400" w:type="dxa"/>
            <w:vAlign w:val="bottom"/>
            <w:gridSpan w:val="43"/>
          </w:tcPr>
          <w:p>
            <w:pPr>
              <w:spacing w:after="0" w:line="207" w:lineRule="exact"/>
              <w:rPr>
                <w:sz w:val="20"/>
                <w:szCs w:val="20"/>
                <w:color w:val="auto"/>
              </w:rPr>
            </w:pPr>
            <w:r>
              <w:rPr>
                <w:rFonts w:ascii="Times New Roman" w:cs="Times New Roman" w:eastAsia="Times New Roman" w:hAnsi="Times New Roman"/>
                <w:sz w:val="20"/>
                <w:szCs w:val="20"/>
                <w:color w:val="0000FF"/>
              </w:rPr>
              <w:t>other Anti-Terrorism Laws.</w:t>
            </w:r>
          </w:p>
        </w:tc>
        <w:tc>
          <w:tcPr>
            <w:tcW w:w="200" w:type="dxa"/>
            <w:vAlign w:val="bottom"/>
            <w:gridSpan w:val="5"/>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61</w:t>
            </w:r>
          </w:p>
        </w:tc>
        <w:tc>
          <w:tcPr>
            <w:tcW w:w="220" w:type="dxa"/>
            <w:vAlign w:val="bottom"/>
            <w:gridSpan w:val="7"/>
          </w:tcPr>
          <w:p>
            <w:pPr>
              <w:spacing w:after="0" w:line="207" w:lineRule="exact"/>
              <w:rPr>
                <w:sz w:val="20"/>
                <w:szCs w:val="20"/>
                <w:color w:val="auto"/>
              </w:rPr>
            </w:pPr>
            <w:r>
              <w:rPr>
                <w:rFonts w:ascii="Times New Roman" w:cs="Times New Roman" w:eastAsia="Times New Roman" w:hAnsi="Times New Roman"/>
                <w:sz w:val="20"/>
                <w:szCs w:val="20"/>
                <w:color w:val="0000FF"/>
                <w:w w:val="99"/>
              </w:rPr>
              <w:t>72</w:t>
            </w:r>
          </w:p>
        </w:tc>
        <w:tc>
          <w:tcPr>
            <w:tcW w:w="80" w:type="dxa"/>
            <w:vAlign w:val="bottom"/>
            <w:gridSpan w:val="2"/>
          </w:tcPr>
          <w:p>
            <w:pPr>
              <w:spacing w:after="0"/>
              <w:rPr>
                <w:sz w:val="17"/>
                <w:szCs w:val="17"/>
                <w:color w:val="auto"/>
              </w:rPr>
            </w:pPr>
          </w:p>
        </w:tc>
        <w:tc>
          <w:tcPr>
            <w:tcW w:w="6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520" w:type="dxa"/>
            <w:vAlign w:val="bottom"/>
            <w:tcBorders>
              <w:top w:val="single" w:sz="8" w:color="0000FF"/>
            </w:tcBorders>
            <w:gridSpan w:val="3"/>
          </w:tcPr>
          <w:p>
            <w:pPr>
              <w:spacing w:after="0" w:line="207" w:lineRule="exact"/>
              <w:rPr>
                <w:sz w:val="20"/>
                <w:szCs w:val="20"/>
                <w:color w:val="auto"/>
              </w:rPr>
            </w:pPr>
            <w:r>
              <w:rPr>
                <w:rFonts w:ascii="Times New Roman" w:cs="Times New Roman" w:eastAsia="Times New Roman" w:hAnsi="Times New Roman"/>
                <w:sz w:val="20"/>
                <w:szCs w:val="20"/>
                <w:color w:val="0000FF"/>
                <w:w w:val="95"/>
              </w:rPr>
              <w:t>6.</w:t>
            </w:r>
            <w:r>
              <w:rPr>
                <w:rFonts w:ascii="Times New Roman" w:cs="Times New Roman" w:eastAsia="Times New Roman" w:hAnsi="Times New Roman"/>
                <w:sz w:val="20"/>
                <w:szCs w:val="20"/>
                <w:u w:val="single" w:color="auto"/>
                <w:color w:val="0000FF"/>
                <w:w w:val="95"/>
              </w:rPr>
              <w:t>1.17</w:t>
            </w:r>
          </w:p>
        </w:tc>
        <w:tc>
          <w:tcPr>
            <w:tcW w:w="220" w:type="dxa"/>
            <w:vAlign w:val="bottom"/>
          </w:tcPr>
          <w:p>
            <w:pPr>
              <w:spacing w:after="0"/>
              <w:rPr>
                <w:sz w:val="17"/>
                <w:szCs w:val="17"/>
                <w:color w:val="auto"/>
              </w:rPr>
            </w:pPr>
          </w:p>
        </w:tc>
        <w:tc>
          <w:tcPr>
            <w:tcW w:w="1680" w:type="dxa"/>
            <w:vAlign w:val="bottom"/>
            <w:tcBorders>
              <w:top w:val="single" w:sz="8" w:color="0000FF"/>
            </w:tcBorders>
            <w:gridSpan w:val="24"/>
          </w:tcPr>
          <w:p>
            <w:pPr>
              <w:spacing w:after="0" w:line="207" w:lineRule="exact"/>
              <w:rPr>
                <w:sz w:val="20"/>
                <w:szCs w:val="20"/>
                <w:color w:val="auto"/>
              </w:rPr>
            </w:pPr>
            <w:r>
              <w:rPr>
                <w:rFonts w:ascii="Times New Roman" w:cs="Times New Roman" w:eastAsia="Times New Roman" w:hAnsi="Times New Roman"/>
                <w:sz w:val="20"/>
                <w:szCs w:val="20"/>
                <w:color w:val="0000FF"/>
              </w:rPr>
              <w:t>Senior Debt Status.</w:t>
            </w:r>
          </w:p>
        </w:tc>
        <w:tc>
          <w:tcPr>
            <w:tcW w:w="220" w:type="dxa"/>
            <w:vAlign w:val="bottom"/>
            <w:tcBorders>
              <w:top w:val="single" w:sz="8" w:color="0000FF"/>
            </w:tcBorders>
            <w:gridSpan w:val="6"/>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99"/>
              </w:rPr>
              <w:t>61</w:t>
            </w:r>
          </w:p>
        </w:tc>
        <w:tc>
          <w:tcPr>
            <w:tcW w:w="1440" w:type="dxa"/>
            <w:vAlign w:val="bottom"/>
            <w:tcBorders>
              <w:top w:val="single" w:sz="8" w:color="0000FF"/>
            </w:tcBorders>
            <w:gridSpan w:val="18"/>
          </w:tcPr>
          <w:p>
            <w:pPr>
              <w:jc w:val="right"/>
              <w:ind w:right="1240"/>
              <w:spacing w:after="0" w:line="207" w:lineRule="exact"/>
              <w:rPr>
                <w:sz w:val="20"/>
                <w:szCs w:val="20"/>
                <w:color w:val="auto"/>
              </w:rPr>
            </w:pPr>
            <w:r>
              <w:rPr>
                <w:rFonts w:ascii="Times New Roman" w:cs="Times New Roman" w:eastAsia="Times New Roman" w:hAnsi="Times New Roman"/>
                <w:sz w:val="20"/>
                <w:szCs w:val="20"/>
                <w:color w:val="0000FF"/>
                <w:w w:val="89"/>
              </w:rPr>
              <w:t>72</w:t>
            </w:r>
          </w:p>
        </w:tc>
        <w:tc>
          <w:tcPr>
            <w:tcW w:w="400" w:type="dxa"/>
            <w:vAlign w:val="bottom"/>
            <w:gridSpan w:val="9"/>
          </w:tcPr>
          <w:p>
            <w:pPr>
              <w:spacing w:after="0"/>
              <w:rPr>
                <w:sz w:val="17"/>
                <w:szCs w:val="17"/>
                <w:color w:val="auto"/>
              </w:rPr>
            </w:pPr>
          </w:p>
        </w:tc>
        <w:tc>
          <w:tcPr>
            <w:tcW w:w="200" w:type="dxa"/>
            <w:vAlign w:val="bottom"/>
            <w:tcBorders>
              <w:top w:val="single" w:sz="8" w:color="0000FF"/>
            </w:tcBorders>
            <w:gridSpan w:val="6"/>
          </w:tcPr>
          <w:p>
            <w:pPr>
              <w:spacing w:after="0"/>
              <w:rPr>
                <w:sz w:val="17"/>
                <w:szCs w:val="17"/>
                <w:color w:val="auto"/>
              </w:rPr>
            </w:pPr>
          </w:p>
        </w:tc>
        <w:tc>
          <w:tcPr>
            <w:tcW w:w="4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5"/>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14"/>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0" w:type="dxa"/>
            <w:vAlign w:val="bottom"/>
            <w:gridSpan w:val="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40" w:type="dxa"/>
            <w:vAlign w:val="bottom"/>
            <w:gridSpan w:val="5"/>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74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20"/>
                <w:szCs w:val="20"/>
                <w:color w:val="0000FF"/>
                <w:w w:val="95"/>
              </w:rPr>
              <w:t>6.</w:t>
            </w:r>
            <w:r>
              <w:rPr>
                <w:rFonts w:ascii="Times New Roman" w:cs="Times New Roman" w:eastAsia="Times New Roman" w:hAnsi="Times New Roman"/>
                <w:sz w:val="20"/>
                <w:szCs w:val="20"/>
                <w:u w:val="single" w:color="auto"/>
                <w:color w:val="0000FF"/>
                <w:w w:val="95"/>
              </w:rPr>
              <w:t>1.18</w:t>
            </w:r>
          </w:p>
        </w:tc>
        <w:tc>
          <w:tcPr>
            <w:tcW w:w="1860" w:type="dxa"/>
            <w:vAlign w:val="bottom"/>
            <w:tcBorders>
              <w:bottom w:val="single" w:sz="8" w:color="0000FF"/>
            </w:tcBorders>
            <w:gridSpan w:val="28"/>
          </w:tcPr>
          <w:p>
            <w:pPr>
              <w:spacing w:after="0" w:line="194" w:lineRule="exact"/>
              <w:rPr>
                <w:sz w:val="20"/>
                <w:szCs w:val="20"/>
                <w:color w:val="auto"/>
              </w:rPr>
            </w:pPr>
            <w:r>
              <w:rPr>
                <w:rFonts w:ascii="Times New Roman" w:cs="Times New Roman" w:eastAsia="Times New Roman" w:hAnsi="Times New Roman"/>
                <w:sz w:val="20"/>
                <w:szCs w:val="20"/>
                <w:color w:val="0000FF"/>
              </w:rPr>
              <w:t>Anti-Corruption Laws.</w:t>
            </w:r>
          </w:p>
        </w:tc>
        <w:tc>
          <w:tcPr>
            <w:tcW w:w="40" w:type="dxa"/>
            <w:vAlign w:val="bottom"/>
            <w:tcBorders>
              <w:bottom w:val="single" w:sz="8" w:color="0000FF"/>
            </w:tcBorders>
            <w:gridSpan w:val="2"/>
            <w:vMerge w:val="continue"/>
          </w:tcPr>
          <w:p>
            <w:pPr>
              <w:spacing w:after="0"/>
              <w:rPr>
                <w:sz w:val="16"/>
                <w:szCs w:val="16"/>
                <w:color w:val="auto"/>
              </w:rPr>
            </w:pPr>
          </w:p>
        </w:tc>
        <w:tc>
          <w:tcPr>
            <w:tcW w:w="360" w:type="dxa"/>
            <w:vAlign w:val="bottom"/>
            <w:tcBorders>
              <w:bottom w:val="single" w:sz="8" w:color="0000FF"/>
            </w:tcBorders>
            <w:gridSpan w:val="3"/>
          </w:tcPr>
          <w:p>
            <w:pPr>
              <w:jc w:val="right"/>
              <w:ind w:right="80"/>
              <w:spacing w:after="0" w:line="194" w:lineRule="exact"/>
              <w:rPr>
                <w:sz w:val="20"/>
                <w:szCs w:val="20"/>
                <w:color w:val="auto"/>
              </w:rPr>
            </w:pPr>
            <w:r>
              <w:rPr>
                <w:rFonts w:ascii="Times New Roman" w:cs="Times New Roman" w:eastAsia="Times New Roman" w:hAnsi="Times New Roman"/>
                <w:sz w:val="20"/>
                <w:szCs w:val="20"/>
                <w:color w:val="0000FF"/>
              </w:rPr>
              <w:t>72</w:t>
            </w:r>
          </w:p>
        </w:tc>
        <w:tc>
          <w:tcPr>
            <w:tcW w:w="6240" w:type="dxa"/>
            <w:vAlign w:val="bottom"/>
            <w:gridSpan w:val="4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bottom w:val="single" w:sz="8" w:color="0000FF"/>
            </w:tcBorders>
            <w:gridSpan w:val="51"/>
          </w:tcPr>
          <w:p>
            <w:pPr>
              <w:jc w:val="center"/>
              <w:spacing w:after="0" w:line="207" w:lineRule="exact"/>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1.19</w:t>
            </w:r>
            <w:r>
              <w:rPr>
                <w:rFonts w:ascii="Times New Roman" w:cs="Times New Roman" w:eastAsia="Times New Roman" w:hAnsi="Times New Roman"/>
                <w:sz w:val="20"/>
                <w:szCs w:val="20"/>
                <w:color w:val="0000FF"/>
              </w:rPr>
              <w:t xml:space="preserve">  Certificate of Beneficial Ownership.  72</w:t>
            </w:r>
          </w:p>
        </w:tc>
        <w:tc>
          <w:tcPr>
            <w:tcW w:w="2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3"/>
              </w:rPr>
              <w:t>7.</w:t>
            </w:r>
          </w:p>
        </w:tc>
        <w:tc>
          <w:tcPr>
            <w:tcW w:w="6680" w:type="dxa"/>
            <w:vAlign w:val="bottom"/>
            <w:gridSpan w:val="82"/>
          </w:tcPr>
          <w:p>
            <w:pPr>
              <w:jc w:val="center"/>
              <w:ind w:right="60"/>
              <w:spacing w:after="0"/>
              <w:rPr>
                <w:sz w:val="20"/>
                <w:szCs w:val="20"/>
                <w:color w:val="auto"/>
              </w:rPr>
            </w:pPr>
            <w:r>
              <w:rPr>
                <w:rFonts w:ascii="Times New Roman" w:cs="Times New Roman" w:eastAsia="Times New Roman" w:hAnsi="Times New Roman"/>
                <w:sz w:val="20"/>
                <w:szCs w:val="20"/>
                <w:color w:val="0000FF"/>
              </w:rPr>
              <w:t>CONDITIONS OF LENDING AND ISSUANCE OF LETTERS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89"/>
              </w:rPr>
              <w:t>72</w:t>
            </w:r>
          </w:p>
        </w:tc>
        <w:tc>
          <w:tcPr>
            <w:tcW w:w="560" w:type="dxa"/>
            <w:vAlign w:val="bottom"/>
          </w:tcPr>
          <w:p>
            <w:pPr>
              <w:spacing w:after="0"/>
              <w:rPr>
                <w:sz w:val="24"/>
                <w:szCs w:val="24"/>
                <w:color w:val="auto"/>
              </w:rPr>
            </w:pPr>
          </w:p>
        </w:tc>
        <w:tc>
          <w:tcPr>
            <w:tcW w:w="240" w:type="dxa"/>
            <w:vAlign w:val="bottom"/>
            <w:gridSpan w:val="3"/>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340" w:type="dxa"/>
            <w:vAlign w:val="bottom"/>
            <w:tcBorders>
              <w:top w:val="single" w:sz="8" w:color="0000FF"/>
            </w:tcBorders>
            <w:gridSpan w:val="40"/>
          </w:tcPr>
          <w:p>
            <w:pPr>
              <w:jc w:val="center"/>
              <w:ind w:right="119"/>
              <w:spacing w:after="0" w:line="194" w:lineRule="exact"/>
              <w:rPr>
                <w:sz w:val="20"/>
                <w:szCs w:val="20"/>
                <w:color w:val="auto"/>
              </w:rPr>
            </w:pPr>
            <w:r>
              <w:rPr>
                <w:rFonts w:ascii="Times New Roman" w:cs="Times New Roman" w:eastAsia="Times New Roman" w:hAnsi="Times New Roman"/>
                <w:sz w:val="20"/>
                <w:szCs w:val="20"/>
                <w:color w:val="0000FF"/>
              </w:rPr>
              <w:t>7.</w:t>
            </w:r>
            <w:r>
              <w:rPr>
                <w:rFonts w:ascii="Times New Roman" w:cs="Times New Roman" w:eastAsia="Times New Roman" w:hAnsi="Times New Roman"/>
                <w:sz w:val="20"/>
                <w:szCs w:val="20"/>
                <w:u w:val="single" w:color="auto"/>
                <w:color w:val="0000FF"/>
              </w:rPr>
              <w:t>1</w:t>
            </w:r>
            <w:r>
              <w:rPr>
                <w:rFonts w:ascii="Times New Roman" w:cs="Times New Roman" w:eastAsia="Times New Roman" w:hAnsi="Times New Roman"/>
                <w:sz w:val="20"/>
                <w:szCs w:val="20"/>
                <w:color w:val="0000FF"/>
              </w:rPr>
              <w:t xml:space="preserve">  First Loans and Letters of Credit.</w:t>
            </w:r>
          </w:p>
        </w:tc>
        <w:tc>
          <w:tcPr>
            <w:tcW w:w="260" w:type="dxa"/>
            <w:vAlign w:val="bottom"/>
            <w:tcBorders>
              <w:top w:val="single" w:sz="8" w:color="0000FF"/>
            </w:tcBorders>
            <w:gridSpan w:val="2"/>
          </w:tcPr>
          <w:p>
            <w:pPr>
              <w:jc w:val="right"/>
              <w:ind w:right="80"/>
              <w:spacing w:after="0" w:line="194" w:lineRule="exact"/>
              <w:rPr>
                <w:sz w:val="20"/>
                <w:szCs w:val="20"/>
                <w:color w:val="auto"/>
              </w:rPr>
            </w:pPr>
            <w:r>
              <w:rPr>
                <w:rFonts w:ascii="Times New Roman" w:cs="Times New Roman" w:eastAsia="Times New Roman" w:hAnsi="Times New Roman"/>
                <w:sz w:val="20"/>
                <w:szCs w:val="20"/>
                <w:color w:val="FF0000"/>
                <w:strike w:val="1"/>
                <w:w w:val="79"/>
              </w:rPr>
              <w:t>61</w:t>
            </w:r>
          </w:p>
        </w:tc>
        <w:tc>
          <w:tcPr>
            <w:tcW w:w="1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71"/>
              </w:rPr>
              <w:t>73</w:t>
            </w:r>
          </w:p>
        </w:tc>
        <w:tc>
          <w:tcPr>
            <w:tcW w:w="120" w:type="dxa"/>
            <w:vAlign w:val="bottom"/>
            <w:tcBorders>
              <w:top w:val="single" w:sz="8" w:color="0000FF"/>
            </w:tcBorders>
            <w:gridSpan w:val="3"/>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0000FF"/>
            </w:tcBorders>
            <w:gridSpan w:val="11"/>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7"/>
          </w:tcPr>
          <w:p>
            <w:pPr>
              <w:spacing w:after="0" w:line="20" w:lineRule="exact"/>
              <w:rPr>
                <w:sz w:val="1"/>
                <w:szCs w:val="1"/>
                <w:color w:val="auto"/>
              </w:rPr>
            </w:pPr>
          </w:p>
        </w:tc>
        <w:tc>
          <w:tcPr>
            <w:tcW w:w="6240" w:type="dxa"/>
            <w:vAlign w:val="bottom"/>
            <w:tcBorders>
              <w:left w:val="single" w:sz="8" w:color="0000FF"/>
            </w:tcBorders>
            <w:gridSpan w:val="4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00" w:type="dxa"/>
            <w:vAlign w:val="bottom"/>
            <w:gridSpan w:val="8"/>
          </w:tcPr>
          <w:p>
            <w:pPr>
              <w:spacing w:after="0"/>
              <w:rPr>
                <w:sz w:val="17"/>
                <w:szCs w:val="17"/>
                <w:color w:val="auto"/>
              </w:rPr>
            </w:pPr>
          </w:p>
        </w:tc>
        <w:tc>
          <w:tcPr>
            <w:tcW w:w="420" w:type="dxa"/>
            <w:vAlign w:val="bottom"/>
            <w:tcBorders>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7.</w:t>
            </w:r>
            <w:r>
              <w:rPr>
                <w:rFonts w:ascii="Times New Roman" w:cs="Times New Roman" w:eastAsia="Times New Roman" w:hAnsi="Times New Roman"/>
                <w:sz w:val="20"/>
                <w:szCs w:val="20"/>
                <w:u w:val="single" w:color="auto"/>
                <w:color w:val="0000FF"/>
                <w:w w:val="99"/>
              </w:rPr>
              <w:t>1.1</w:t>
            </w:r>
          </w:p>
        </w:tc>
        <w:tc>
          <w:tcPr>
            <w:tcW w:w="320" w:type="dxa"/>
            <w:vAlign w:val="bottom"/>
            <w:gridSpan w:val="2"/>
          </w:tcPr>
          <w:p>
            <w:pPr>
              <w:spacing w:after="0"/>
              <w:rPr>
                <w:sz w:val="17"/>
                <w:szCs w:val="17"/>
                <w:color w:val="auto"/>
              </w:rPr>
            </w:pPr>
          </w:p>
        </w:tc>
        <w:tc>
          <w:tcPr>
            <w:tcW w:w="720" w:type="dxa"/>
            <w:vAlign w:val="bottom"/>
            <w:tcBorders>
              <w:bottom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w w:val="80"/>
              </w:rPr>
              <w:t>Deliveries.</w:t>
            </w:r>
          </w:p>
        </w:tc>
        <w:tc>
          <w:tcPr>
            <w:tcW w:w="420" w:type="dxa"/>
            <w:vAlign w:val="bottom"/>
            <w:gridSpan w:val="5"/>
          </w:tcPr>
          <w:p>
            <w:pPr>
              <w:jc w:val="right"/>
              <w:ind w:right="420"/>
              <w:spacing w:after="0"/>
              <w:rPr>
                <w:sz w:val="20"/>
                <w:szCs w:val="20"/>
                <w:color w:val="auto"/>
              </w:rPr>
            </w:pPr>
            <w:r>
              <w:rPr>
                <w:rFonts w:ascii="Times New Roman" w:cs="Times New Roman" w:eastAsia="Times New Roman" w:hAnsi="Times New Roman"/>
                <w:sz w:val="20"/>
                <w:szCs w:val="20"/>
                <w:color w:val="FF0000"/>
                <w:strike w:val="1"/>
              </w:rPr>
              <w:t>61</w:t>
            </w:r>
          </w:p>
        </w:tc>
        <w:tc>
          <w:tcPr>
            <w:tcW w:w="180" w:type="dxa"/>
            <w:vAlign w:val="bottom"/>
            <w:tcBorders>
              <w:bottom w:val="single" w:sz="8" w:color="0000FF"/>
            </w:tcBorders>
            <w:gridSpan w:val="4"/>
          </w:tcPr>
          <w:p>
            <w:pPr>
              <w:spacing w:after="0" w:line="207" w:lineRule="exact"/>
              <w:rPr>
                <w:sz w:val="20"/>
                <w:szCs w:val="20"/>
                <w:color w:val="auto"/>
              </w:rPr>
            </w:pPr>
            <w:r>
              <w:rPr>
                <w:rFonts w:ascii="Times New Roman" w:cs="Times New Roman" w:eastAsia="Times New Roman" w:hAnsi="Times New Roman"/>
                <w:sz w:val="20"/>
                <w:szCs w:val="20"/>
                <w:color w:val="0000FF"/>
                <w:w w:val="79"/>
              </w:rPr>
              <w:t>73</w:t>
            </w:r>
          </w:p>
        </w:tc>
        <w:tc>
          <w:tcPr>
            <w:tcW w:w="120" w:type="dxa"/>
            <w:vAlign w:val="bottom"/>
            <w:gridSpan w:val="3"/>
          </w:tcPr>
          <w:p>
            <w:pPr>
              <w:spacing w:after="0"/>
              <w:rPr>
                <w:sz w:val="17"/>
                <w:szCs w:val="17"/>
                <w:color w:val="auto"/>
              </w:rPr>
            </w:pPr>
          </w:p>
        </w:tc>
        <w:tc>
          <w:tcPr>
            <w:tcW w:w="2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20"/>
                <w:szCs w:val="20"/>
                <w:color w:val="FF0000"/>
                <w:strike w:val="1"/>
                <w:w w:val="99"/>
              </w:rPr>
              <w:t>63</w:t>
            </w:r>
          </w:p>
        </w:tc>
        <w:tc>
          <w:tcPr>
            <w:tcW w:w="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74</w:t>
            </w:r>
          </w:p>
        </w:tc>
        <w:tc>
          <w:tcPr>
            <w:tcW w:w="6660" w:type="dxa"/>
            <w:vAlign w:val="bottom"/>
            <w:gridSpan w:val="5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420" w:type="dxa"/>
            <w:vAlign w:val="bottom"/>
            <w:tcBorders>
              <w:bottom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7.</w:t>
            </w:r>
            <w:r>
              <w:rPr>
                <w:rFonts w:ascii="Times New Roman" w:cs="Times New Roman" w:eastAsia="Times New Roman" w:hAnsi="Times New Roman"/>
                <w:sz w:val="20"/>
                <w:szCs w:val="20"/>
                <w:u w:val="single" w:color="auto"/>
                <w:color w:val="0000FF"/>
                <w:w w:val="99"/>
              </w:rPr>
              <w:t>1.2</w:t>
            </w:r>
          </w:p>
        </w:tc>
        <w:tc>
          <w:tcPr>
            <w:tcW w:w="320" w:type="dxa"/>
            <w:vAlign w:val="bottom"/>
            <w:gridSpan w:val="2"/>
          </w:tcPr>
          <w:p>
            <w:pPr>
              <w:spacing w:after="0"/>
              <w:rPr>
                <w:sz w:val="17"/>
                <w:szCs w:val="17"/>
                <w:color w:val="auto"/>
              </w:rPr>
            </w:pPr>
          </w:p>
        </w:tc>
        <w:tc>
          <w:tcPr>
            <w:tcW w:w="1240" w:type="dxa"/>
            <w:vAlign w:val="bottom"/>
            <w:tcBorders>
              <w:bottom w:val="single" w:sz="8" w:color="0000FF"/>
            </w:tcBorders>
            <w:gridSpan w:val="10"/>
          </w:tcPr>
          <w:p>
            <w:pPr>
              <w:spacing w:after="0" w:line="207" w:lineRule="exact"/>
              <w:rPr>
                <w:sz w:val="20"/>
                <w:szCs w:val="20"/>
                <w:color w:val="auto"/>
              </w:rPr>
            </w:pPr>
            <w:r>
              <w:rPr>
                <w:rFonts w:ascii="Times New Roman" w:cs="Times New Roman" w:eastAsia="Times New Roman" w:hAnsi="Times New Roman"/>
                <w:sz w:val="20"/>
                <w:szCs w:val="20"/>
                <w:color w:val="0000FF"/>
                <w:w w:val="86"/>
              </w:rPr>
              <w:t>Payment of Fees.</w:t>
            </w:r>
          </w:p>
        </w:tc>
        <w:tc>
          <w:tcPr>
            <w:tcW w:w="200" w:type="dxa"/>
            <w:vAlign w:val="bottom"/>
            <w:gridSpan w:val="6"/>
          </w:tcPr>
          <w:p>
            <w:pPr>
              <w:spacing w:after="0"/>
              <w:rPr>
                <w:sz w:val="17"/>
                <w:szCs w:val="17"/>
                <w:color w:val="auto"/>
              </w:rPr>
            </w:pPr>
          </w:p>
        </w:tc>
        <w:tc>
          <w:tcPr>
            <w:tcW w:w="200" w:type="dxa"/>
            <w:vAlign w:val="bottom"/>
            <w:gridSpan w:val="7"/>
            <w:vMerge w:val="continue"/>
          </w:tcPr>
          <w:p>
            <w:pPr>
              <w:spacing w:after="0"/>
              <w:rPr>
                <w:sz w:val="17"/>
                <w:szCs w:val="17"/>
                <w:color w:val="auto"/>
              </w:rPr>
            </w:pPr>
          </w:p>
        </w:tc>
        <w:tc>
          <w:tcPr>
            <w:tcW w:w="200" w:type="dxa"/>
            <w:vAlign w:val="bottom"/>
            <w:tcBorders>
              <w:bottom w:val="single" w:sz="8" w:color="0000FF"/>
            </w:tcBorders>
            <w:gridSpan w:val="4"/>
            <w:vMerge w:val="continue"/>
          </w:tcPr>
          <w:p>
            <w:pPr>
              <w:spacing w:after="0"/>
              <w:rPr>
                <w:sz w:val="17"/>
                <w:szCs w:val="17"/>
                <w:color w:val="auto"/>
              </w:rPr>
            </w:pPr>
          </w:p>
        </w:tc>
        <w:tc>
          <w:tcPr>
            <w:tcW w:w="6660" w:type="dxa"/>
            <w:vAlign w:val="bottom"/>
            <w:gridSpan w:val="54"/>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34"/>
          </w:tcPr>
          <w:p>
            <w:pPr>
              <w:spacing w:after="0" w:line="194" w:lineRule="exact"/>
              <w:rPr>
                <w:sz w:val="20"/>
                <w:szCs w:val="20"/>
                <w:color w:val="auto"/>
              </w:rPr>
            </w:pPr>
            <w:r>
              <w:rPr>
                <w:rFonts w:ascii="Times New Roman" w:cs="Times New Roman" w:eastAsia="Times New Roman" w:hAnsi="Times New Roman"/>
                <w:sz w:val="20"/>
                <w:szCs w:val="20"/>
                <w:color w:val="0000FF"/>
              </w:rPr>
              <w:t>7.</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FF"/>
              </w:rPr>
              <w:t xml:space="preserve">  Each Loan or Letter of Credit.</w:t>
            </w:r>
          </w:p>
        </w:tc>
        <w:tc>
          <w:tcPr>
            <w:tcW w:w="280" w:type="dxa"/>
            <w:vAlign w:val="bottom"/>
            <w:gridSpan w:val="6"/>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63</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0000FF"/>
                <w:w w:val="71"/>
              </w:rPr>
              <w:t>74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0000FF"/>
            </w:tcBorders>
            <w:gridSpan w:val="11"/>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12"/>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0" w:type="dxa"/>
            <w:vAlign w:val="bottom"/>
            <w:tcBorders>
              <w:left w:val="single" w:sz="8" w:color="0000FF"/>
            </w:tcBorders>
            <w:gridSpan w:val="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0000FF"/>
                <w:w w:val="93"/>
              </w:rPr>
              <w:t>8.</w:t>
            </w:r>
          </w:p>
        </w:tc>
        <w:tc>
          <w:tcPr>
            <w:tcW w:w="14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9"/>
              </w:rPr>
              <w:t>63</w:t>
            </w:r>
          </w:p>
        </w:tc>
        <w:tc>
          <w:tcPr>
            <w:tcW w:w="1240" w:type="dxa"/>
            <w:vAlign w:val="bottom"/>
            <w:gridSpan w:val="10"/>
          </w:tcPr>
          <w:p>
            <w:pPr>
              <w:jc w:val="right"/>
              <w:ind w:right="942"/>
              <w:spacing w:after="0"/>
              <w:rPr>
                <w:sz w:val="20"/>
                <w:szCs w:val="20"/>
                <w:color w:val="auto"/>
              </w:rPr>
            </w:pPr>
            <w:r>
              <w:rPr>
                <w:rFonts w:ascii="Times New Roman" w:cs="Times New Roman" w:eastAsia="Times New Roman" w:hAnsi="Times New Roman"/>
                <w:sz w:val="20"/>
                <w:szCs w:val="20"/>
                <w:color w:val="0000FF"/>
                <w:w w:val="89"/>
              </w:rPr>
              <w:t>74</w:t>
            </w:r>
          </w:p>
        </w:tc>
        <w:tc>
          <w:tcPr>
            <w:tcW w:w="1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9"/>
                <w:szCs w:val="19"/>
                <w:color w:val="FF0000"/>
                <w:strike w:val="1"/>
                <w:w w:val="73"/>
              </w:rPr>
              <w:t>63</w:t>
            </w:r>
          </w:p>
        </w:tc>
        <w:tc>
          <w:tcPr>
            <w:tcW w:w="2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color w:val="0000FF"/>
                <w:w w:val="89"/>
              </w:rPr>
              <w:t>74</w:t>
            </w:r>
          </w:p>
        </w:tc>
        <w:tc>
          <w:tcPr>
            <w:tcW w:w="6920" w:type="dxa"/>
            <w:vAlign w:val="bottom"/>
            <w:gridSpan w:val="6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gridSpan w:val="21"/>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gridSpan w:val="4"/>
            <w:vMerge w:val="continue"/>
          </w:tcPr>
          <w:p>
            <w:pPr>
              <w:spacing w:after="0" w:line="20" w:lineRule="exact"/>
              <w:rPr>
                <w:sz w:val="1"/>
                <w:szCs w:val="1"/>
                <w:color w:val="auto"/>
              </w:rPr>
            </w:pPr>
          </w:p>
        </w:tc>
        <w:tc>
          <w:tcPr>
            <w:tcW w:w="200" w:type="dxa"/>
            <w:vAlign w:val="bottom"/>
            <w:gridSpan w:val="7"/>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90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w:t>
            </w:r>
          </w:p>
        </w:tc>
        <w:tc>
          <w:tcPr>
            <w:tcW w:w="2060" w:type="dxa"/>
            <w:vAlign w:val="bottom"/>
            <w:gridSpan w:val="15"/>
          </w:tcPr>
          <w:p>
            <w:pPr>
              <w:spacing w:after="0" w:line="207" w:lineRule="exact"/>
              <w:rPr>
                <w:sz w:val="20"/>
                <w:szCs w:val="20"/>
                <w:color w:val="auto"/>
              </w:rPr>
            </w:pPr>
            <w:r>
              <w:rPr>
                <w:rFonts w:ascii="Times New Roman" w:cs="Times New Roman" w:eastAsia="Times New Roman" w:hAnsi="Times New Roman"/>
                <w:sz w:val="20"/>
                <w:szCs w:val="20"/>
                <w:color w:val="0000FF"/>
              </w:rPr>
              <w:t>Affirmative Covenants.</w:t>
            </w:r>
          </w:p>
        </w:tc>
        <w:tc>
          <w:tcPr>
            <w:tcW w:w="100" w:type="dxa"/>
            <w:vAlign w:val="bottom"/>
            <w:vMerge w:val="continue"/>
          </w:tcPr>
          <w:p>
            <w:pPr>
              <w:spacing w:after="0"/>
              <w:rPr>
                <w:sz w:val="17"/>
                <w:szCs w:val="17"/>
                <w:color w:val="auto"/>
              </w:rPr>
            </w:pPr>
          </w:p>
        </w:tc>
        <w:tc>
          <w:tcPr>
            <w:tcW w:w="140" w:type="dxa"/>
            <w:vAlign w:val="bottom"/>
            <w:gridSpan w:val="4"/>
            <w:vMerge w:val="continue"/>
          </w:tcPr>
          <w:p>
            <w:pPr>
              <w:spacing w:after="0"/>
              <w:rPr>
                <w:sz w:val="17"/>
                <w:szCs w:val="17"/>
                <w:color w:val="auto"/>
              </w:rPr>
            </w:pPr>
          </w:p>
        </w:tc>
        <w:tc>
          <w:tcPr>
            <w:tcW w:w="200" w:type="dxa"/>
            <w:vAlign w:val="bottom"/>
            <w:gridSpan w:val="7"/>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900" w:type="dxa"/>
            <w:vAlign w:val="bottom"/>
            <w:gridSpan w:val="15"/>
          </w:tcPr>
          <w:p>
            <w:pPr>
              <w:spacing w:after="0"/>
              <w:rPr>
                <w:sz w:val="17"/>
                <w:szCs w:val="17"/>
                <w:color w:val="auto"/>
              </w:rPr>
            </w:pP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63</w:t>
            </w:r>
          </w:p>
        </w:tc>
        <w:tc>
          <w:tcPr>
            <w:tcW w:w="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20"/>
                <w:szCs w:val="20"/>
                <w:color w:val="0000FF"/>
                <w:w w:val="89"/>
              </w:rPr>
              <w:t>74</w:t>
            </w:r>
          </w:p>
        </w:tc>
        <w:tc>
          <w:tcPr>
            <w:tcW w:w="554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0000FF"/>
            </w:tcBorders>
            <w:gridSpan w:val="11"/>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1580" w:type="dxa"/>
            <w:vAlign w:val="bottom"/>
            <w:tcBorders>
              <w:left w:val="single" w:sz="8" w:color="0000FF"/>
            </w:tcBorders>
            <w:gridSpan w:val="31"/>
          </w:tcPr>
          <w:p>
            <w:pPr>
              <w:spacing w:after="0" w:line="20" w:lineRule="exact"/>
              <w:rPr>
                <w:sz w:val="1"/>
                <w:szCs w:val="1"/>
                <w:color w:val="auto"/>
              </w:rPr>
            </w:pPr>
          </w:p>
        </w:tc>
        <w:tc>
          <w:tcPr>
            <w:tcW w:w="220" w:type="dxa"/>
            <w:vAlign w:val="bottom"/>
            <w:gridSpan w:val="4"/>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6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420" w:type="dxa"/>
            <w:vAlign w:val="bottom"/>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9"/>
              </w:rPr>
              <w:t>8.</w:t>
            </w:r>
            <w:r>
              <w:rPr>
                <w:rFonts w:ascii="Times New Roman" w:cs="Times New Roman" w:eastAsia="Times New Roman" w:hAnsi="Times New Roman"/>
                <w:sz w:val="20"/>
                <w:szCs w:val="20"/>
                <w:u w:val="single" w:color="auto"/>
                <w:color w:val="0000FF"/>
                <w:w w:val="99"/>
              </w:rPr>
              <w:t>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3"/>
          </w:tcPr>
          <w:p>
            <w:pPr>
              <w:spacing w:after="0" w:line="194" w:lineRule="exact"/>
              <w:rPr>
                <w:sz w:val="20"/>
                <w:szCs w:val="20"/>
                <w:color w:val="auto"/>
              </w:rPr>
            </w:pPr>
            <w:r>
              <w:rPr>
                <w:rFonts w:ascii="Times New Roman" w:cs="Times New Roman" w:eastAsia="Times New Roman" w:hAnsi="Times New Roman"/>
                <w:sz w:val="20"/>
                <w:szCs w:val="20"/>
                <w:color w:val="0000FF"/>
                <w:w w:val="90"/>
              </w:rPr>
              <w:t>Preservation of Existence, Etc.</w:t>
            </w:r>
          </w:p>
        </w:tc>
        <w:tc>
          <w:tcPr>
            <w:tcW w:w="240" w:type="dxa"/>
            <w:vAlign w:val="bottom"/>
            <w:gridSpan w:val="4"/>
          </w:tcPr>
          <w:p>
            <w:pPr>
              <w:spacing w:after="0"/>
              <w:rPr>
                <w:sz w:val="16"/>
                <w:szCs w:val="16"/>
                <w:color w:val="auto"/>
              </w:rPr>
            </w:pPr>
          </w:p>
        </w:tc>
        <w:tc>
          <w:tcPr>
            <w:tcW w:w="220" w:type="dxa"/>
            <w:vAlign w:val="bottom"/>
            <w:gridSpan w:val="4"/>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63</w:t>
            </w:r>
          </w:p>
        </w:tc>
        <w:tc>
          <w:tcPr>
            <w:tcW w:w="260" w:type="dxa"/>
            <w:vAlign w:val="bottom"/>
            <w:gridSpan w:val="6"/>
            <w:vMerge w:val="restart"/>
          </w:tcPr>
          <w:p>
            <w:pPr>
              <w:jc w:val="right"/>
              <w:ind w:right="60"/>
              <w:spacing w:after="0"/>
              <w:rPr>
                <w:sz w:val="20"/>
                <w:szCs w:val="20"/>
                <w:color w:val="auto"/>
              </w:rPr>
            </w:pPr>
            <w:r>
              <w:rPr>
                <w:rFonts w:ascii="Times New Roman" w:cs="Times New Roman" w:eastAsia="Times New Roman" w:hAnsi="Times New Roman"/>
                <w:sz w:val="20"/>
                <w:szCs w:val="20"/>
                <w:color w:val="0000FF"/>
                <w:w w:val="89"/>
              </w:rPr>
              <w:t>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8"/>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6"/>
            <w:vMerge w:val="continue"/>
          </w:tcPr>
          <w:p>
            <w:pPr>
              <w:spacing w:after="0" w:line="20" w:lineRule="exact"/>
              <w:rPr>
                <w:sz w:val="1"/>
                <w:szCs w:val="1"/>
                <w:color w:val="auto"/>
              </w:rPr>
            </w:pPr>
          </w:p>
        </w:tc>
        <w:tc>
          <w:tcPr>
            <w:tcW w:w="26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8.</w:t>
            </w:r>
            <w:r>
              <w:rPr>
                <w:rFonts w:ascii="Times New Roman" w:cs="Times New Roman" w:eastAsia="Times New Roman" w:hAnsi="Times New Roman"/>
                <w:sz w:val="20"/>
                <w:szCs w:val="20"/>
                <w:u w:val="single" w:color="auto"/>
                <w:color w:val="0000FF"/>
                <w:w w:val="99"/>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3"/>
          </w:tcPr>
          <w:p>
            <w:pPr>
              <w:spacing w:after="0" w:line="207" w:lineRule="exact"/>
              <w:rPr>
                <w:sz w:val="20"/>
                <w:szCs w:val="20"/>
                <w:color w:val="auto"/>
              </w:rPr>
            </w:pPr>
            <w:r>
              <w:rPr>
                <w:rFonts w:ascii="Times New Roman" w:cs="Times New Roman" w:eastAsia="Times New Roman" w:hAnsi="Times New Roman"/>
                <w:sz w:val="20"/>
                <w:szCs w:val="20"/>
                <w:color w:val="0000FF"/>
                <w:w w:val="83"/>
              </w:rPr>
              <w:t>Payment of Liabilities, Including</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16"/>
          </w:tcPr>
          <w:p>
            <w:pPr>
              <w:jc w:val="right"/>
              <w:ind w:right="19"/>
              <w:spacing w:after="0" w:line="207" w:lineRule="exact"/>
              <w:rPr>
                <w:sz w:val="20"/>
                <w:szCs w:val="20"/>
                <w:color w:val="auto"/>
              </w:rPr>
            </w:pPr>
            <w:r>
              <w:rPr>
                <w:rFonts w:ascii="Times New Roman" w:cs="Times New Roman" w:eastAsia="Times New Roman" w:hAnsi="Times New Roman"/>
                <w:sz w:val="20"/>
                <w:szCs w:val="20"/>
                <w:color w:val="0000FF"/>
              </w:rPr>
              <w:t>Taxes, Etc.</w:t>
            </w: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0" w:type="dxa"/>
            <w:vAlign w:val="bottom"/>
            <w:gridSpan w:val="6"/>
            <w:vMerge w:val="continue"/>
          </w:tcPr>
          <w:p>
            <w:pPr>
              <w:spacing w:after="0"/>
              <w:rPr>
                <w:sz w:val="17"/>
                <w:szCs w:val="17"/>
                <w:color w:val="auto"/>
              </w:rPr>
            </w:pPr>
          </w:p>
        </w:tc>
        <w:tc>
          <w:tcPr>
            <w:tcW w:w="26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420" w:type="dxa"/>
            <w:vAlign w:val="bottom"/>
            <w:tcBorders>
              <w:top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8.</w:t>
            </w:r>
            <w:r>
              <w:rPr>
                <w:rFonts w:ascii="Times New Roman" w:cs="Times New Roman" w:eastAsia="Times New Roman" w:hAnsi="Times New Roman"/>
                <w:sz w:val="20"/>
                <w:szCs w:val="20"/>
                <w:u w:val="single" w:color="auto"/>
                <w:color w:val="0000FF"/>
                <w:w w:val="99"/>
              </w:rPr>
              <w:t>1.3</w:t>
            </w:r>
          </w:p>
        </w:tc>
        <w:tc>
          <w:tcPr>
            <w:tcW w:w="320" w:type="dxa"/>
            <w:vAlign w:val="bottom"/>
            <w:gridSpan w:val="2"/>
          </w:tcPr>
          <w:p>
            <w:pPr>
              <w:spacing w:after="0"/>
              <w:rPr>
                <w:sz w:val="17"/>
                <w:szCs w:val="17"/>
                <w:color w:val="auto"/>
              </w:rPr>
            </w:pPr>
          </w:p>
        </w:tc>
        <w:tc>
          <w:tcPr>
            <w:tcW w:w="2260" w:type="dxa"/>
            <w:vAlign w:val="bottom"/>
            <w:tcBorders>
              <w:top w:val="single" w:sz="8" w:color="0000FF"/>
            </w:tcBorders>
            <w:gridSpan w:val="33"/>
          </w:tcPr>
          <w:p>
            <w:pPr>
              <w:spacing w:after="0" w:line="207" w:lineRule="exact"/>
              <w:rPr>
                <w:sz w:val="20"/>
                <w:szCs w:val="20"/>
                <w:color w:val="auto"/>
              </w:rPr>
            </w:pPr>
            <w:r>
              <w:rPr>
                <w:rFonts w:ascii="Times New Roman" w:cs="Times New Roman" w:eastAsia="Times New Roman" w:hAnsi="Times New Roman"/>
                <w:sz w:val="20"/>
                <w:szCs w:val="20"/>
                <w:color w:val="0000FF"/>
                <w:w w:val="92"/>
              </w:rPr>
              <w:t>Maintenance of Insurance.</w:t>
            </w:r>
          </w:p>
        </w:tc>
        <w:tc>
          <w:tcPr>
            <w:tcW w:w="1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FF0000"/>
                <w:strike w:val="1"/>
                <w:w w:val="71"/>
              </w:rPr>
              <w:t>63</w:t>
            </w:r>
          </w:p>
        </w:tc>
        <w:tc>
          <w:tcPr>
            <w:tcW w:w="1060" w:type="dxa"/>
            <w:vAlign w:val="bottom"/>
            <w:tcBorders>
              <w:top w:val="single" w:sz="8" w:color="0000FF"/>
            </w:tcBorders>
            <w:gridSpan w:val="16"/>
          </w:tcPr>
          <w:p>
            <w:pPr>
              <w:spacing w:after="0" w:line="207" w:lineRule="exact"/>
              <w:rPr>
                <w:sz w:val="20"/>
                <w:szCs w:val="20"/>
                <w:color w:val="auto"/>
              </w:rPr>
            </w:pPr>
            <w:r>
              <w:rPr>
                <w:rFonts w:ascii="Times New Roman" w:cs="Times New Roman" w:eastAsia="Times New Roman" w:hAnsi="Times New Roman"/>
                <w:sz w:val="20"/>
                <w:szCs w:val="20"/>
                <w:color w:val="0000FF"/>
              </w:rPr>
              <w:t>75</w:t>
            </w:r>
          </w:p>
        </w:tc>
        <w:tc>
          <w:tcPr>
            <w:tcW w:w="400" w:type="dxa"/>
            <w:vAlign w:val="bottom"/>
            <w:gridSpan w:val="11"/>
          </w:tcPr>
          <w:p>
            <w:pPr>
              <w:spacing w:after="0"/>
              <w:rPr>
                <w:sz w:val="17"/>
                <w:szCs w:val="17"/>
                <w:color w:val="auto"/>
              </w:rPr>
            </w:pPr>
          </w:p>
        </w:tc>
        <w:tc>
          <w:tcPr>
            <w:tcW w:w="200" w:type="dxa"/>
            <w:vAlign w:val="bottom"/>
            <w:tcBorders>
              <w:top w:val="single" w:sz="8" w:color="0000FF"/>
            </w:tcBorders>
            <w:gridSpan w:val="5"/>
          </w:tcPr>
          <w:p>
            <w:pPr>
              <w:spacing w:after="0"/>
              <w:rPr>
                <w:sz w:val="17"/>
                <w:szCs w:val="17"/>
                <w:color w:val="auto"/>
              </w:rPr>
            </w:pPr>
          </w:p>
        </w:tc>
        <w:tc>
          <w:tcPr>
            <w:tcW w:w="4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8"/>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gridSpan w:val="3"/>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0000FF"/>
                <w:w w:val="96"/>
              </w:rPr>
              <w:t>and</w:t>
            </w:r>
          </w:p>
        </w:tc>
        <w:tc>
          <w:tcPr>
            <w:tcW w:w="200" w:type="dxa"/>
            <w:vAlign w:val="bottom"/>
            <w:gridSpan w:val="4"/>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9"/>
              </w:rPr>
              <w:t>8.</w:t>
            </w:r>
            <w:r>
              <w:rPr>
                <w:rFonts w:ascii="Times New Roman" w:cs="Times New Roman" w:eastAsia="Times New Roman" w:hAnsi="Times New Roman"/>
                <w:sz w:val="20"/>
                <w:szCs w:val="20"/>
                <w:u w:val="single" w:color="auto"/>
                <w:color w:val="0000FF"/>
                <w:w w:val="99"/>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1"/>
          </w:tcPr>
          <w:p>
            <w:pPr>
              <w:spacing w:after="0" w:line="194" w:lineRule="exact"/>
              <w:rPr>
                <w:sz w:val="20"/>
                <w:szCs w:val="20"/>
                <w:color w:val="auto"/>
              </w:rPr>
            </w:pPr>
            <w:r>
              <w:rPr>
                <w:rFonts w:ascii="Times New Roman" w:cs="Times New Roman" w:eastAsia="Times New Roman" w:hAnsi="Times New Roman"/>
                <w:sz w:val="20"/>
                <w:szCs w:val="20"/>
                <w:color w:val="0000FF"/>
                <w:w w:val="92"/>
              </w:rPr>
              <w:t>Maintenance of Properties</w:t>
            </w:r>
          </w:p>
        </w:tc>
        <w:tc>
          <w:tcPr>
            <w:tcW w:w="380" w:type="dxa"/>
            <w:vAlign w:val="bottom"/>
            <w:gridSpan w:val="3"/>
            <w:vMerge w:val="continue"/>
          </w:tcPr>
          <w:p>
            <w:pPr>
              <w:spacing w:after="0"/>
              <w:rPr>
                <w:sz w:val="16"/>
                <w:szCs w:val="16"/>
                <w:color w:val="auto"/>
              </w:rPr>
            </w:pPr>
          </w:p>
        </w:tc>
        <w:tc>
          <w:tcPr>
            <w:tcW w:w="800" w:type="dxa"/>
            <w:vAlign w:val="bottom"/>
            <w:gridSpan w:val="12"/>
          </w:tcPr>
          <w:p>
            <w:pPr>
              <w:spacing w:after="0" w:line="194" w:lineRule="exact"/>
              <w:rPr>
                <w:sz w:val="20"/>
                <w:szCs w:val="20"/>
                <w:color w:val="auto"/>
              </w:rPr>
            </w:pPr>
            <w:r>
              <w:rPr>
                <w:rFonts w:ascii="Times New Roman" w:cs="Times New Roman" w:eastAsia="Times New Roman" w:hAnsi="Times New Roman"/>
                <w:sz w:val="20"/>
                <w:szCs w:val="20"/>
                <w:color w:val="0000FF"/>
              </w:rPr>
              <w:t>Leases.</w:t>
            </w:r>
          </w:p>
        </w:tc>
        <w:tc>
          <w:tcPr>
            <w:tcW w:w="180" w:type="dxa"/>
            <w:vAlign w:val="bottom"/>
            <w:gridSpan w:val="3"/>
          </w:tcPr>
          <w:p>
            <w:pPr>
              <w:spacing w:after="0" w:line="194" w:lineRule="exact"/>
              <w:rPr>
                <w:sz w:val="20"/>
                <w:szCs w:val="20"/>
                <w:color w:val="auto"/>
              </w:rPr>
            </w:pPr>
            <w:r>
              <w:rPr>
                <w:rFonts w:ascii="Times New Roman" w:cs="Times New Roman" w:eastAsia="Times New Roman" w:hAnsi="Times New Roman"/>
                <w:sz w:val="20"/>
                <w:szCs w:val="20"/>
                <w:color w:val="FF0000"/>
                <w:strike w:val="1"/>
                <w:w w:val="79"/>
              </w:rPr>
              <w:t>64</w:t>
            </w:r>
          </w:p>
        </w:tc>
        <w:tc>
          <w:tcPr>
            <w:tcW w:w="20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gridSpan w:val="8"/>
          </w:tcPr>
          <w:p>
            <w:pPr>
              <w:spacing w:after="0"/>
              <w:rPr>
                <w:sz w:val="17"/>
                <w:szCs w:val="17"/>
                <w:color w:val="auto"/>
              </w:rPr>
            </w:pPr>
          </w:p>
        </w:tc>
        <w:tc>
          <w:tcPr>
            <w:tcW w:w="420" w:type="dxa"/>
            <w:vAlign w:val="bottom"/>
            <w:tcBorders>
              <w:top w:val="single" w:sz="8" w:color="0000FF"/>
            </w:tcBorders>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8.</w:t>
            </w:r>
            <w:r>
              <w:rPr>
                <w:rFonts w:ascii="Times New Roman" w:cs="Times New Roman" w:eastAsia="Times New Roman" w:hAnsi="Times New Roman"/>
                <w:sz w:val="20"/>
                <w:szCs w:val="20"/>
                <w:u w:val="single" w:color="auto"/>
                <w:color w:val="0000FF"/>
                <w:w w:val="99"/>
              </w:rPr>
              <w:t>1.5</w:t>
            </w:r>
          </w:p>
        </w:tc>
        <w:tc>
          <w:tcPr>
            <w:tcW w:w="320" w:type="dxa"/>
            <w:vAlign w:val="bottom"/>
            <w:gridSpan w:val="2"/>
          </w:tcPr>
          <w:p>
            <w:pPr>
              <w:spacing w:after="0"/>
              <w:rPr>
                <w:sz w:val="17"/>
                <w:szCs w:val="17"/>
                <w:color w:val="auto"/>
              </w:rPr>
            </w:pPr>
          </w:p>
        </w:tc>
        <w:tc>
          <w:tcPr>
            <w:tcW w:w="1440" w:type="dxa"/>
            <w:vAlign w:val="bottom"/>
            <w:tcBorders>
              <w:top w:val="single" w:sz="8" w:color="0000FF"/>
            </w:tcBorders>
            <w:gridSpan w:val="16"/>
          </w:tcPr>
          <w:p>
            <w:pPr>
              <w:spacing w:after="0" w:line="207" w:lineRule="exact"/>
              <w:rPr>
                <w:sz w:val="20"/>
                <w:szCs w:val="20"/>
                <w:color w:val="auto"/>
              </w:rPr>
            </w:pPr>
            <w:r>
              <w:rPr>
                <w:rFonts w:ascii="Times New Roman" w:cs="Times New Roman" w:eastAsia="Times New Roman" w:hAnsi="Times New Roman"/>
                <w:sz w:val="20"/>
                <w:szCs w:val="20"/>
                <w:color w:val="0000FF"/>
                <w:w w:val="92"/>
              </w:rPr>
              <w:t>Visitation Rights.</w:t>
            </w:r>
          </w:p>
        </w:tc>
        <w:tc>
          <w:tcPr>
            <w:tcW w:w="240" w:type="dxa"/>
            <w:vAlign w:val="bottom"/>
            <w:tcBorders>
              <w:top w:val="single" w:sz="8" w:color="0000FF"/>
            </w:tcBorders>
            <w:gridSpan w:val="8"/>
          </w:tcPr>
          <w:p>
            <w:pPr>
              <w:jc w:val="center"/>
              <w:spacing w:after="0" w:line="207" w:lineRule="exact"/>
              <w:rPr>
                <w:sz w:val="20"/>
                <w:szCs w:val="20"/>
                <w:color w:val="auto"/>
              </w:rPr>
            </w:pPr>
            <w:r>
              <w:rPr>
                <w:rFonts w:ascii="Times New Roman" w:cs="Times New Roman" w:eastAsia="Times New Roman" w:hAnsi="Times New Roman"/>
                <w:sz w:val="20"/>
                <w:szCs w:val="20"/>
                <w:color w:val="FF0000"/>
                <w:strike w:val="1"/>
                <w:w w:val="99"/>
              </w:rPr>
              <w:t>64</w:t>
            </w:r>
          </w:p>
        </w:tc>
        <w:tc>
          <w:tcPr>
            <w:tcW w:w="1280" w:type="dxa"/>
            <w:vAlign w:val="bottom"/>
            <w:tcBorders>
              <w:top w:val="single" w:sz="8" w:color="0000FF"/>
            </w:tcBorders>
            <w:gridSpan w:val="20"/>
          </w:tcPr>
          <w:p>
            <w:pPr>
              <w:jc w:val="right"/>
              <w:ind w:right="1100"/>
              <w:spacing w:after="0" w:line="207" w:lineRule="exact"/>
              <w:rPr>
                <w:sz w:val="20"/>
                <w:szCs w:val="20"/>
                <w:color w:val="auto"/>
              </w:rPr>
            </w:pPr>
            <w:r>
              <w:rPr>
                <w:rFonts w:ascii="Times New Roman" w:cs="Times New Roman" w:eastAsia="Times New Roman" w:hAnsi="Times New Roman"/>
                <w:sz w:val="20"/>
                <w:szCs w:val="20"/>
                <w:color w:val="0000FF"/>
                <w:w w:val="79"/>
              </w:rPr>
              <w:t>75</w:t>
            </w:r>
          </w:p>
        </w:tc>
        <w:tc>
          <w:tcPr>
            <w:tcW w:w="380" w:type="dxa"/>
            <w:vAlign w:val="bottom"/>
            <w:gridSpan w:val="4"/>
          </w:tcPr>
          <w:p>
            <w:pPr>
              <w:spacing w:after="0"/>
              <w:rPr>
                <w:sz w:val="17"/>
                <w:szCs w:val="17"/>
                <w:color w:val="auto"/>
              </w:rPr>
            </w:pPr>
          </w:p>
        </w:tc>
        <w:tc>
          <w:tcPr>
            <w:tcW w:w="220" w:type="dxa"/>
            <w:vAlign w:val="bottom"/>
            <w:tcBorders>
              <w:top w:val="single" w:sz="8" w:color="0000FF"/>
            </w:tcBorders>
            <w:gridSpan w:val="5"/>
          </w:tcPr>
          <w:p>
            <w:pPr>
              <w:spacing w:after="0"/>
              <w:rPr>
                <w:sz w:val="17"/>
                <w:szCs w:val="17"/>
                <w:color w:val="auto"/>
              </w:rPr>
            </w:pPr>
          </w:p>
        </w:tc>
        <w:tc>
          <w:tcPr>
            <w:tcW w:w="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64</w:t>
            </w:r>
          </w:p>
        </w:tc>
        <w:tc>
          <w:tcPr>
            <w:tcW w:w="24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0000FF"/>
              </w:rPr>
              <w:t>75</w:t>
            </w:r>
          </w:p>
        </w:tc>
        <w:tc>
          <w:tcPr>
            <w:tcW w:w="4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40" w:type="dxa"/>
            <w:vAlign w:val="bottom"/>
            <w:tcBorders>
              <w:right w:val="single" w:sz="8" w:color="0000FF"/>
            </w:tcBorders>
            <w:gridSpan w:val="8"/>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920" w:type="dxa"/>
            <w:vAlign w:val="bottom"/>
            <w:gridSpan w:val="1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240" w:type="dxa"/>
            <w:vAlign w:val="bottom"/>
            <w:gridSpan w:val="7"/>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8.</w:t>
            </w:r>
            <w:r>
              <w:rPr>
                <w:rFonts w:ascii="Times New Roman" w:cs="Times New Roman" w:eastAsia="Times New Roman" w:hAnsi="Times New Roman"/>
                <w:sz w:val="20"/>
                <w:szCs w:val="20"/>
                <w:u w:val="single" w:color="auto"/>
                <w:color w:val="0000FF"/>
                <w:w w:val="99"/>
              </w:rPr>
              <w:t>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53"/>
          </w:tcPr>
          <w:p>
            <w:pPr>
              <w:spacing w:after="0" w:line="207" w:lineRule="exact"/>
              <w:rPr>
                <w:sz w:val="20"/>
                <w:szCs w:val="20"/>
                <w:color w:val="auto"/>
              </w:rPr>
            </w:pPr>
            <w:r>
              <w:rPr>
                <w:rFonts w:ascii="Times New Roman" w:cs="Times New Roman" w:eastAsia="Times New Roman" w:hAnsi="Times New Roman"/>
                <w:sz w:val="20"/>
                <w:szCs w:val="20"/>
                <w:color w:val="0000FF"/>
              </w:rPr>
              <w:t>Keeping of Records and Books of Account.</w:t>
            </w:r>
          </w:p>
        </w:tc>
        <w:tc>
          <w:tcPr>
            <w:tcW w:w="200" w:type="dxa"/>
            <w:vAlign w:val="bottom"/>
            <w:gridSpan w:val="5"/>
            <w:vMerge w:val="continue"/>
          </w:tcPr>
          <w:p>
            <w:pPr>
              <w:spacing w:after="0"/>
              <w:rPr>
                <w:sz w:val="17"/>
                <w:szCs w:val="17"/>
                <w:color w:val="auto"/>
              </w:rPr>
            </w:pPr>
          </w:p>
        </w:tc>
        <w:tc>
          <w:tcPr>
            <w:tcW w:w="240" w:type="dxa"/>
            <w:vAlign w:val="bottom"/>
            <w:gridSpan w:val="7"/>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0000FF"/>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20"/>
                <w:szCs w:val="20"/>
                <w:color w:val="0000FF"/>
                <w:w w:val="99"/>
              </w:rPr>
              <w:t>8.</w:t>
            </w:r>
            <w:r>
              <w:rPr>
                <w:rFonts w:ascii="Times New Roman" w:cs="Times New Roman" w:eastAsia="Times New Roman" w:hAnsi="Times New Roman"/>
                <w:sz w:val="20"/>
                <w:szCs w:val="20"/>
                <w:u w:val="single" w:color="auto"/>
                <w:color w:val="0000FF"/>
                <w:w w:val="99"/>
              </w:rPr>
              <w:t>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Borders>
              <w:top w:val="single" w:sz="8" w:color="0000FF"/>
              <w:bottom w:val="single" w:sz="8" w:color="0000FF"/>
            </w:tcBorders>
            <w:gridSpan w:val="46"/>
          </w:tcPr>
          <w:p>
            <w:pPr>
              <w:spacing w:after="0" w:line="194" w:lineRule="exact"/>
              <w:rPr>
                <w:sz w:val="20"/>
                <w:szCs w:val="20"/>
                <w:color w:val="auto"/>
              </w:rPr>
            </w:pPr>
            <w:r>
              <w:rPr>
                <w:rFonts w:ascii="Times New Roman" w:cs="Times New Roman" w:eastAsia="Times New Roman" w:hAnsi="Times New Roman"/>
                <w:sz w:val="20"/>
                <w:szCs w:val="20"/>
                <w:color w:val="0000FF"/>
                <w:w w:val="94"/>
              </w:rPr>
              <w:t>Compliance with Laws; Use of Proceeds.</w:t>
            </w:r>
          </w:p>
        </w:tc>
        <w:tc>
          <w:tcPr>
            <w:tcW w:w="180" w:type="dxa"/>
            <w:vAlign w:val="bottom"/>
            <w:tcBorders>
              <w:top w:val="single" w:sz="8" w:color="0000FF"/>
            </w:tcBorders>
            <w:gridSpan w:val="3"/>
          </w:tcPr>
          <w:p>
            <w:pPr>
              <w:spacing w:after="0"/>
              <w:rPr>
                <w:sz w:val="16"/>
                <w:szCs w:val="16"/>
                <w:color w:val="auto"/>
              </w:rPr>
            </w:pPr>
          </w:p>
        </w:tc>
        <w:tc>
          <w:tcPr>
            <w:tcW w:w="22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99"/>
              </w:rPr>
              <w:t>64</w:t>
            </w:r>
          </w:p>
        </w:tc>
        <w:tc>
          <w:tcPr>
            <w:tcW w:w="180" w:type="dxa"/>
            <w:vAlign w:val="bottom"/>
            <w:tcBorders>
              <w:bottom w:val="single" w:sz="8" w:color="0000FF"/>
            </w:tcBorders>
            <w:gridSpan w:val="4"/>
          </w:tcPr>
          <w:p>
            <w:pPr>
              <w:jc w:val="right"/>
              <w:spacing w:after="0" w:line="194" w:lineRule="exact"/>
              <w:rPr>
                <w:sz w:val="20"/>
                <w:szCs w:val="20"/>
                <w:color w:val="auto"/>
              </w:rPr>
            </w:pPr>
            <w:r>
              <w:rPr>
                <w:rFonts w:ascii="Times New Roman" w:cs="Times New Roman" w:eastAsia="Times New Roman" w:hAnsi="Times New Roman"/>
                <w:sz w:val="20"/>
                <w:szCs w:val="20"/>
                <w:color w:val="0000FF"/>
                <w:w w:val="79"/>
              </w:rPr>
              <w:t>75</w:t>
            </w:r>
          </w:p>
        </w:tc>
        <w:tc>
          <w:tcPr>
            <w:tcW w:w="20" w:type="dxa"/>
            <w:vAlign w:val="bottom"/>
            <w:tcBorders>
              <w:top w:val="single" w:sz="8" w:color="0000FF"/>
              <w:bottom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99"/>
              </w:rPr>
              <w:t>8.</w:t>
            </w:r>
            <w:r>
              <w:rPr>
                <w:rFonts w:ascii="Times New Roman" w:cs="Times New Roman" w:eastAsia="Times New Roman" w:hAnsi="Times New Roman"/>
                <w:sz w:val="20"/>
                <w:szCs w:val="20"/>
                <w:u w:val="single" w:color="auto"/>
                <w:color w:val="0000FF"/>
                <w:w w:val="99"/>
              </w:rPr>
              <w:t>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46"/>
          </w:tcPr>
          <w:p>
            <w:pPr>
              <w:spacing w:after="0" w:line="207" w:lineRule="exact"/>
              <w:rPr>
                <w:sz w:val="20"/>
                <w:szCs w:val="20"/>
                <w:color w:val="auto"/>
              </w:rPr>
            </w:pPr>
            <w:r>
              <w:rPr>
                <w:rFonts w:ascii="Times New Roman" w:cs="Times New Roman" w:eastAsia="Times New Roman" w:hAnsi="Times New Roman"/>
                <w:sz w:val="20"/>
                <w:szCs w:val="20"/>
                <w:color w:val="0000FF"/>
                <w:w w:val="94"/>
              </w:rPr>
              <w:t>Sanctions and other Anti-Terrorism Laws</w:t>
            </w:r>
          </w:p>
        </w:tc>
        <w:tc>
          <w:tcPr>
            <w:tcW w:w="2680" w:type="dxa"/>
            <w:vAlign w:val="bottom"/>
            <w:gridSpan w:val="28"/>
          </w:tcPr>
          <w:p>
            <w:pPr>
              <w:spacing w:after="0" w:line="207" w:lineRule="exact"/>
              <w:rPr>
                <w:sz w:val="20"/>
                <w:szCs w:val="20"/>
                <w:color w:val="auto"/>
              </w:rPr>
            </w:pPr>
            <w:r>
              <w:rPr>
                <w:rFonts w:ascii="Times New Roman" w:cs="Times New Roman" w:eastAsia="Times New Roman" w:hAnsi="Times New Roman"/>
                <w:sz w:val="20"/>
                <w:szCs w:val="20"/>
                <w:color w:val="FF0000"/>
                <w:strike w:val="1"/>
                <w:w w:val="99"/>
              </w:rPr>
              <w:t>; International Trade Compliance</w:t>
            </w:r>
          </w:p>
        </w:tc>
        <w:tc>
          <w:tcPr>
            <w:tcW w:w="240" w:type="dxa"/>
            <w:vAlign w:val="bottom"/>
            <w:gridSpan w:val="3"/>
          </w:tcPr>
          <w:p>
            <w:pPr>
              <w:jc w:val="right"/>
              <w:ind w:right="99"/>
              <w:spacing w:after="0"/>
              <w:rPr>
                <w:sz w:val="20"/>
                <w:szCs w:val="20"/>
                <w:color w:val="auto"/>
              </w:rPr>
            </w:pPr>
            <w:r>
              <w:rPr>
                <w:rFonts w:ascii="Times New Roman" w:cs="Times New Roman" w:eastAsia="Times New Roman" w:hAnsi="Times New Roman"/>
                <w:sz w:val="11"/>
                <w:szCs w:val="11"/>
                <w:u w:val="single" w:color="auto"/>
                <w:color w:val="0000FF"/>
                <w:w w:val="70"/>
              </w:rPr>
              <w:t>.</w:t>
            </w:r>
          </w:p>
        </w:tc>
        <w:tc>
          <w:tcPr>
            <w:tcW w:w="2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64</w:t>
            </w:r>
          </w:p>
        </w:tc>
        <w:tc>
          <w:tcPr>
            <w:tcW w:w="220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rPr>
              <w:t>76</w:t>
            </w:r>
          </w:p>
        </w:tc>
        <w:tc>
          <w:tcPr>
            <w:tcW w:w="0" w:type="dxa"/>
            <w:vAlign w:val="bottom"/>
          </w:tcPr>
          <w:p>
            <w:pPr>
              <w:spacing w:after="0"/>
              <w:rPr>
                <w:sz w:val="1"/>
                <w:szCs w:val="1"/>
                <w:color w:val="auto"/>
              </w:rPr>
            </w:pPr>
          </w:p>
        </w:tc>
      </w:tr>
      <w:tr>
        <w:trPr>
          <w:trHeight w:val="20"/>
        </w:trPr>
        <w:tc>
          <w:tcPr>
            <w:tcW w:w="1940" w:type="dxa"/>
            <w:vAlign w:val="bottom"/>
            <w:tcBorders>
              <w:right w:val="single" w:sz="8" w:color="0000FF"/>
            </w:tcBorders>
            <w:gridSpan w:val="1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13"/>
            <w:shd w:val="clear" w:color="auto" w:fill="0000FF"/>
          </w:tcPr>
          <w:p>
            <w:pPr>
              <w:spacing w:after="0" w:line="20" w:lineRule="exact"/>
              <w:rPr>
                <w:sz w:val="1"/>
                <w:szCs w:val="1"/>
                <w:color w:val="auto"/>
              </w:rPr>
            </w:pPr>
          </w:p>
        </w:tc>
        <w:tc>
          <w:tcPr>
            <w:tcW w:w="3320" w:type="dxa"/>
            <w:vAlign w:val="bottom"/>
            <w:tcBorders>
              <w:right w:val="single" w:sz="8" w:color="0000FF"/>
            </w:tcBorders>
            <w:gridSpan w:val="3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0"/>
        <w:spacing w:after="0"/>
        <w:tabs>
          <w:tab w:leader="none" w:pos="1760" w:val="left"/>
          <w:tab w:leader="none" w:pos="2780" w:val="left"/>
        </w:tabs>
        <w:rPr>
          <w:sz w:val="20"/>
          <w:szCs w:val="20"/>
          <w:color w:val="auto"/>
        </w:rPr>
      </w:pPr>
      <w:r>
        <w:rPr>
          <w:rFonts w:ascii="Times New Roman" w:cs="Times New Roman" w:eastAsia="Times New Roman" w:hAnsi="Times New Roman"/>
          <w:sz w:val="20"/>
          <w:szCs w:val="20"/>
          <w:u w:val="single" w:color="auto"/>
          <w:color w:val="0000FF"/>
        </w:rPr>
        <w:t>8.1.9</w:t>
        <w:tab/>
        <w:t>Keepwell.</w:t>
      </w:r>
      <w:r>
        <w:rPr>
          <w:sz w:val="20"/>
          <w:szCs w:val="20"/>
          <w:color w:val="auto"/>
        </w:rPr>
        <w:tab/>
      </w:r>
      <w:r>
        <w:rPr>
          <w:rFonts w:ascii="Times New Roman" w:cs="Times New Roman" w:eastAsia="Times New Roman" w:hAnsi="Times New Roman"/>
          <w:sz w:val="19"/>
          <w:szCs w:val="19"/>
          <w:color w:val="FF0000"/>
          <w:strike w:val="1"/>
        </w:rPr>
        <w:t>65</w:t>
      </w:r>
      <w:r>
        <w:rPr>
          <w:rFonts w:ascii="Times New Roman" w:cs="Times New Roman" w:eastAsia="Times New Roman" w:hAnsi="Times New Roman"/>
          <w:sz w:val="19"/>
          <w:szCs w:val="19"/>
          <w:u w:val="single" w:color="auto"/>
          <w:color w:val="0000FF"/>
          <w:strike w:val="1"/>
        </w:rPr>
        <w:t>76</w:t>
      </w:r>
    </w:p>
    <w:p>
      <w:pPr>
        <w:spacing w:after="0" w:line="2" w:lineRule="exact"/>
        <w:rPr>
          <w:sz w:val="20"/>
          <w:szCs w:val="20"/>
          <w:color w:val="auto"/>
        </w:rPr>
      </w:pPr>
    </w:p>
    <w:p>
      <w:pPr>
        <w:ind w:left="1200"/>
        <w:spacing w:after="0"/>
        <w:tabs>
          <w:tab w:leader="none" w:pos="1860" w:val="left"/>
          <w:tab w:leader="none" w:pos="3920" w:val="left"/>
        </w:tabs>
        <w:rPr>
          <w:sz w:val="20"/>
          <w:szCs w:val="20"/>
          <w:color w:val="auto"/>
        </w:rPr>
      </w:pPr>
      <w:r>
        <w:rPr>
          <w:rFonts w:ascii="Times New Roman" w:cs="Times New Roman" w:eastAsia="Times New Roman" w:hAnsi="Times New Roman"/>
          <w:sz w:val="20"/>
          <w:szCs w:val="20"/>
          <w:u w:val="single" w:color="auto"/>
          <w:color w:val="0000FF"/>
        </w:rPr>
        <w:t>8.1.10</w:t>
        <w:tab/>
        <w:t>Additional Guarantors.</w:t>
      </w:r>
      <w:r>
        <w:rPr>
          <w:sz w:val="20"/>
          <w:szCs w:val="20"/>
          <w:color w:val="auto"/>
        </w:rPr>
        <w:tab/>
      </w:r>
      <w:r>
        <w:rPr>
          <w:rFonts w:ascii="Times New Roman" w:cs="Times New Roman" w:eastAsia="Times New Roman" w:hAnsi="Times New Roman"/>
          <w:sz w:val="19"/>
          <w:szCs w:val="19"/>
          <w:color w:val="FF0000"/>
          <w:strike w:val="1"/>
        </w:rPr>
        <w:t>65</w:t>
      </w:r>
      <w:r>
        <w:rPr>
          <w:rFonts w:ascii="Times New Roman" w:cs="Times New Roman" w:eastAsia="Times New Roman" w:hAnsi="Times New Roman"/>
          <w:sz w:val="19"/>
          <w:szCs w:val="19"/>
          <w:u w:val="single" w:color="auto"/>
          <w:color w:val="0000FF"/>
          <w:strike w:val="1"/>
        </w:rPr>
        <w:t>76</w:t>
      </w:r>
    </w:p>
    <w:p>
      <w:pPr>
        <w:ind w:left="1200"/>
        <w:spacing w:after="0"/>
        <w:tabs>
          <w:tab w:leader="none" w:pos="1860" w:val="left"/>
          <w:tab w:leader="none" w:pos="7760" w:val="left"/>
        </w:tabs>
        <w:rPr>
          <w:sz w:val="20"/>
          <w:szCs w:val="20"/>
          <w:color w:val="auto"/>
        </w:rPr>
      </w:pPr>
      <w:r>
        <w:rPr>
          <w:rFonts w:ascii="Times New Roman" w:cs="Times New Roman" w:eastAsia="Times New Roman" w:hAnsi="Times New Roman"/>
          <w:sz w:val="20"/>
          <w:szCs w:val="20"/>
          <w:u w:val="single" w:color="auto"/>
          <w:color w:val="0000FF"/>
        </w:rPr>
        <w:t>8.1.11</w:t>
        <w:tab/>
        <w:t>Certificate of Beneficial Ownership and Other Additional Information.</w:t>
      </w:r>
      <w:r>
        <w:rPr>
          <w:sz w:val="20"/>
          <w:szCs w:val="20"/>
          <w:color w:val="auto"/>
        </w:rPr>
        <w:tab/>
      </w:r>
      <w:r>
        <w:rPr>
          <w:rFonts w:ascii="Times New Roman" w:cs="Times New Roman" w:eastAsia="Times New Roman" w:hAnsi="Times New Roman"/>
          <w:sz w:val="19"/>
          <w:szCs w:val="19"/>
          <w:color w:val="FF0000"/>
          <w:strike w:val="1"/>
        </w:rPr>
        <w:t>65</w:t>
      </w:r>
      <w:r>
        <w:rPr>
          <w:rFonts w:ascii="Times New Roman" w:cs="Times New Roman" w:eastAsia="Times New Roman" w:hAnsi="Times New Roman"/>
          <w:sz w:val="19"/>
          <w:szCs w:val="19"/>
          <w:u w:val="single" w:color="auto"/>
          <w:color w:val="0000FF"/>
          <w:strike w:val="1"/>
        </w:rPr>
        <w:t>76</w:t>
      </w:r>
    </w:p>
    <w:p>
      <w:pPr>
        <w:ind w:left="600"/>
        <w:spacing w:after="0" w:line="235" w:lineRule="auto"/>
        <w:tabs>
          <w:tab w:leader="none" w:pos="1000" w:val="left"/>
          <w:tab w:leader="none" w:pos="2880" w:val="left"/>
        </w:tabs>
        <w:rPr>
          <w:sz w:val="20"/>
          <w:szCs w:val="20"/>
          <w:color w:val="auto"/>
        </w:rPr>
      </w:pPr>
      <w:r>
        <w:rPr>
          <w:rFonts w:ascii="Times New Roman" w:cs="Times New Roman" w:eastAsia="Times New Roman" w:hAnsi="Times New Roman"/>
          <w:sz w:val="20"/>
          <w:szCs w:val="20"/>
          <w:u w:val="single" w:color="auto"/>
          <w:color w:val="0000FF"/>
        </w:rPr>
        <w:t>8.2</w:t>
        <w:tab/>
        <w:t>Negative Covenants.</w:t>
      </w:r>
      <w:r>
        <w:rPr>
          <w:sz w:val="20"/>
          <w:szCs w:val="20"/>
          <w:color w:val="auto"/>
        </w:rPr>
        <w:tab/>
      </w:r>
      <w:r>
        <w:rPr>
          <w:rFonts w:ascii="Times New Roman" w:cs="Times New Roman" w:eastAsia="Times New Roman" w:hAnsi="Times New Roman"/>
          <w:sz w:val="19"/>
          <w:szCs w:val="19"/>
          <w:color w:val="FF0000"/>
          <w:strike w:val="1"/>
        </w:rPr>
        <w:t>66</w:t>
      </w:r>
      <w:r>
        <w:rPr>
          <w:rFonts w:ascii="Times New Roman" w:cs="Times New Roman" w:eastAsia="Times New Roman" w:hAnsi="Times New Roman"/>
          <w:sz w:val="19"/>
          <w:szCs w:val="19"/>
          <w:u w:val="single" w:color="auto"/>
          <w:color w:val="0000FF"/>
          <w:strike w:val="1"/>
        </w:rPr>
        <w:t>77</w:t>
      </w:r>
    </w:p>
    <w:p>
      <w:pPr>
        <w:ind w:left="1200"/>
        <w:spacing w:after="0"/>
        <w:tabs>
          <w:tab w:leader="none" w:pos="1760" w:val="left"/>
          <w:tab w:leader="none" w:pos="3060" w:val="left"/>
        </w:tabs>
        <w:rPr>
          <w:sz w:val="20"/>
          <w:szCs w:val="20"/>
          <w:color w:val="auto"/>
        </w:rPr>
      </w:pPr>
      <w:r>
        <w:rPr>
          <w:rFonts w:ascii="Times New Roman" w:cs="Times New Roman" w:eastAsia="Times New Roman" w:hAnsi="Times New Roman"/>
          <w:sz w:val="20"/>
          <w:szCs w:val="20"/>
          <w:u w:val="single" w:color="auto"/>
          <w:color w:val="0000FF"/>
        </w:rPr>
        <w:t>8.2.1</w:t>
        <w:tab/>
        <w:t>Indebtedness.</w:t>
      </w:r>
      <w:r>
        <w:rPr>
          <w:sz w:val="20"/>
          <w:szCs w:val="20"/>
          <w:color w:val="auto"/>
        </w:rPr>
        <w:tab/>
      </w:r>
      <w:r>
        <w:rPr>
          <w:rFonts w:ascii="Times New Roman" w:cs="Times New Roman" w:eastAsia="Times New Roman" w:hAnsi="Times New Roman"/>
          <w:sz w:val="19"/>
          <w:szCs w:val="19"/>
          <w:color w:val="FF0000"/>
          <w:strike w:val="1"/>
        </w:rPr>
        <w:t>66</w:t>
      </w:r>
      <w:r>
        <w:rPr>
          <w:rFonts w:ascii="Times New Roman" w:cs="Times New Roman" w:eastAsia="Times New Roman" w:hAnsi="Times New Roman"/>
          <w:sz w:val="19"/>
          <w:szCs w:val="19"/>
          <w:u w:val="single" w:color="auto"/>
          <w:color w:val="0000FF"/>
          <w:strike w:val="1"/>
        </w:rPr>
        <w:t>77</w:t>
      </w:r>
    </w:p>
    <w:p>
      <w:pPr>
        <w:ind w:left="1200"/>
        <w:spacing w:after="0"/>
        <w:tabs>
          <w:tab w:leader="none" w:pos="1760" w:val="left"/>
          <w:tab w:leader="none" w:pos="3840" w:val="left"/>
        </w:tabs>
        <w:rPr>
          <w:sz w:val="20"/>
          <w:szCs w:val="20"/>
          <w:color w:val="auto"/>
        </w:rPr>
      </w:pPr>
      <w:r>
        <w:rPr>
          <w:rFonts w:ascii="Times New Roman" w:cs="Times New Roman" w:eastAsia="Times New Roman" w:hAnsi="Times New Roman"/>
          <w:sz w:val="20"/>
          <w:szCs w:val="20"/>
          <w:u w:val="single" w:color="auto"/>
          <w:color w:val="0000FF"/>
        </w:rPr>
        <w:t>8.2.2</w:t>
        <w:tab/>
        <w:t>Liens; Lien Covenants.</w:t>
      </w:r>
      <w:r>
        <w:rPr>
          <w:sz w:val="20"/>
          <w:szCs w:val="20"/>
          <w:color w:val="auto"/>
        </w:rPr>
        <w:tab/>
      </w:r>
      <w:r>
        <w:rPr>
          <w:rFonts w:ascii="Times New Roman" w:cs="Times New Roman" w:eastAsia="Times New Roman" w:hAnsi="Times New Roman"/>
          <w:sz w:val="19"/>
          <w:szCs w:val="19"/>
          <w:color w:val="FF0000"/>
          <w:strike w:val="1"/>
        </w:rPr>
        <w:t>67</w:t>
      </w:r>
      <w:r>
        <w:rPr>
          <w:rFonts w:ascii="Times New Roman" w:cs="Times New Roman" w:eastAsia="Times New Roman" w:hAnsi="Times New Roman"/>
          <w:sz w:val="19"/>
          <w:szCs w:val="19"/>
          <w:u w:val="single" w:color="auto"/>
          <w:color w:val="0000FF"/>
          <w:strike w:val="1"/>
        </w:rPr>
        <w:t>78</w:t>
      </w:r>
    </w:p>
    <w:p>
      <w:pPr>
        <w:spacing w:after="0" w:line="1" w:lineRule="exact"/>
        <w:rPr>
          <w:sz w:val="20"/>
          <w:szCs w:val="20"/>
          <w:color w:val="auto"/>
        </w:rPr>
      </w:pPr>
    </w:p>
    <w:p>
      <w:pPr>
        <w:ind w:left="1200"/>
        <w:spacing w:after="0"/>
        <w:tabs>
          <w:tab w:leader="none" w:pos="1760" w:val="left"/>
          <w:tab w:leader="none" w:pos="2900" w:val="left"/>
        </w:tabs>
        <w:rPr>
          <w:sz w:val="20"/>
          <w:szCs w:val="20"/>
          <w:color w:val="auto"/>
        </w:rPr>
      </w:pPr>
      <w:r>
        <w:rPr>
          <w:rFonts w:ascii="Times New Roman" w:cs="Times New Roman" w:eastAsia="Times New Roman" w:hAnsi="Times New Roman"/>
          <w:sz w:val="20"/>
          <w:szCs w:val="20"/>
          <w:u w:val="single" w:color="auto"/>
          <w:color w:val="0000FF"/>
        </w:rPr>
        <w:t>8.2.3</w:t>
        <w:tab/>
        <w:t>[Reserved].</w:t>
      </w:r>
      <w:r>
        <w:rPr>
          <w:sz w:val="20"/>
          <w:szCs w:val="20"/>
          <w:color w:val="auto"/>
        </w:rPr>
        <w:tab/>
      </w:r>
      <w:r>
        <w:rPr>
          <w:rFonts w:ascii="Times New Roman" w:cs="Times New Roman" w:eastAsia="Times New Roman" w:hAnsi="Times New Roman"/>
          <w:sz w:val="19"/>
          <w:szCs w:val="19"/>
          <w:color w:val="FF0000"/>
          <w:strike w:val="1"/>
        </w:rPr>
        <w:t>67</w:t>
      </w:r>
      <w:r>
        <w:rPr>
          <w:rFonts w:ascii="Times New Roman" w:cs="Times New Roman" w:eastAsia="Times New Roman" w:hAnsi="Times New Roman"/>
          <w:sz w:val="19"/>
          <w:szCs w:val="19"/>
          <w:u w:val="single" w:color="auto"/>
          <w:color w:val="0000FF"/>
          <w:strike w:val="1"/>
        </w:rPr>
        <w:t>78</w:t>
      </w:r>
    </w:p>
    <w:p>
      <w:pPr>
        <w:sectPr>
          <w:pgSz w:w="11900" w:h="16838" w:orient="portrait"/>
          <w:cols w:equalWidth="0" w:num="1">
            <w:col w:w="10440"/>
          </w:cols>
          <w:pgMar w:left="32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440"/>
          </w:cols>
          <w:pgMar w:left="320" w:top="1440" w:right="1139" w:bottom="1440" w:gutter="0" w:footer="0" w:header="0"/>
          <w:type w:val="continuous"/>
        </w:sectPr>
      </w:pPr>
    </w:p>
    <w:bookmarkStart w:id="90" w:name="page91"/>
    <w:bookmarkEnd w:id="90"/>
    <w:p>
      <w:pPr>
        <w:spacing w:after="0" w:line="71" w:lineRule="exact"/>
        <w:rPr>
          <w:sz w:val="20"/>
          <w:szCs w:val="20"/>
          <w:color w:val="auto"/>
        </w:rPr>
      </w:pPr>
    </w:p>
    <w:p>
      <w:pPr>
        <w:ind w:left="1200"/>
        <w:spacing w:after="0"/>
        <w:tabs>
          <w:tab w:leader="none" w:pos="1760" w:val="left"/>
          <w:tab w:leader="none" w:pos="3860" w:val="left"/>
        </w:tabs>
        <w:rPr>
          <w:sz w:val="20"/>
          <w:szCs w:val="20"/>
          <w:color w:val="auto"/>
        </w:rPr>
      </w:pPr>
      <w:r>
        <w:rPr>
          <w:rFonts w:ascii="Times New Roman" w:cs="Times New Roman" w:eastAsia="Times New Roman" w:hAnsi="Times New Roman"/>
          <w:sz w:val="20"/>
          <w:szCs w:val="20"/>
          <w:u w:val="single" w:color="auto"/>
          <w:color w:val="0000FF"/>
        </w:rPr>
        <w:t>8.2.4</w:t>
        <w:tab/>
        <w:t>Loans and Investments.</w:t>
      </w:r>
      <w:r>
        <w:rPr>
          <w:sz w:val="20"/>
          <w:szCs w:val="20"/>
          <w:color w:val="auto"/>
        </w:rPr>
        <w:tab/>
      </w:r>
      <w:r>
        <w:rPr>
          <w:rFonts w:ascii="Times New Roman" w:cs="Times New Roman" w:eastAsia="Times New Roman" w:hAnsi="Times New Roman"/>
          <w:sz w:val="20"/>
          <w:szCs w:val="20"/>
          <w:color w:val="FF0000"/>
          <w:strike w:val="1"/>
        </w:rPr>
        <w:t>67</w:t>
      </w:r>
      <w:r>
        <w:rPr>
          <w:rFonts w:ascii="Times New Roman" w:cs="Times New Roman" w:eastAsia="Times New Roman" w:hAnsi="Times New Roman"/>
          <w:sz w:val="20"/>
          <w:szCs w:val="20"/>
          <w:u w:val="single" w:color="auto"/>
          <w:color w:val="0000FF"/>
          <w:strike w:val="1"/>
        </w:rPr>
        <w:t>78</w:t>
      </w:r>
    </w:p>
    <w:p>
      <w:pPr>
        <w:spacing w:after="0" w:line="2" w:lineRule="exact"/>
        <w:rPr>
          <w:sz w:val="20"/>
          <w:szCs w:val="20"/>
          <w:color w:val="auto"/>
        </w:rPr>
      </w:pPr>
    </w:p>
    <w:p>
      <w:pPr>
        <w:ind w:left="1200"/>
        <w:spacing w:after="0"/>
        <w:tabs>
          <w:tab w:leader="none" w:pos="1760" w:val="left"/>
          <w:tab w:leader="none" w:pos="5100" w:val="left"/>
        </w:tabs>
        <w:rPr>
          <w:sz w:val="20"/>
          <w:szCs w:val="20"/>
          <w:color w:val="auto"/>
        </w:rPr>
      </w:pPr>
      <w:r>
        <w:rPr>
          <w:rFonts w:ascii="Times New Roman" w:cs="Times New Roman" w:eastAsia="Times New Roman" w:hAnsi="Times New Roman"/>
          <w:sz w:val="20"/>
          <w:szCs w:val="20"/>
          <w:u w:val="single" w:color="auto"/>
          <w:color w:val="0000FF"/>
        </w:rPr>
        <w:t>8.2.5</w:t>
        <w:tab/>
        <w:t>Liquidations, Mergers, Consolidations.</w:t>
      </w:r>
      <w:r>
        <w:rPr>
          <w:sz w:val="20"/>
          <w:szCs w:val="20"/>
          <w:color w:val="auto"/>
        </w:rPr>
        <w:tab/>
      </w:r>
      <w:r>
        <w:rPr>
          <w:rFonts w:ascii="Times New Roman" w:cs="Times New Roman" w:eastAsia="Times New Roman" w:hAnsi="Times New Roman"/>
          <w:sz w:val="19"/>
          <w:szCs w:val="19"/>
          <w:color w:val="FF0000"/>
          <w:strike w:val="1"/>
        </w:rPr>
        <w:t>69</w:t>
      </w:r>
      <w:r>
        <w:rPr>
          <w:rFonts w:ascii="Times New Roman" w:cs="Times New Roman" w:eastAsia="Times New Roman" w:hAnsi="Times New Roman"/>
          <w:sz w:val="19"/>
          <w:szCs w:val="19"/>
          <w:u w:val="single" w:color="auto"/>
          <w:color w:val="0000FF"/>
          <w:strike w:val="1"/>
        </w:rPr>
        <w:t>80</w:t>
      </w:r>
    </w:p>
    <w:p>
      <w:pPr>
        <w:ind w:left="1200"/>
        <w:spacing w:after="0"/>
        <w:tabs>
          <w:tab w:leader="none" w:pos="1760" w:val="left"/>
          <w:tab w:leader="none" w:pos="5060" w:val="left"/>
        </w:tabs>
        <w:rPr>
          <w:sz w:val="20"/>
          <w:szCs w:val="20"/>
          <w:color w:val="auto"/>
        </w:rPr>
      </w:pPr>
      <w:r>
        <w:rPr>
          <w:rFonts w:ascii="Times New Roman" w:cs="Times New Roman" w:eastAsia="Times New Roman" w:hAnsi="Times New Roman"/>
          <w:sz w:val="20"/>
          <w:szCs w:val="20"/>
          <w:u w:val="single" w:color="auto"/>
          <w:color w:val="0000FF"/>
        </w:rPr>
        <w:t>8.2.6</w:t>
        <w:tab/>
        <w:t>Dispositions of Assets or Subsidiaries.</w:t>
      </w:r>
      <w:r>
        <w:rPr>
          <w:sz w:val="20"/>
          <w:szCs w:val="20"/>
          <w:color w:val="auto"/>
        </w:rPr>
        <w:tab/>
      </w:r>
      <w:r>
        <w:rPr>
          <w:rFonts w:ascii="Times New Roman" w:cs="Times New Roman" w:eastAsia="Times New Roman" w:hAnsi="Times New Roman"/>
          <w:sz w:val="19"/>
          <w:szCs w:val="19"/>
          <w:color w:val="FF0000"/>
          <w:strike w:val="1"/>
        </w:rPr>
        <w:t>69</w:t>
      </w:r>
      <w:r>
        <w:rPr>
          <w:rFonts w:ascii="Times New Roman" w:cs="Times New Roman" w:eastAsia="Times New Roman" w:hAnsi="Times New Roman"/>
          <w:sz w:val="19"/>
          <w:szCs w:val="19"/>
          <w:u w:val="single" w:color="auto"/>
          <w:color w:val="0000FF"/>
          <w:strike w:val="1"/>
        </w:rPr>
        <w:t>80</w:t>
      </w:r>
    </w:p>
    <w:p>
      <w:pPr>
        <w:ind w:left="1200"/>
        <w:spacing w:after="0"/>
        <w:tabs>
          <w:tab w:leader="none" w:pos="1760" w:val="left"/>
          <w:tab w:leader="none" w:pos="3760" w:val="left"/>
        </w:tabs>
        <w:rPr>
          <w:sz w:val="20"/>
          <w:szCs w:val="20"/>
          <w:color w:val="auto"/>
        </w:rPr>
      </w:pPr>
      <w:r>
        <w:rPr>
          <w:rFonts w:ascii="Times New Roman" w:cs="Times New Roman" w:eastAsia="Times New Roman" w:hAnsi="Times New Roman"/>
          <w:sz w:val="20"/>
          <w:szCs w:val="20"/>
          <w:u w:val="single" w:color="auto"/>
          <w:color w:val="0000FF"/>
        </w:rPr>
        <w:t>8.2.7</w:t>
        <w:tab/>
        <w:t>Affiliate Transactions.</w:t>
      </w:r>
      <w:r>
        <w:rPr>
          <w:sz w:val="20"/>
          <w:szCs w:val="20"/>
          <w:color w:val="auto"/>
        </w:rPr>
        <w:tab/>
      </w:r>
      <w:r>
        <w:rPr>
          <w:rFonts w:ascii="Times New Roman" w:cs="Times New Roman" w:eastAsia="Times New Roman" w:hAnsi="Times New Roman"/>
          <w:sz w:val="19"/>
          <w:szCs w:val="19"/>
          <w:color w:val="FF0000"/>
          <w:strike w:val="1"/>
        </w:rPr>
        <w:t>70</w:t>
      </w:r>
      <w:r>
        <w:rPr>
          <w:rFonts w:ascii="Times New Roman" w:cs="Times New Roman" w:eastAsia="Times New Roman" w:hAnsi="Times New Roman"/>
          <w:sz w:val="19"/>
          <w:szCs w:val="19"/>
          <w:u w:val="single" w:color="auto"/>
          <w:color w:val="0000FF"/>
          <w:strike w:val="1"/>
        </w:rPr>
        <w:t>81</w:t>
      </w:r>
    </w:p>
    <w:p>
      <w:pPr>
        <w:ind w:left="1200"/>
        <w:spacing w:after="0" w:line="235" w:lineRule="auto"/>
        <w:tabs>
          <w:tab w:leader="none" w:pos="1760" w:val="left"/>
          <w:tab w:leader="none" w:pos="2900" w:val="left"/>
        </w:tabs>
        <w:rPr>
          <w:sz w:val="20"/>
          <w:szCs w:val="20"/>
          <w:color w:val="auto"/>
        </w:rPr>
      </w:pPr>
      <w:r>
        <w:rPr>
          <w:rFonts w:ascii="Times New Roman" w:cs="Times New Roman" w:eastAsia="Times New Roman" w:hAnsi="Times New Roman"/>
          <w:sz w:val="20"/>
          <w:szCs w:val="20"/>
          <w:u w:val="single" w:color="auto"/>
          <w:color w:val="0000FF"/>
        </w:rPr>
        <w:t>8.2.8</w:t>
        <w:tab/>
        <w:t>[Reserved].</w:t>
      </w:r>
      <w:r>
        <w:rPr>
          <w:sz w:val="20"/>
          <w:szCs w:val="20"/>
          <w:color w:val="auto"/>
        </w:rPr>
        <w:tab/>
      </w:r>
      <w:r>
        <w:rPr>
          <w:rFonts w:ascii="Times New Roman" w:cs="Times New Roman" w:eastAsia="Times New Roman" w:hAnsi="Times New Roman"/>
          <w:sz w:val="19"/>
          <w:szCs w:val="19"/>
          <w:color w:val="FF0000"/>
          <w:strike w:val="1"/>
        </w:rPr>
        <w:t>70</w:t>
      </w:r>
      <w:r>
        <w:rPr>
          <w:rFonts w:ascii="Times New Roman" w:cs="Times New Roman" w:eastAsia="Times New Roman" w:hAnsi="Times New Roman"/>
          <w:sz w:val="19"/>
          <w:szCs w:val="19"/>
          <w:u w:val="single" w:color="auto"/>
          <w:color w:val="0000FF"/>
          <w:strike w:val="1"/>
        </w:rPr>
        <w:t>81</w:t>
      </w:r>
    </w:p>
    <w:p>
      <w:pPr>
        <w:ind w:left="1200"/>
        <w:spacing w:after="0"/>
        <w:tabs>
          <w:tab w:leader="none" w:pos="1760" w:val="left"/>
          <w:tab w:leader="none" w:pos="5140" w:val="left"/>
        </w:tabs>
        <w:rPr>
          <w:sz w:val="20"/>
          <w:szCs w:val="20"/>
          <w:color w:val="auto"/>
        </w:rPr>
      </w:pPr>
      <w:r>
        <w:rPr>
          <w:rFonts w:ascii="Times New Roman" w:cs="Times New Roman" w:eastAsia="Times New Roman" w:hAnsi="Times New Roman"/>
          <w:sz w:val="20"/>
          <w:szCs w:val="20"/>
          <w:u w:val="single" w:color="auto"/>
          <w:color w:val="0000FF"/>
        </w:rPr>
        <w:t>8.2.9</w:t>
        <w:tab/>
        <w:t>Continuation of or Change in Business.</w:t>
      </w:r>
      <w:r>
        <w:rPr>
          <w:sz w:val="20"/>
          <w:szCs w:val="20"/>
          <w:color w:val="auto"/>
        </w:rPr>
        <w:tab/>
      </w:r>
      <w:r>
        <w:rPr>
          <w:rFonts w:ascii="Times New Roman" w:cs="Times New Roman" w:eastAsia="Times New Roman" w:hAnsi="Times New Roman"/>
          <w:sz w:val="19"/>
          <w:szCs w:val="19"/>
          <w:color w:val="FF0000"/>
          <w:strike w:val="1"/>
        </w:rPr>
        <w:t>70</w:t>
      </w:r>
      <w:r>
        <w:rPr>
          <w:rFonts w:ascii="Times New Roman" w:cs="Times New Roman" w:eastAsia="Times New Roman" w:hAnsi="Times New Roman"/>
          <w:sz w:val="19"/>
          <w:szCs w:val="19"/>
          <w:u w:val="single" w:color="auto"/>
          <w:color w:val="0000FF"/>
          <w:strike w:val="1"/>
        </w:rPr>
        <w:t>81</w:t>
      </w:r>
    </w:p>
    <w:p>
      <w:pPr>
        <w:ind w:left="1200"/>
        <w:spacing w:after="0"/>
        <w:tabs>
          <w:tab w:leader="none" w:pos="1860" w:val="left"/>
          <w:tab w:leader="none" w:pos="3000" w:val="left"/>
        </w:tabs>
        <w:rPr>
          <w:sz w:val="20"/>
          <w:szCs w:val="20"/>
          <w:color w:val="auto"/>
        </w:rPr>
      </w:pPr>
      <w:r>
        <w:rPr>
          <w:rFonts w:ascii="Times New Roman" w:cs="Times New Roman" w:eastAsia="Times New Roman" w:hAnsi="Times New Roman"/>
          <w:sz w:val="20"/>
          <w:szCs w:val="20"/>
          <w:u w:val="single" w:color="auto"/>
          <w:color w:val="0000FF"/>
        </w:rPr>
        <w:t>8.2.10</w:t>
        <w:tab/>
        <w:t>Fiscal Year.</w:t>
      </w:r>
      <w:r>
        <w:rPr>
          <w:sz w:val="20"/>
          <w:szCs w:val="20"/>
          <w:color w:val="auto"/>
        </w:rPr>
        <w:tab/>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000FF"/>
          <w:strike w:val="1"/>
        </w:rPr>
        <w:t>82</w:t>
      </w:r>
    </w:p>
    <w:p>
      <w:pPr>
        <w:ind w:left="1200"/>
        <w:spacing w:after="0" w:line="235" w:lineRule="auto"/>
        <w:tabs>
          <w:tab w:leader="none" w:pos="1860" w:val="left"/>
          <w:tab w:leader="none" w:pos="2860" w:val="left"/>
        </w:tabs>
        <w:rPr>
          <w:sz w:val="20"/>
          <w:szCs w:val="20"/>
          <w:color w:val="auto"/>
        </w:rPr>
      </w:pPr>
      <w:r>
        <w:rPr>
          <w:rFonts w:ascii="Times New Roman" w:cs="Times New Roman" w:eastAsia="Times New Roman" w:hAnsi="Times New Roman"/>
          <w:sz w:val="20"/>
          <w:szCs w:val="20"/>
          <w:u w:val="single" w:color="auto"/>
          <w:color w:val="0000FF"/>
        </w:rPr>
        <w:t>8.2.11</w:t>
        <w:tab/>
        <w:t>Reserved.</w:t>
      </w:r>
      <w:r>
        <w:rPr>
          <w:sz w:val="20"/>
          <w:szCs w:val="20"/>
          <w:color w:val="auto"/>
        </w:rPr>
        <w:tab/>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000FF"/>
          <w:strike w:val="1"/>
        </w:rPr>
        <w:t>82</w:t>
      </w:r>
    </w:p>
    <w:p>
      <w:pPr>
        <w:ind w:left="1200"/>
        <w:spacing w:after="0"/>
        <w:tabs>
          <w:tab w:leader="none" w:pos="1860" w:val="left"/>
          <w:tab w:leader="none" w:pos="2860" w:val="left"/>
        </w:tabs>
        <w:rPr>
          <w:sz w:val="20"/>
          <w:szCs w:val="20"/>
          <w:color w:val="auto"/>
        </w:rPr>
      </w:pPr>
      <w:r>
        <w:rPr>
          <w:rFonts w:ascii="Times New Roman" w:cs="Times New Roman" w:eastAsia="Times New Roman" w:hAnsi="Times New Roman"/>
          <w:sz w:val="20"/>
          <w:szCs w:val="20"/>
          <w:u w:val="single" w:color="auto"/>
          <w:color w:val="0000FF"/>
        </w:rPr>
        <w:t>8.2.12</w:t>
        <w:tab/>
        <w:t>Reserved.</w:t>
      </w:r>
      <w:r>
        <w:rPr>
          <w:sz w:val="20"/>
          <w:szCs w:val="20"/>
          <w:color w:val="auto"/>
        </w:rPr>
        <w:tab/>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000FF"/>
          <w:strike w:val="1"/>
        </w:rPr>
        <w:t>82</w:t>
      </w:r>
    </w:p>
    <w:p>
      <w:pPr>
        <w:ind w:left="1200"/>
        <w:spacing w:after="0" w:line="236" w:lineRule="auto"/>
        <w:tabs>
          <w:tab w:leader="none" w:pos="1860" w:val="left"/>
          <w:tab w:leader="none" w:pos="4660" w:val="left"/>
        </w:tabs>
        <w:rPr>
          <w:sz w:val="20"/>
          <w:szCs w:val="20"/>
          <w:color w:val="auto"/>
        </w:rPr>
      </w:pPr>
      <w:r>
        <w:rPr>
          <w:rFonts w:ascii="Times New Roman" w:cs="Times New Roman" w:eastAsia="Times New Roman" w:hAnsi="Times New Roman"/>
          <w:sz w:val="20"/>
          <w:szCs w:val="20"/>
          <w:u w:val="single" w:color="auto"/>
          <w:color w:val="0000FF"/>
        </w:rPr>
        <w:t>8.2.13</w:t>
        <w:tab/>
        <w:t>Limitation on Negative Pledges.</w:t>
      </w:r>
      <w:r>
        <w:rPr>
          <w:sz w:val="20"/>
          <w:szCs w:val="20"/>
          <w:color w:val="auto"/>
        </w:rPr>
        <w:tab/>
      </w:r>
      <w:r>
        <w:rPr>
          <w:rFonts w:ascii="Times New Roman" w:cs="Times New Roman" w:eastAsia="Times New Roman" w:hAnsi="Times New Roman"/>
          <w:sz w:val="20"/>
          <w:szCs w:val="20"/>
          <w:color w:val="FF0000"/>
          <w:strike w:val="1"/>
        </w:rPr>
        <w:t>71</w:t>
      </w:r>
      <w:r>
        <w:rPr>
          <w:rFonts w:ascii="Times New Roman" w:cs="Times New Roman" w:eastAsia="Times New Roman" w:hAnsi="Times New Roman"/>
          <w:sz w:val="20"/>
          <w:szCs w:val="20"/>
          <w:u w:val="single" w:color="auto"/>
          <w:color w:val="0000FF"/>
          <w:strike w:val="1"/>
        </w:rPr>
        <w:t>82</w:t>
      </w:r>
    </w:p>
    <w:p>
      <w:pPr>
        <w:ind w:left="1200"/>
        <w:spacing w:after="0" w:line="235" w:lineRule="auto"/>
        <w:tabs>
          <w:tab w:leader="none" w:pos="1860" w:val="left"/>
          <w:tab w:leader="none" w:pos="5360" w:val="left"/>
        </w:tabs>
        <w:rPr>
          <w:sz w:val="20"/>
          <w:szCs w:val="20"/>
          <w:color w:val="auto"/>
        </w:rPr>
      </w:pPr>
      <w:r>
        <w:rPr>
          <w:rFonts w:ascii="Times New Roman" w:cs="Times New Roman" w:eastAsia="Times New Roman" w:hAnsi="Times New Roman"/>
          <w:sz w:val="20"/>
          <w:szCs w:val="20"/>
          <w:u w:val="single" w:color="auto"/>
          <w:color w:val="0000FF"/>
        </w:rPr>
        <w:t>8.2.14</w:t>
        <w:tab/>
        <w:t>Maximum Consolidated Leverage Ratio.</w:t>
      </w:r>
      <w:r>
        <w:rPr>
          <w:sz w:val="20"/>
          <w:szCs w:val="20"/>
          <w:color w:val="auto"/>
        </w:rPr>
        <w:tab/>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000FF"/>
          <w:strike w:val="1"/>
        </w:rPr>
        <w:t>82</w:t>
      </w:r>
    </w:p>
    <w:p>
      <w:pPr>
        <w:ind w:left="1200"/>
        <w:spacing w:after="0"/>
        <w:tabs>
          <w:tab w:leader="none" w:pos="1860" w:val="left"/>
          <w:tab w:leader="none" w:pos="6000" w:val="left"/>
        </w:tabs>
        <w:rPr>
          <w:sz w:val="20"/>
          <w:szCs w:val="20"/>
          <w:color w:val="auto"/>
        </w:rPr>
      </w:pPr>
      <w:r>
        <w:rPr>
          <w:rFonts w:ascii="Times New Roman" w:cs="Times New Roman" w:eastAsia="Times New Roman" w:hAnsi="Times New Roman"/>
          <w:sz w:val="20"/>
          <w:szCs w:val="20"/>
          <w:u w:val="single" w:color="auto"/>
          <w:color w:val="0000FF"/>
        </w:rPr>
        <w:t>8.2.15</w:t>
        <w:tab/>
        <w:t>Minimum Consolidated Interest Coverage Ratio.</w:t>
      </w:r>
      <w:r>
        <w:rPr>
          <w:sz w:val="20"/>
          <w:szCs w:val="20"/>
          <w:color w:val="auto"/>
        </w:rPr>
        <w:tab/>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000FF"/>
          <w:strike w:val="1"/>
        </w:rPr>
        <w:t>82</w:t>
      </w:r>
    </w:p>
    <w:p>
      <w:pPr>
        <w:ind w:left="1200"/>
        <w:spacing w:after="0" w:line="237" w:lineRule="auto"/>
        <w:tabs>
          <w:tab w:leader="none" w:pos="1860" w:val="left"/>
          <w:tab w:leader="none" w:pos="5460" w:val="left"/>
        </w:tabs>
        <w:rPr>
          <w:sz w:val="20"/>
          <w:szCs w:val="20"/>
          <w:color w:val="auto"/>
        </w:rPr>
      </w:pPr>
      <w:r>
        <w:rPr>
          <w:rFonts w:ascii="Times New Roman" w:cs="Times New Roman" w:eastAsia="Times New Roman" w:hAnsi="Times New Roman"/>
          <w:sz w:val="20"/>
          <w:szCs w:val="20"/>
          <w:u w:val="single" w:color="auto"/>
          <w:color w:val="0000FF"/>
        </w:rPr>
        <w:t>8.2.16</w:t>
        <w:tab/>
        <w:t>Sanctions and other Anti-Terrorism Laws.</w:t>
        <w:tab/>
        <w:t>82</w:t>
      </w:r>
    </w:p>
    <w:p>
      <w:pPr>
        <w:ind w:left="1200"/>
        <w:spacing w:after="0" w:line="223" w:lineRule="auto"/>
        <w:tabs>
          <w:tab w:leader="none" w:pos="1860" w:val="left"/>
          <w:tab w:leader="none" w:pos="3900" w:val="left"/>
        </w:tabs>
        <w:rPr>
          <w:sz w:val="20"/>
          <w:szCs w:val="20"/>
          <w:color w:val="auto"/>
        </w:rPr>
      </w:pPr>
      <w:r>
        <w:rPr>
          <w:rFonts w:ascii="Times New Roman" w:cs="Times New Roman" w:eastAsia="Times New Roman" w:hAnsi="Times New Roman"/>
          <w:sz w:val="20"/>
          <w:szCs w:val="20"/>
          <w:u w:val="single" w:color="auto"/>
          <w:color w:val="0000FF"/>
        </w:rPr>
        <w:t>8.2.17</w:t>
        <w:tab/>
        <w:t>Anti-Corruption Laws.</w:t>
        <w:tab/>
        <w:t>83</w:t>
      </w:r>
    </w:p>
    <w:p>
      <w:pPr>
        <w:ind w:left="600"/>
        <w:spacing w:after="0"/>
        <w:tabs>
          <w:tab w:leader="none" w:pos="1000" w:val="left"/>
          <w:tab w:leader="none" w:pos="3240" w:val="left"/>
        </w:tabs>
        <w:rPr>
          <w:sz w:val="20"/>
          <w:szCs w:val="20"/>
          <w:color w:val="auto"/>
        </w:rPr>
      </w:pPr>
      <w:r>
        <w:rPr>
          <w:rFonts w:ascii="Times New Roman" w:cs="Times New Roman" w:eastAsia="Times New Roman" w:hAnsi="Times New Roman"/>
          <w:sz w:val="20"/>
          <w:szCs w:val="20"/>
          <w:u w:val="single" w:color="auto"/>
          <w:color w:val="0000FF"/>
        </w:rPr>
        <w:t>8.3</w:t>
        <w:tab/>
        <w:t>Reporting Requirements.</w:t>
      </w:r>
      <w:r>
        <w:rPr>
          <w:sz w:val="20"/>
          <w:szCs w:val="20"/>
          <w:color w:val="auto"/>
        </w:rPr>
        <w:tab/>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000FF"/>
          <w:strike w:val="1"/>
        </w:rPr>
        <w:t>83</w:t>
      </w:r>
    </w:p>
    <w:p>
      <w:pPr>
        <w:ind w:left="1200"/>
        <w:spacing w:after="0"/>
        <w:tabs>
          <w:tab w:leader="none" w:pos="1760" w:val="left"/>
          <w:tab w:leader="none" w:pos="4520" w:val="left"/>
        </w:tabs>
        <w:rPr>
          <w:sz w:val="20"/>
          <w:szCs w:val="20"/>
          <w:color w:val="auto"/>
        </w:rPr>
      </w:pPr>
      <w:r>
        <w:rPr>
          <w:rFonts w:ascii="Times New Roman" w:cs="Times New Roman" w:eastAsia="Times New Roman" w:hAnsi="Times New Roman"/>
          <w:sz w:val="20"/>
          <w:szCs w:val="20"/>
          <w:u w:val="single" w:color="auto"/>
          <w:color w:val="0000FF"/>
        </w:rPr>
        <w:t>8.3.1</w:t>
        <w:tab/>
        <w:t>Quarterly Financial Statements.</w:t>
      </w:r>
      <w:r>
        <w:rPr>
          <w:sz w:val="20"/>
          <w:szCs w:val="20"/>
          <w:color w:val="auto"/>
        </w:rPr>
        <w:tab/>
      </w:r>
      <w:r>
        <w:rPr>
          <w:rFonts w:ascii="Times New Roman" w:cs="Times New Roman" w:eastAsia="Times New Roman" w:hAnsi="Times New Roman"/>
          <w:sz w:val="19"/>
          <w:szCs w:val="19"/>
          <w:color w:val="FF0000"/>
          <w:strike w:val="1"/>
        </w:rPr>
        <w:t>71</w:t>
      </w:r>
      <w:r>
        <w:rPr>
          <w:rFonts w:ascii="Times New Roman" w:cs="Times New Roman" w:eastAsia="Times New Roman" w:hAnsi="Times New Roman"/>
          <w:sz w:val="19"/>
          <w:szCs w:val="19"/>
          <w:u w:val="single" w:color="auto"/>
          <w:color w:val="0000FF"/>
          <w:strike w:val="1"/>
        </w:rPr>
        <w:t>83</w:t>
      </w:r>
    </w:p>
    <w:p>
      <w:pPr>
        <w:ind w:left="1200"/>
        <w:spacing w:after="0" w:line="235" w:lineRule="auto"/>
        <w:tabs>
          <w:tab w:leader="none" w:pos="1760" w:val="left"/>
          <w:tab w:leader="none" w:pos="4340" w:val="left"/>
        </w:tabs>
        <w:rPr>
          <w:sz w:val="20"/>
          <w:szCs w:val="20"/>
          <w:color w:val="auto"/>
        </w:rPr>
      </w:pPr>
      <w:r>
        <w:rPr>
          <w:rFonts w:ascii="Times New Roman" w:cs="Times New Roman" w:eastAsia="Times New Roman" w:hAnsi="Times New Roman"/>
          <w:sz w:val="20"/>
          <w:szCs w:val="20"/>
          <w:u w:val="single" w:color="auto"/>
          <w:color w:val="0000FF"/>
        </w:rPr>
        <w:t>8.3.2</w:t>
        <w:tab/>
        <w:t>Annual Financial Statements.</w:t>
      </w:r>
      <w:r>
        <w:rPr>
          <w:sz w:val="20"/>
          <w:szCs w:val="20"/>
          <w:color w:val="auto"/>
        </w:rPr>
        <w:tab/>
      </w:r>
      <w:r>
        <w:rPr>
          <w:rFonts w:ascii="Times New Roman" w:cs="Times New Roman" w:eastAsia="Times New Roman" w:hAnsi="Times New Roman"/>
          <w:sz w:val="19"/>
          <w:szCs w:val="19"/>
          <w:color w:val="FF0000"/>
          <w:strike w:val="1"/>
        </w:rPr>
        <w:t>72</w:t>
      </w:r>
      <w:r>
        <w:rPr>
          <w:rFonts w:ascii="Times New Roman" w:cs="Times New Roman" w:eastAsia="Times New Roman" w:hAnsi="Times New Roman"/>
          <w:sz w:val="19"/>
          <w:szCs w:val="19"/>
          <w:u w:val="single" w:color="auto"/>
          <w:color w:val="0000FF"/>
          <w:strike w:val="1"/>
        </w:rPr>
        <w:t>83</w:t>
      </w:r>
    </w:p>
    <w:p>
      <w:pPr>
        <w:ind w:left="1200"/>
        <w:spacing w:after="0"/>
        <w:tabs>
          <w:tab w:leader="none" w:pos="1760" w:val="left"/>
          <w:tab w:leader="none" w:pos="4180" w:val="left"/>
        </w:tabs>
        <w:rPr>
          <w:sz w:val="20"/>
          <w:szCs w:val="20"/>
          <w:color w:val="auto"/>
        </w:rPr>
      </w:pPr>
      <w:r>
        <w:rPr>
          <w:rFonts w:ascii="Times New Roman" w:cs="Times New Roman" w:eastAsia="Times New Roman" w:hAnsi="Times New Roman"/>
          <w:sz w:val="20"/>
          <w:szCs w:val="20"/>
          <w:u w:val="single" w:color="auto"/>
          <w:color w:val="0000FF"/>
        </w:rPr>
        <w:t>8.3.3</w:t>
        <w:tab/>
        <w:t>Certificate of the Borrower.</w:t>
      </w:r>
      <w:r>
        <w:rPr>
          <w:sz w:val="20"/>
          <w:szCs w:val="20"/>
          <w:color w:val="auto"/>
        </w:rPr>
        <w:tab/>
      </w:r>
      <w:r>
        <w:rPr>
          <w:rFonts w:ascii="Times New Roman" w:cs="Times New Roman" w:eastAsia="Times New Roman" w:hAnsi="Times New Roman"/>
          <w:sz w:val="19"/>
          <w:szCs w:val="19"/>
          <w:color w:val="FF0000"/>
          <w:strike w:val="1"/>
        </w:rPr>
        <w:t>72</w:t>
      </w:r>
      <w:r>
        <w:rPr>
          <w:rFonts w:ascii="Times New Roman" w:cs="Times New Roman" w:eastAsia="Times New Roman" w:hAnsi="Times New Roman"/>
          <w:sz w:val="19"/>
          <w:szCs w:val="19"/>
          <w:u w:val="single" w:color="auto"/>
          <w:color w:val="0000FF"/>
          <w:strike w:val="1"/>
        </w:rPr>
        <w:t>83</w:t>
      </w:r>
    </w:p>
    <w:p>
      <w:pPr>
        <w:ind w:left="1200"/>
        <w:spacing w:after="0" w:line="223" w:lineRule="auto"/>
        <w:tabs>
          <w:tab w:leader="none" w:pos="1760" w:val="left"/>
          <w:tab w:leader="none" w:pos="2620" w:val="left"/>
        </w:tabs>
        <w:rPr>
          <w:sz w:val="20"/>
          <w:szCs w:val="20"/>
          <w:color w:val="auto"/>
        </w:rPr>
      </w:pPr>
      <w:r>
        <w:rPr>
          <w:rFonts w:ascii="Times New Roman" w:cs="Times New Roman" w:eastAsia="Times New Roman" w:hAnsi="Times New Roman"/>
          <w:sz w:val="20"/>
          <w:szCs w:val="20"/>
          <w:u w:val="single" w:color="auto"/>
          <w:color w:val="0000FF"/>
        </w:rPr>
        <w:t>8.3.4</w:t>
        <w:tab/>
        <w:t>Notices.</w:t>
      </w:r>
      <w:r>
        <w:rPr>
          <w:sz w:val="20"/>
          <w:szCs w:val="20"/>
          <w:color w:val="auto"/>
        </w:rPr>
        <w:tab/>
      </w:r>
      <w:r>
        <w:rPr>
          <w:rFonts w:ascii="Times New Roman" w:cs="Times New Roman" w:eastAsia="Times New Roman" w:hAnsi="Times New Roman"/>
          <w:sz w:val="20"/>
          <w:szCs w:val="20"/>
          <w:color w:val="FF0000"/>
          <w:strike w:val="1"/>
        </w:rPr>
        <w:t>72</w:t>
      </w:r>
      <w:r>
        <w:rPr>
          <w:rFonts w:ascii="Times New Roman" w:cs="Times New Roman" w:eastAsia="Times New Roman" w:hAnsi="Times New Roman"/>
          <w:sz w:val="20"/>
          <w:szCs w:val="20"/>
          <w:u w:val="single" w:color="auto"/>
          <w:color w:val="0000FF"/>
          <w:strike w:val="1"/>
        </w:rPr>
        <w:t>83</w:t>
      </w:r>
    </w:p>
    <w:p>
      <w:pPr>
        <w:spacing w:after="0" w:line="1" w:lineRule="exact"/>
        <w:rPr>
          <w:sz w:val="20"/>
          <w:szCs w:val="20"/>
          <w:color w:val="auto"/>
        </w:rPr>
      </w:pPr>
    </w:p>
    <w:p>
      <w:pPr>
        <w:ind w:left="1200"/>
        <w:spacing w:after="0"/>
        <w:tabs>
          <w:tab w:leader="none" w:pos="1760" w:val="left"/>
          <w:tab w:leader="none" w:pos="2700" w:val="left"/>
        </w:tabs>
        <w:rPr>
          <w:sz w:val="20"/>
          <w:szCs w:val="20"/>
          <w:color w:val="auto"/>
        </w:rPr>
      </w:pPr>
      <w:r>
        <w:rPr>
          <w:rFonts w:ascii="Times New Roman" w:cs="Times New Roman" w:eastAsia="Times New Roman" w:hAnsi="Times New Roman"/>
          <w:sz w:val="20"/>
          <w:szCs w:val="20"/>
          <w:u w:val="single" w:color="auto"/>
          <w:color w:val="0000FF"/>
        </w:rPr>
        <w:t>8.3.5</w:t>
        <w:tab/>
        <w:t>Delivery.</w:t>
      </w:r>
      <w:r>
        <w:rPr>
          <w:sz w:val="20"/>
          <w:szCs w:val="20"/>
          <w:color w:val="auto"/>
        </w:rPr>
        <w:tab/>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strike w:val="1"/>
        </w:rPr>
        <w:t>84</w:t>
      </w:r>
    </w:p>
    <w:p>
      <w:pPr>
        <w:spacing w:after="0" w:line="176" w:lineRule="exact"/>
        <w:rPr>
          <w:sz w:val="20"/>
          <w:szCs w:val="20"/>
          <w:color w:val="auto"/>
        </w:rPr>
      </w:pPr>
    </w:p>
    <w:p>
      <w:pPr>
        <w:spacing w:after="0"/>
        <w:tabs>
          <w:tab w:leader="none" w:pos="300" w:val="left"/>
          <w:tab w:leader="none" w:pos="1380" w:val="left"/>
        </w:tabs>
        <w:rPr>
          <w:sz w:val="20"/>
          <w:szCs w:val="20"/>
          <w:color w:val="auto"/>
        </w:rPr>
      </w:pPr>
      <w:r>
        <w:rPr>
          <w:rFonts w:ascii="Times New Roman" w:cs="Times New Roman" w:eastAsia="Times New Roman" w:hAnsi="Times New Roman"/>
          <w:sz w:val="20"/>
          <w:szCs w:val="20"/>
          <w:u w:val="single" w:color="auto"/>
          <w:color w:val="0000FF"/>
        </w:rPr>
        <w:t>9.</w:t>
        <w:tab/>
        <w:t>DEFAULT</w:t>
      </w:r>
      <w:r>
        <w:rPr>
          <w:sz w:val="20"/>
          <w:szCs w:val="20"/>
          <w:color w:val="auto"/>
        </w:rPr>
        <w:tab/>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strike w:val="1"/>
        </w:rPr>
        <w:t>84</w:t>
      </w:r>
    </w:p>
    <w:p>
      <w:pPr>
        <w:spacing w:after="0" w:line="2" w:lineRule="exact"/>
        <w:rPr>
          <w:sz w:val="20"/>
          <w:szCs w:val="20"/>
          <w:color w:val="auto"/>
        </w:rPr>
      </w:pPr>
    </w:p>
    <w:p>
      <w:pPr>
        <w:ind w:left="600"/>
        <w:spacing w:after="0"/>
        <w:tabs>
          <w:tab w:leader="none" w:pos="1000" w:val="left"/>
          <w:tab w:leader="none" w:pos="2680" w:val="left"/>
        </w:tabs>
        <w:rPr>
          <w:sz w:val="20"/>
          <w:szCs w:val="20"/>
          <w:color w:val="auto"/>
        </w:rPr>
      </w:pPr>
      <w:r>
        <w:rPr>
          <w:rFonts w:ascii="Times New Roman" w:cs="Times New Roman" w:eastAsia="Times New Roman" w:hAnsi="Times New Roman"/>
          <w:sz w:val="20"/>
          <w:szCs w:val="20"/>
          <w:u w:val="single" w:color="auto"/>
          <w:color w:val="0000FF"/>
        </w:rPr>
        <w:t>9.1</w:t>
        <w:tab/>
        <w:t>Events of Default.</w:t>
      </w:r>
      <w:r>
        <w:rPr>
          <w:sz w:val="20"/>
          <w:szCs w:val="20"/>
          <w:color w:val="auto"/>
        </w:rPr>
        <w:tab/>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strike w:val="1"/>
        </w:rPr>
        <w:t>84</w:t>
      </w:r>
    </w:p>
    <w:p>
      <w:pPr>
        <w:ind w:left="1200"/>
        <w:spacing w:after="0"/>
        <w:tabs>
          <w:tab w:leader="none" w:pos="1760" w:val="left"/>
          <w:tab w:leader="none" w:pos="4780" w:val="left"/>
        </w:tabs>
        <w:rPr>
          <w:sz w:val="20"/>
          <w:szCs w:val="20"/>
          <w:color w:val="auto"/>
        </w:rPr>
      </w:pPr>
      <w:r>
        <w:rPr>
          <w:rFonts w:ascii="Times New Roman" w:cs="Times New Roman" w:eastAsia="Times New Roman" w:hAnsi="Times New Roman"/>
          <w:sz w:val="20"/>
          <w:szCs w:val="20"/>
          <w:u w:val="single" w:color="auto"/>
          <w:color w:val="0000FF"/>
        </w:rPr>
        <w:t>9.1.1</w:t>
        <w:tab/>
        <w:t>Payments Under Loan Documents.</w:t>
      </w:r>
      <w:r>
        <w:rPr>
          <w:sz w:val="20"/>
          <w:szCs w:val="20"/>
          <w:color w:val="auto"/>
        </w:rPr>
        <w:tab/>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strike w:val="1"/>
        </w:rPr>
        <w:t>84</w:t>
      </w:r>
    </w:p>
    <w:p>
      <w:pPr>
        <w:ind w:left="1200"/>
        <w:spacing w:after="0"/>
        <w:tabs>
          <w:tab w:leader="none" w:pos="1760" w:val="left"/>
          <w:tab w:leader="none" w:pos="3580" w:val="left"/>
        </w:tabs>
        <w:rPr>
          <w:sz w:val="20"/>
          <w:szCs w:val="20"/>
          <w:color w:val="auto"/>
        </w:rPr>
      </w:pPr>
      <w:r>
        <w:rPr>
          <w:rFonts w:ascii="Times New Roman" w:cs="Times New Roman" w:eastAsia="Times New Roman" w:hAnsi="Times New Roman"/>
          <w:sz w:val="20"/>
          <w:szCs w:val="20"/>
          <w:u w:val="single" w:color="auto"/>
          <w:color w:val="0000FF"/>
        </w:rPr>
        <w:t>9.1.2</w:t>
        <w:tab/>
        <w:t>Breach of Warranty.</w:t>
      </w:r>
      <w:r>
        <w:rPr>
          <w:sz w:val="20"/>
          <w:szCs w:val="20"/>
          <w:color w:val="auto"/>
        </w:rPr>
        <w:tab/>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strike w:val="1"/>
        </w:rPr>
        <w:t>85</w:t>
      </w:r>
    </w:p>
    <w:p>
      <w:pPr>
        <w:ind w:left="1200"/>
        <w:spacing w:after="0" w:line="235" w:lineRule="auto"/>
        <w:tabs>
          <w:tab w:leader="none" w:pos="1760" w:val="left"/>
          <w:tab w:leader="none" w:pos="2760" w:val="left"/>
        </w:tabs>
        <w:rPr>
          <w:sz w:val="20"/>
          <w:szCs w:val="20"/>
          <w:color w:val="auto"/>
        </w:rPr>
      </w:pPr>
      <w:r>
        <w:rPr>
          <w:rFonts w:ascii="Times New Roman" w:cs="Times New Roman" w:eastAsia="Times New Roman" w:hAnsi="Times New Roman"/>
          <w:sz w:val="20"/>
          <w:szCs w:val="20"/>
          <w:u w:val="single" w:color="auto"/>
          <w:color w:val="0000FF"/>
        </w:rPr>
        <w:t>9.1.3</w:t>
        <w:tab/>
        <w:t>Reserved.</w:t>
      </w:r>
      <w:r>
        <w:rPr>
          <w:sz w:val="20"/>
          <w:szCs w:val="20"/>
          <w:color w:val="auto"/>
        </w:rPr>
        <w:tab/>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strike w:val="1"/>
        </w:rPr>
        <w:t>85</w:t>
      </w:r>
    </w:p>
    <w:p>
      <w:pPr>
        <w:ind w:left="1200"/>
        <w:spacing w:after="0"/>
        <w:tabs>
          <w:tab w:leader="none" w:pos="1760" w:val="left"/>
          <w:tab w:leader="none" w:pos="7960" w:val="left"/>
        </w:tabs>
        <w:rPr>
          <w:sz w:val="20"/>
          <w:szCs w:val="20"/>
          <w:color w:val="auto"/>
        </w:rPr>
      </w:pPr>
      <w:r>
        <w:rPr>
          <w:rFonts w:ascii="Times New Roman" w:cs="Times New Roman" w:eastAsia="Times New Roman" w:hAnsi="Times New Roman"/>
          <w:sz w:val="20"/>
          <w:szCs w:val="20"/>
          <w:u w:val="single" w:color="auto"/>
          <w:color w:val="0000FF"/>
        </w:rPr>
        <w:t>9.1.4</w:t>
        <w:tab/>
        <w:t>Breach of Negative Covenants, Anti-Terrorism Laws or Notice of Default.</w:t>
      </w:r>
      <w:r>
        <w:rPr>
          <w:sz w:val="20"/>
          <w:szCs w:val="20"/>
          <w:color w:val="auto"/>
        </w:rPr>
        <w:tab/>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u w:val="single" w:color="auto"/>
          <w:color w:val="0000FF"/>
          <w:strike w:val="1"/>
        </w:rPr>
        <w:t>85</w:t>
      </w:r>
    </w:p>
    <w:p>
      <w:pPr>
        <w:ind w:left="1200"/>
        <w:spacing w:after="0" w:line="237" w:lineRule="auto"/>
        <w:tabs>
          <w:tab w:leader="none" w:pos="1760" w:val="left"/>
          <w:tab w:leader="none" w:pos="4200" w:val="left"/>
        </w:tabs>
        <w:rPr>
          <w:sz w:val="20"/>
          <w:szCs w:val="20"/>
          <w:color w:val="auto"/>
        </w:rPr>
      </w:pPr>
      <w:r>
        <w:rPr>
          <w:rFonts w:ascii="Times New Roman" w:cs="Times New Roman" w:eastAsia="Times New Roman" w:hAnsi="Times New Roman"/>
          <w:sz w:val="20"/>
          <w:szCs w:val="20"/>
          <w:u w:val="single" w:color="auto"/>
          <w:color w:val="0000FF"/>
        </w:rPr>
        <w:t>9.1.5</w:t>
        <w:tab/>
        <w:t>Breach of Other Covenants.</w:t>
      </w:r>
      <w:r>
        <w:rPr>
          <w:sz w:val="20"/>
          <w:szCs w:val="20"/>
          <w:color w:val="auto"/>
        </w:rPr>
        <w:tab/>
      </w:r>
      <w:r>
        <w:rPr>
          <w:rFonts w:ascii="Times New Roman" w:cs="Times New Roman" w:eastAsia="Times New Roman" w:hAnsi="Times New Roman"/>
          <w:sz w:val="20"/>
          <w:szCs w:val="20"/>
          <w:color w:val="FF0000"/>
          <w:strike w:val="1"/>
        </w:rPr>
        <w:t>74</w:t>
      </w:r>
      <w:r>
        <w:rPr>
          <w:rFonts w:ascii="Times New Roman" w:cs="Times New Roman" w:eastAsia="Times New Roman" w:hAnsi="Times New Roman"/>
          <w:sz w:val="20"/>
          <w:szCs w:val="20"/>
          <w:u w:val="single" w:color="auto"/>
          <w:color w:val="0000FF"/>
          <w:strike w:val="1"/>
        </w:rPr>
        <w:t>85</w:t>
      </w:r>
    </w:p>
    <w:p>
      <w:pPr>
        <w:ind w:left="1200"/>
        <w:spacing w:after="0" w:line="235" w:lineRule="auto"/>
        <w:tabs>
          <w:tab w:leader="none" w:pos="1760" w:val="left"/>
          <w:tab w:leader="none" w:pos="5760" w:val="left"/>
        </w:tabs>
        <w:rPr>
          <w:sz w:val="20"/>
          <w:szCs w:val="20"/>
          <w:color w:val="auto"/>
        </w:rPr>
      </w:pPr>
      <w:r>
        <w:rPr>
          <w:rFonts w:ascii="Times New Roman" w:cs="Times New Roman" w:eastAsia="Times New Roman" w:hAnsi="Times New Roman"/>
          <w:sz w:val="20"/>
          <w:szCs w:val="20"/>
          <w:u w:val="single" w:color="auto"/>
          <w:color w:val="0000FF"/>
        </w:rPr>
        <w:t>9.1.6</w:t>
        <w:tab/>
        <w:t>Defaults in Other Agreements or Indebtedness.</w:t>
      </w:r>
      <w:r>
        <w:rPr>
          <w:sz w:val="20"/>
          <w:szCs w:val="20"/>
          <w:color w:val="auto"/>
        </w:rPr>
        <w:tab/>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u w:val="single" w:color="auto"/>
          <w:color w:val="0000FF"/>
          <w:strike w:val="1"/>
        </w:rPr>
        <w:t>85</w:t>
      </w:r>
    </w:p>
    <w:p>
      <w:pPr>
        <w:ind w:left="1200"/>
        <w:spacing w:after="0"/>
        <w:tabs>
          <w:tab w:leader="none" w:pos="1760" w:val="left"/>
          <w:tab w:leader="none" w:pos="4160" w:val="left"/>
        </w:tabs>
        <w:rPr>
          <w:sz w:val="20"/>
          <w:szCs w:val="20"/>
          <w:color w:val="auto"/>
        </w:rPr>
      </w:pPr>
      <w:r>
        <w:rPr>
          <w:rFonts w:ascii="Times New Roman" w:cs="Times New Roman" w:eastAsia="Times New Roman" w:hAnsi="Times New Roman"/>
          <w:sz w:val="20"/>
          <w:szCs w:val="20"/>
          <w:u w:val="single" w:color="auto"/>
          <w:color w:val="0000FF"/>
        </w:rPr>
        <w:t>9.1.7</w:t>
        <w:tab/>
        <w:t>Final Judgments or Orders.</w:t>
      </w:r>
      <w:r>
        <w:rPr>
          <w:sz w:val="20"/>
          <w:szCs w:val="20"/>
          <w:color w:val="auto"/>
        </w:rPr>
        <w:tab/>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u w:val="single" w:color="auto"/>
          <w:color w:val="0000FF"/>
          <w:strike w:val="1"/>
        </w:rPr>
        <w:t>85</w:t>
      </w:r>
    </w:p>
    <w:p>
      <w:pPr>
        <w:ind w:left="1200"/>
        <w:spacing w:after="0"/>
        <w:tabs>
          <w:tab w:leader="none" w:pos="1760" w:val="left"/>
          <w:tab w:leader="none" w:pos="4560" w:val="left"/>
        </w:tabs>
        <w:rPr>
          <w:sz w:val="20"/>
          <w:szCs w:val="20"/>
          <w:color w:val="auto"/>
        </w:rPr>
      </w:pPr>
      <w:r>
        <w:rPr>
          <w:rFonts w:ascii="Times New Roman" w:cs="Times New Roman" w:eastAsia="Times New Roman" w:hAnsi="Times New Roman"/>
          <w:sz w:val="20"/>
          <w:szCs w:val="20"/>
          <w:u w:val="single" w:color="auto"/>
          <w:color w:val="0000FF"/>
        </w:rPr>
        <w:t>9.1.8</w:t>
        <w:tab/>
        <w:t>Loan Document Unenforceable.</w:t>
      </w:r>
      <w:r>
        <w:rPr>
          <w:sz w:val="20"/>
          <w:szCs w:val="20"/>
          <w:color w:val="auto"/>
        </w:rPr>
        <w:tab/>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u w:val="single" w:color="auto"/>
          <w:color w:val="0000FF"/>
          <w:strike w:val="1"/>
        </w:rPr>
        <w:t>85</w:t>
      </w:r>
    </w:p>
    <w:p>
      <w:pPr>
        <w:ind w:left="1200"/>
        <w:spacing w:after="0" w:line="235" w:lineRule="auto"/>
        <w:tabs>
          <w:tab w:leader="none" w:pos="1760" w:val="left"/>
          <w:tab w:leader="none" w:pos="8640" w:val="left"/>
        </w:tabs>
        <w:rPr>
          <w:sz w:val="20"/>
          <w:szCs w:val="20"/>
          <w:color w:val="auto"/>
        </w:rPr>
      </w:pPr>
      <w:r>
        <w:rPr>
          <w:rFonts w:ascii="Times New Roman" w:cs="Times New Roman" w:eastAsia="Times New Roman" w:hAnsi="Times New Roman"/>
          <w:sz w:val="20"/>
          <w:szCs w:val="20"/>
          <w:u w:val="single" w:color="auto"/>
          <w:color w:val="0000FF"/>
        </w:rPr>
        <w:t>9.1.9</w:t>
        <w:tab/>
        <w:t>Events Relating to Benefit Arrangements, Pension Plans and Multiemployer Plans.</w:t>
      </w:r>
      <w:r>
        <w:rPr>
          <w:sz w:val="20"/>
          <w:szCs w:val="20"/>
          <w:color w:val="auto"/>
        </w:rPr>
        <w:tab/>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u w:val="single" w:color="auto"/>
          <w:color w:val="0000FF"/>
          <w:strike w:val="1"/>
        </w:rPr>
        <w:t>85</w:t>
      </w:r>
    </w:p>
    <w:p>
      <w:pPr>
        <w:ind w:left="1200"/>
        <w:spacing w:after="0"/>
        <w:tabs>
          <w:tab w:leader="none" w:pos="1860" w:val="left"/>
          <w:tab w:leader="none" w:pos="3620" w:val="left"/>
        </w:tabs>
        <w:rPr>
          <w:sz w:val="20"/>
          <w:szCs w:val="20"/>
          <w:color w:val="auto"/>
        </w:rPr>
      </w:pPr>
      <w:r>
        <w:rPr>
          <w:rFonts w:ascii="Times New Roman" w:cs="Times New Roman" w:eastAsia="Times New Roman" w:hAnsi="Times New Roman"/>
          <w:sz w:val="20"/>
          <w:szCs w:val="20"/>
          <w:u w:val="single" w:color="auto"/>
          <w:color w:val="0000FF"/>
        </w:rPr>
        <w:t>9.1.10</w:t>
        <w:tab/>
        <w:t>Change of Control.</w:t>
      </w:r>
      <w:r>
        <w:rPr>
          <w:sz w:val="20"/>
          <w:szCs w:val="20"/>
          <w:color w:val="auto"/>
        </w:rPr>
        <w:tab/>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u w:val="single" w:color="auto"/>
          <w:color w:val="0000FF"/>
          <w:strike w:val="1"/>
        </w:rPr>
        <w:t>86</w:t>
      </w:r>
    </w:p>
    <w:p>
      <w:pPr>
        <w:ind w:left="1200"/>
        <w:spacing w:after="0"/>
        <w:tabs>
          <w:tab w:leader="none" w:pos="1860" w:val="left"/>
          <w:tab w:leader="none" w:pos="3640" w:val="left"/>
        </w:tabs>
        <w:rPr>
          <w:sz w:val="20"/>
          <w:szCs w:val="20"/>
          <w:color w:val="auto"/>
        </w:rPr>
      </w:pPr>
      <w:r>
        <w:rPr>
          <w:rFonts w:ascii="Times New Roman" w:cs="Times New Roman" w:eastAsia="Times New Roman" w:hAnsi="Times New Roman"/>
          <w:sz w:val="20"/>
          <w:szCs w:val="20"/>
          <w:u w:val="single" w:color="auto"/>
          <w:color w:val="0000FF"/>
        </w:rPr>
        <w:t>9.1.11</w:t>
        <w:tab/>
        <w:t>Relief Proceedings.</w:t>
      </w:r>
      <w:r>
        <w:rPr>
          <w:sz w:val="20"/>
          <w:szCs w:val="20"/>
          <w:color w:val="auto"/>
        </w:rPr>
        <w:tab/>
      </w:r>
      <w:r>
        <w:rPr>
          <w:rFonts w:ascii="Times New Roman" w:cs="Times New Roman" w:eastAsia="Times New Roman" w:hAnsi="Times New Roman"/>
          <w:sz w:val="19"/>
          <w:szCs w:val="19"/>
          <w:color w:val="FF0000"/>
          <w:strike w:val="1"/>
        </w:rPr>
        <w:t>75</w:t>
      </w:r>
      <w:r>
        <w:rPr>
          <w:rFonts w:ascii="Times New Roman" w:cs="Times New Roman" w:eastAsia="Times New Roman" w:hAnsi="Times New Roman"/>
          <w:sz w:val="19"/>
          <w:szCs w:val="19"/>
          <w:u w:val="single" w:color="auto"/>
          <w:color w:val="0000FF"/>
          <w:strike w:val="1"/>
        </w:rPr>
        <w:t>86</w:t>
      </w:r>
    </w:p>
    <w:p>
      <w:pPr>
        <w:ind w:left="600"/>
        <w:spacing w:after="0" w:line="211" w:lineRule="auto"/>
        <w:tabs>
          <w:tab w:leader="none" w:pos="1000" w:val="left"/>
          <w:tab w:leader="none" w:pos="4020" w:val="left"/>
        </w:tabs>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FF"/>
        </w:rPr>
        <w:tab/>
        <w:t>Consequences of Event of Default.</w:t>
      </w:r>
      <w:r>
        <w:rPr>
          <w:sz w:val="20"/>
          <w:szCs w:val="20"/>
          <w:color w:val="auto"/>
        </w:rPr>
        <w:tab/>
      </w:r>
      <w:r>
        <w:rPr>
          <w:rFonts w:ascii="Times New Roman" w:cs="Times New Roman" w:eastAsia="Times New Roman" w:hAnsi="Times New Roman"/>
          <w:sz w:val="19"/>
          <w:szCs w:val="19"/>
          <w:color w:val="FF0000"/>
          <w:strike w:val="1"/>
        </w:rPr>
        <w:t>75</w:t>
      </w:r>
      <w:r>
        <w:rPr>
          <w:rFonts w:ascii="Times New Roman" w:cs="Times New Roman" w:eastAsia="Times New Roman" w:hAnsi="Times New Roman"/>
          <w:sz w:val="19"/>
          <w:szCs w:val="19"/>
          <w:color w:val="0000FF"/>
          <w:strike w:val="1"/>
        </w:rPr>
        <w:t>86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2.1</w:t>
            </w:r>
          </w:p>
        </w:tc>
        <w:tc>
          <w:tcPr>
            <w:tcW w:w="160" w:type="dxa"/>
            <w:vAlign w:val="bottom"/>
          </w:tcPr>
          <w:p>
            <w:pPr>
              <w:spacing w:after="0"/>
              <w:rPr>
                <w:sz w:val="15"/>
                <w:szCs w:val="15"/>
                <w:color w:val="auto"/>
              </w:rPr>
            </w:pPr>
          </w:p>
        </w:tc>
        <w:tc>
          <w:tcPr>
            <w:tcW w:w="7140" w:type="dxa"/>
            <w:vAlign w:val="bottom"/>
            <w:gridSpan w:val="43"/>
          </w:tcPr>
          <w:p>
            <w:pPr>
              <w:spacing w:after="0" w:line="174" w:lineRule="exact"/>
              <w:rPr>
                <w:sz w:val="20"/>
                <w:szCs w:val="20"/>
                <w:color w:val="auto"/>
              </w:rPr>
            </w:pPr>
            <w:r>
              <w:rPr>
                <w:rFonts w:ascii="Times New Roman" w:cs="Times New Roman" w:eastAsia="Times New Roman" w:hAnsi="Times New Roman"/>
                <w:sz w:val="20"/>
                <w:szCs w:val="20"/>
                <w:color w:val="0000FF"/>
              </w:rPr>
              <w:t>Events of Default Other Than Bankruptcy, Insolvency or Reorganization Proceedings.</w:t>
            </w:r>
          </w:p>
        </w:tc>
        <w:tc>
          <w:tcPr>
            <w:tcW w:w="200" w:type="dxa"/>
            <w:vAlign w:val="bottom"/>
          </w:tcPr>
          <w:p>
            <w:pPr>
              <w:jc w:val="right"/>
              <w:spacing w:after="0" w:line="174" w:lineRule="exact"/>
              <w:rPr>
                <w:sz w:val="20"/>
                <w:szCs w:val="20"/>
                <w:color w:val="auto"/>
              </w:rPr>
            </w:pPr>
            <w:r>
              <w:rPr>
                <w:rFonts w:ascii="Times New Roman" w:cs="Times New Roman" w:eastAsia="Times New Roman" w:hAnsi="Times New Roman"/>
                <w:sz w:val="20"/>
                <w:szCs w:val="20"/>
                <w:color w:val="FF0000"/>
                <w:strike w:val="1"/>
                <w:w w:val="89"/>
              </w:rPr>
              <w:t>75</w:t>
            </w:r>
          </w:p>
        </w:tc>
        <w:tc>
          <w:tcPr>
            <w:tcW w:w="200" w:type="dxa"/>
            <w:vAlign w:val="bottom"/>
          </w:tcPr>
          <w:p>
            <w:pPr>
              <w:jc w:val="right"/>
              <w:spacing w:after="0" w:line="174" w:lineRule="exact"/>
              <w:rPr>
                <w:sz w:val="20"/>
                <w:szCs w:val="20"/>
                <w:color w:val="auto"/>
              </w:rPr>
            </w:pPr>
            <w:r>
              <w:rPr>
                <w:rFonts w:ascii="Times New Roman" w:cs="Times New Roman" w:eastAsia="Times New Roman" w:hAnsi="Times New Roman"/>
                <w:sz w:val="20"/>
                <w:szCs w:val="20"/>
                <w:color w:val="0000FF"/>
                <w:w w:val="89"/>
              </w:rPr>
              <w:t>86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99"/>
              </w:rPr>
              <w:t>9.</w:t>
            </w:r>
            <w:r>
              <w:rPr>
                <w:rFonts w:ascii="Times New Roman" w:cs="Times New Roman" w:eastAsia="Times New Roman" w:hAnsi="Times New Roman"/>
                <w:sz w:val="20"/>
                <w:szCs w:val="20"/>
                <w:u w:val="single" w:color="auto"/>
                <w:color w:val="0000FF"/>
                <w:w w:val="99"/>
              </w:rPr>
              <w:t>2.2</w:t>
            </w:r>
          </w:p>
        </w:tc>
        <w:tc>
          <w:tcPr>
            <w:tcW w:w="160" w:type="dxa"/>
            <w:vAlign w:val="bottom"/>
          </w:tcPr>
          <w:p>
            <w:pPr>
              <w:spacing w:after="0"/>
              <w:rPr>
                <w:sz w:val="17"/>
                <w:szCs w:val="17"/>
                <w:color w:val="auto"/>
              </w:rPr>
            </w:pPr>
          </w:p>
        </w:tc>
        <w:tc>
          <w:tcPr>
            <w:tcW w:w="4700" w:type="dxa"/>
            <w:vAlign w:val="bottom"/>
            <w:tcBorders>
              <w:top w:val="single" w:sz="8" w:color="0000FF"/>
            </w:tcBorders>
            <w:gridSpan w:val="38"/>
          </w:tcPr>
          <w:p>
            <w:pPr>
              <w:spacing w:after="0" w:line="207" w:lineRule="exact"/>
              <w:rPr>
                <w:sz w:val="20"/>
                <w:szCs w:val="20"/>
                <w:color w:val="auto"/>
              </w:rPr>
            </w:pPr>
            <w:r>
              <w:rPr>
                <w:rFonts w:ascii="Times New Roman" w:cs="Times New Roman" w:eastAsia="Times New Roman" w:hAnsi="Times New Roman"/>
                <w:sz w:val="20"/>
                <w:szCs w:val="20"/>
                <w:color w:val="0000FF"/>
              </w:rPr>
              <w:t>Bankruptcy, Insolvency or Reorganization Proceedings.</w:t>
            </w:r>
          </w:p>
        </w:tc>
        <w:tc>
          <w:tcPr>
            <w:tcW w:w="20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75</w:t>
            </w:r>
          </w:p>
        </w:tc>
        <w:tc>
          <w:tcPr>
            <w:tcW w:w="2040" w:type="dxa"/>
            <w:vAlign w:val="bottom"/>
            <w:tcBorders>
              <w:top w:val="single" w:sz="8" w:color="0000FF"/>
            </w:tcBorders>
            <w:gridSpan w:val="2"/>
          </w:tcPr>
          <w:p>
            <w:pPr>
              <w:jc w:val="right"/>
              <w:ind w:right="1840"/>
              <w:spacing w:after="0" w:line="207" w:lineRule="exact"/>
              <w:rPr>
                <w:sz w:val="20"/>
                <w:szCs w:val="20"/>
                <w:color w:val="auto"/>
              </w:rPr>
            </w:pPr>
            <w:r>
              <w:rPr>
                <w:rFonts w:ascii="Times New Roman" w:cs="Times New Roman" w:eastAsia="Times New Roman" w:hAnsi="Times New Roman"/>
                <w:sz w:val="20"/>
                <w:szCs w:val="20"/>
                <w:color w:val="0000FF"/>
                <w:w w:val="89"/>
              </w:rPr>
              <w:t>86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99"/>
              </w:rPr>
              <w:t>9.</w:t>
            </w:r>
            <w:r>
              <w:rPr>
                <w:rFonts w:ascii="Times New Roman" w:cs="Times New Roman" w:eastAsia="Times New Roman" w:hAnsi="Times New Roman"/>
                <w:sz w:val="20"/>
                <w:szCs w:val="20"/>
                <w:u w:val="single" w:color="auto"/>
                <w:color w:val="0000FF"/>
                <w:w w:val="99"/>
              </w:rPr>
              <w:t>2.3</w:t>
            </w:r>
          </w:p>
        </w:tc>
        <w:tc>
          <w:tcPr>
            <w:tcW w:w="160" w:type="dxa"/>
            <w:vAlign w:val="bottom"/>
          </w:tcPr>
          <w:p>
            <w:pPr>
              <w:spacing w:after="0"/>
              <w:rPr>
                <w:sz w:val="17"/>
                <w:szCs w:val="17"/>
                <w:color w:val="auto"/>
              </w:rPr>
            </w:pPr>
          </w:p>
        </w:tc>
        <w:tc>
          <w:tcPr>
            <w:tcW w:w="800" w:type="dxa"/>
            <w:vAlign w:val="bottom"/>
            <w:tcBorders>
              <w:top w:val="single" w:sz="8" w:color="0000FF"/>
            </w:tcBorders>
            <w:gridSpan w:val="5"/>
          </w:tcPr>
          <w:p>
            <w:pPr>
              <w:spacing w:after="0" w:line="207" w:lineRule="exact"/>
              <w:rPr>
                <w:sz w:val="20"/>
                <w:szCs w:val="20"/>
                <w:color w:val="auto"/>
              </w:rPr>
            </w:pPr>
            <w:r>
              <w:rPr>
                <w:rFonts w:ascii="Times New Roman" w:cs="Times New Roman" w:eastAsia="Times New Roman" w:hAnsi="Times New Roman"/>
                <w:sz w:val="20"/>
                <w:szCs w:val="20"/>
                <w:color w:val="0000FF"/>
              </w:rPr>
              <w:t>Set-off.</w:t>
            </w:r>
          </w:p>
        </w:tc>
        <w:tc>
          <w:tcPr>
            <w:tcW w:w="280" w:type="dxa"/>
            <w:vAlign w:val="bottom"/>
            <w:tcBorders>
              <w:top w:val="single" w:sz="8" w:color="0000FF"/>
            </w:tcBorders>
            <w:gridSpan w:val="3"/>
          </w:tcPr>
          <w:p>
            <w:pPr>
              <w:jc w:val="right"/>
              <w:ind w:right="80"/>
              <w:spacing w:after="0" w:line="207" w:lineRule="exact"/>
              <w:rPr>
                <w:sz w:val="20"/>
                <w:szCs w:val="20"/>
                <w:color w:val="auto"/>
              </w:rPr>
            </w:pPr>
            <w:r>
              <w:rPr>
                <w:rFonts w:ascii="Times New Roman" w:cs="Times New Roman" w:eastAsia="Times New Roman" w:hAnsi="Times New Roman"/>
                <w:sz w:val="20"/>
                <w:szCs w:val="20"/>
                <w:color w:val="FF0000"/>
                <w:strike w:val="1"/>
                <w:w w:val="89"/>
              </w:rPr>
              <w:t>75</w:t>
            </w:r>
          </w:p>
        </w:tc>
        <w:tc>
          <w:tcPr>
            <w:tcW w:w="200" w:type="dxa"/>
            <w:vAlign w:val="bottom"/>
            <w:tcBorders>
              <w:top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w w:val="70"/>
              </w:rPr>
              <w:t>87</w:t>
            </w: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gridSpan w:val="4"/>
            <w:vMerge w:val="restart"/>
          </w:tcPr>
          <w:p>
            <w:pPr>
              <w:jc w:val="right"/>
              <w:ind w:right="60"/>
              <w:spacing w:after="0"/>
              <w:rPr>
                <w:sz w:val="20"/>
                <w:szCs w:val="20"/>
                <w:color w:val="auto"/>
              </w:rPr>
            </w:pPr>
            <w:r>
              <w:rPr>
                <w:rFonts w:ascii="Times New Roman" w:cs="Times New Roman" w:eastAsia="Times New Roman" w:hAnsi="Times New Roman"/>
                <w:sz w:val="20"/>
                <w:szCs w:val="20"/>
                <w:color w:val="FF0000"/>
                <w:strike w:val="1"/>
                <w:w w:val="89"/>
              </w:rPr>
              <w:t>76</w:t>
            </w:r>
          </w:p>
        </w:tc>
        <w:tc>
          <w:tcPr>
            <w:tcW w:w="14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70"/>
              </w:rPr>
              <w:t>87</w:t>
            </w: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0000FF"/>
                <w:w w:val="99"/>
              </w:rPr>
              <w:t>9.</w:t>
            </w:r>
            <w:r>
              <w:rPr>
                <w:rFonts w:ascii="Times New Roman" w:cs="Times New Roman" w:eastAsia="Times New Roman" w:hAnsi="Times New Roman"/>
                <w:sz w:val="20"/>
                <w:szCs w:val="20"/>
                <w:u w:val="single" w:color="auto"/>
                <w:color w:val="0000FF"/>
                <w:w w:val="99"/>
              </w:rPr>
              <w:t>2.4</w:t>
            </w:r>
          </w:p>
        </w:tc>
        <w:tc>
          <w:tcPr>
            <w:tcW w:w="160" w:type="dxa"/>
            <w:vAlign w:val="bottom"/>
          </w:tcPr>
          <w:p>
            <w:pPr>
              <w:spacing w:after="0"/>
              <w:rPr>
                <w:sz w:val="16"/>
                <w:szCs w:val="16"/>
                <w:color w:val="auto"/>
              </w:rPr>
            </w:pPr>
          </w:p>
        </w:tc>
        <w:tc>
          <w:tcPr>
            <w:tcW w:w="2000" w:type="dxa"/>
            <w:vAlign w:val="bottom"/>
            <w:gridSpan w:val="21"/>
          </w:tcPr>
          <w:p>
            <w:pPr>
              <w:spacing w:after="0" w:line="194" w:lineRule="exact"/>
              <w:rPr>
                <w:sz w:val="20"/>
                <w:szCs w:val="20"/>
                <w:color w:val="auto"/>
              </w:rPr>
            </w:pPr>
            <w:r>
              <w:rPr>
                <w:rFonts w:ascii="Times New Roman" w:cs="Times New Roman" w:eastAsia="Times New Roman" w:hAnsi="Times New Roman"/>
                <w:sz w:val="20"/>
                <w:szCs w:val="20"/>
                <w:color w:val="0000FF"/>
                <w:w w:val="99"/>
              </w:rPr>
              <w:t>Application of Proceeds.</w:t>
            </w:r>
          </w:p>
        </w:tc>
        <w:tc>
          <w:tcPr>
            <w:tcW w:w="200" w:type="dxa"/>
            <w:vAlign w:val="bottom"/>
            <w:gridSpan w:val="3"/>
          </w:tcPr>
          <w:p>
            <w:pPr>
              <w:spacing w:after="0"/>
              <w:rPr>
                <w:sz w:val="16"/>
                <w:szCs w:val="16"/>
                <w:color w:val="auto"/>
              </w:rPr>
            </w:pPr>
          </w:p>
        </w:tc>
        <w:tc>
          <w:tcPr>
            <w:tcW w:w="260" w:type="dxa"/>
            <w:vAlign w:val="bottom"/>
            <w:gridSpan w:val="4"/>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50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10.  THE ADMINISTRATIVE AGENT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77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w w:val="89"/>
              </w:rPr>
              <w:t>88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17"/>
          </w:tcPr>
          <w:p>
            <w:pPr>
              <w:spacing w:after="0" w:line="207" w:lineRule="exact"/>
              <w:rPr>
                <w:sz w:val="20"/>
                <w:szCs w:val="20"/>
                <w:color w:val="auto"/>
              </w:rPr>
            </w:pPr>
            <w:r>
              <w:rPr>
                <w:rFonts w:ascii="Times New Roman" w:cs="Times New Roman" w:eastAsia="Times New Roman" w:hAnsi="Times New Roman"/>
                <w:sz w:val="20"/>
                <w:szCs w:val="20"/>
                <w:color w:val="0000FF"/>
                <w:w w:val="94"/>
              </w:rPr>
              <w:t>Appointment and Authority.</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4"/>
          </w:tcPr>
          <w:p>
            <w:pPr>
              <w:jc w:val="right"/>
              <w:ind w:right="40"/>
              <w:spacing w:after="0" w:line="207" w:lineRule="exact"/>
              <w:rPr>
                <w:sz w:val="20"/>
                <w:szCs w:val="20"/>
                <w:color w:val="auto"/>
              </w:rPr>
            </w:pPr>
            <w:r>
              <w:rPr>
                <w:rFonts w:ascii="Times New Roman" w:cs="Times New Roman" w:eastAsia="Times New Roman" w:hAnsi="Times New Roman"/>
                <w:sz w:val="20"/>
                <w:szCs w:val="20"/>
                <w:color w:val="FF0000"/>
                <w:strike w:val="1"/>
              </w:rPr>
              <w:t>77</w:t>
            </w:r>
          </w:p>
        </w:tc>
        <w:tc>
          <w:tcPr>
            <w:tcW w:w="16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19"/>
                <w:szCs w:val="19"/>
                <w:color w:val="0000FF"/>
                <w:w w:val="73"/>
              </w:rPr>
              <w:t>88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0000FF"/>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0000FF"/>
              <w:bottom w:val="single" w:sz="8" w:color="0000FF"/>
            </w:tcBorders>
            <w:gridSpan w:val="10"/>
          </w:tcPr>
          <w:p>
            <w:pPr>
              <w:spacing w:after="0" w:line="194" w:lineRule="exact"/>
              <w:rPr>
                <w:sz w:val="20"/>
                <w:szCs w:val="20"/>
                <w:color w:val="auto"/>
              </w:rPr>
            </w:pPr>
            <w:r>
              <w:rPr>
                <w:rFonts w:ascii="Times New Roman" w:cs="Times New Roman" w:eastAsia="Times New Roman" w:hAnsi="Times New Roman"/>
                <w:sz w:val="20"/>
                <w:szCs w:val="20"/>
                <w:color w:val="0000FF"/>
                <w:w w:val="99"/>
              </w:rPr>
              <w:t>Rights as a Lender.</w:t>
            </w: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gridSpan w:val="3"/>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99"/>
              </w:rPr>
              <w:t>77</w:t>
            </w:r>
          </w:p>
        </w:tc>
        <w:tc>
          <w:tcPr>
            <w:tcW w:w="220" w:type="dxa"/>
            <w:vAlign w:val="bottom"/>
            <w:tcBorders>
              <w:top w:val="single" w:sz="8" w:color="0000FF"/>
              <w:bottom w:val="single" w:sz="8" w:color="0000FF"/>
            </w:tcBorders>
            <w:gridSpan w:val="3"/>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89</w:t>
            </w:r>
          </w:p>
        </w:tc>
        <w:tc>
          <w:tcPr>
            <w:tcW w:w="1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16"/>
          </w:tcPr>
          <w:p>
            <w:pPr>
              <w:spacing w:after="0" w:line="207" w:lineRule="exact"/>
              <w:rPr>
                <w:sz w:val="20"/>
                <w:szCs w:val="20"/>
                <w:color w:val="auto"/>
              </w:rPr>
            </w:pPr>
            <w:r>
              <w:rPr>
                <w:rFonts w:ascii="Times New Roman" w:cs="Times New Roman" w:eastAsia="Times New Roman" w:hAnsi="Times New Roman"/>
                <w:sz w:val="20"/>
                <w:szCs w:val="20"/>
                <w:color w:val="0000FF"/>
              </w:rPr>
              <w:t>Exculpatory Provisions.</w:t>
            </w:r>
          </w:p>
        </w:tc>
        <w:tc>
          <w:tcPr>
            <w:tcW w:w="200" w:type="dxa"/>
            <w:vAlign w:val="bottom"/>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77</w:t>
            </w:r>
          </w:p>
        </w:tc>
        <w:tc>
          <w:tcPr>
            <w:tcW w:w="20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0000FF"/>
                <w:w w:val="89"/>
              </w:rPr>
              <w:t>89</w:t>
            </w:r>
          </w:p>
        </w:tc>
        <w:tc>
          <w:tcPr>
            <w:tcW w:w="28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78</w:t>
            </w:r>
          </w:p>
        </w:tc>
        <w:tc>
          <w:tcPr>
            <w:tcW w:w="2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0000FF"/>
                <w:w w:val="89"/>
              </w:rPr>
              <w:t>90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13"/>
          </w:tcPr>
          <w:p>
            <w:pPr>
              <w:spacing w:after="0" w:line="207" w:lineRule="exact"/>
              <w:rPr>
                <w:sz w:val="20"/>
                <w:szCs w:val="20"/>
                <w:color w:val="auto"/>
              </w:rPr>
            </w:pPr>
            <w:r>
              <w:rPr>
                <w:rFonts w:ascii="Times New Roman" w:cs="Times New Roman" w:eastAsia="Times New Roman" w:hAnsi="Times New Roman"/>
                <w:sz w:val="20"/>
                <w:szCs w:val="20"/>
                <w:color w:val="0000FF"/>
                <w:w w:val="86"/>
              </w:rPr>
              <w:t>Reliance by Administrative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7"/>
          </w:tcPr>
          <w:p>
            <w:pPr>
              <w:spacing w:after="0" w:line="207" w:lineRule="exact"/>
              <w:rPr>
                <w:sz w:val="20"/>
                <w:szCs w:val="20"/>
                <w:color w:val="auto"/>
              </w:rPr>
            </w:pPr>
            <w:r>
              <w:rPr>
                <w:rFonts w:ascii="Times New Roman" w:cs="Times New Roman" w:eastAsia="Times New Roman" w:hAnsi="Times New Roman"/>
                <w:sz w:val="20"/>
                <w:szCs w:val="20"/>
                <w:color w:val="0000FF"/>
                <w:w w:val="92"/>
              </w:rPr>
              <w:t>Agent.</w:t>
            </w:r>
          </w:p>
        </w:tc>
        <w:tc>
          <w:tcPr>
            <w:tcW w:w="160" w:type="dxa"/>
            <w:vAlign w:val="bottom"/>
            <w:gridSpan w:val="2"/>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0000FF"/>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top w:val="single" w:sz="8" w:color="0000FF"/>
              <w:bottom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20"/>
                <w:szCs w:val="20"/>
                <w:color w:val="0000FF"/>
                <w:w w:val="99"/>
              </w:rPr>
              <w:t>Delegation of Duties.</w:t>
            </w:r>
          </w:p>
        </w:tc>
        <w:tc>
          <w:tcPr>
            <w:tcW w:w="200" w:type="dxa"/>
            <w:vAlign w:val="bottom"/>
            <w:tcBorders>
              <w:top w:val="single" w:sz="8" w:color="0000FF"/>
            </w:tcBorders>
            <w:gridSpan w:val="2"/>
          </w:tcPr>
          <w:p>
            <w:pPr>
              <w:spacing w:after="0"/>
              <w:rPr>
                <w:sz w:val="16"/>
                <w:szCs w:val="16"/>
                <w:color w:val="auto"/>
              </w:rPr>
            </w:pPr>
          </w:p>
        </w:tc>
        <w:tc>
          <w:tcPr>
            <w:tcW w:w="200" w:type="dxa"/>
            <w:vAlign w:val="bottom"/>
            <w:tcBorders>
              <w:top w:val="single" w:sz="8" w:color="0000FF"/>
            </w:tcBorders>
            <w:gridSpan w:val="3"/>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79</w:t>
            </w:r>
          </w:p>
        </w:tc>
        <w:tc>
          <w:tcPr>
            <w:tcW w:w="200" w:type="dxa"/>
            <w:vAlign w:val="bottom"/>
            <w:tcBorders>
              <w:top w:val="single" w:sz="8" w:color="0000FF"/>
              <w:bottom w:val="single" w:sz="8" w:color="0000FF"/>
            </w:tcBorders>
            <w:gridSpan w:val="4"/>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90</w:t>
            </w:r>
          </w:p>
        </w:tc>
        <w:tc>
          <w:tcPr>
            <w:tcW w:w="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bottom w:val="single" w:sz="8" w:color="0000FF"/>
            </w:tcBorders>
            <w:gridSpan w:val="30"/>
          </w:tcPr>
          <w:p>
            <w:pPr>
              <w:spacing w:after="0" w:line="207" w:lineRule="exact"/>
              <w:rPr>
                <w:sz w:val="20"/>
                <w:szCs w:val="20"/>
                <w:color w:val="auto"/>
              </w:rPr>
            </w:pPr>
            <w:r>
              <w:rPr>
                <w:rFonts w:ascii="Times New Roman" w:cs="Times New Roman" w:eastAsia="Times New Roman" w:hAnsi="Times New Roman"/>
                <w:sz w:val="20"/>
                <w:szCs w:val="20"/>
                <w:color w:val="0000FF"/>
              </w:rPr>
              <w:t>Resignation of Administrative Agent.</w:t>
            </w:r>
          </w:p>
        </w:tc>
        <w:tc>
          <w:tcPr>
            <w:tcW w:w="220" w:type="dxa"/>
            <w:vAlign w:val="bottom"/>
            <w:gridSpan w:val="3"/>
          </w:tcPr>
          <w:p>
            <w:pPr>
              <w:spacing w:after="0"/>
              <w:rPr>
                <w:sz w:val="17"/>
                <w:szCs w:val="17"/>
                <w:color w:val="auto"/>
              </w:rPr>
            </w:pPr>
          </w:p>
        </w:tc>
        <w:tc>
          <w:tcPr>
            <w:tcW w:w="1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79"/>
              </w:rPr>
              <w:t>79</w:t>
            </w:r>
          </w:p>
        </w:tc>
        <w:tc>
          <w:tcPr>
            <w:tcW w:w="200" w:type="dxa"/>
            <w:vAlign w:val="bottom"/>
            <w:tcBorders>
              <w:bottom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90</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28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80" w:type="dxa"/>
            <w:vAlign w:val="bottom"/>
            <w:gridSpan w:val="38"/>
          </w:tcPr>
          <w:p>
            <w:pPr>
              <w:spacing w:after="0" w:line="207" w:lineRule="exact"/>
              <w:rPr>
                <w:sz w:val="20"/>
                <w:szCs w:val="20"/>
                <w:color w:val="auto"/>
              </w:rPr>
            </w:pPr>
            <w:r>
              <w:rPr>
                <w:rFonts w:ascii="Times New Roman" w:cs="Times New Roman" w:eastAsia="Times New Roman" w:hAnsi="Times New Roman"/>
                <w:sz w:val="20"/>
                <w:szCs w:val="20"/>
                <w:color w:val="0000FF"/>
              </w:rPr>
              <w:t>Non-Reliance on Administrative Agent and Other Lenders.</w:t>
            </w:r>
          </w:p>
        </w:tc>
        <w:tc>
          <w:tcPr>
            <w:tcW w:w="2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80</w:t>
            </w:r>
          </w:p>
        </w:tc>
        <w:tc>
          <w:tcPr>
            <w:tcW w:w="3020" w:type="dxa"/>
            <w:vAlign w:val="bottom"/>
            <w:gridSpan w:val="8"/>
          </w:tcPr>
          <w:p>
            <w:pPr>
              <w:jc w:val="right"/>
              <w:ind w:right="2719"/>
              <w:spacing w:after="0" w:line="207" w:lineRule="exact"/>
              <w:rPr>
                <w:sz w:val="20"/>
                <w:szCs w:val="20"/>
                <w:color w:val="auto"/>
              </w:rPr>
            </w:pPr>
            <w:r>
              <w:rPr>
                <w:rFonts w:ascii="Times New Roman" w:cs="Times New Roman" w:eastAsia="Times New Roman" w:hAnsi="Times New Roman"/>
                <w:sz w:val="20"/>
                <w:szCs w:val="20"/>
                <w:color w:val="0000FF"/>
                <w:w w:val="89"/>
              </w:rPr>
              <w:t>92</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top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20"/>
                <w:szCs w:val="20"/>
                <w:color w:val="0000FF"/>
                <w:w w:val="99"/>
              </w:rPr>
              <w:t>No Other Duties, etc.</w:t>
            </w:r>
          </w:p>
        </w:tc>
        <w:tc>
          <w:tcPr>
            <w:tcW w:w="200" w:type="dxa"/>
            <w:vAlign w:val="bottom"/>
            <w:tcBorders>
              <w:top w:val="single" w:sz="8" w:color="0000FF"/>
            </w:tcBorders>
            <w:gridSpan w:val="2"/>
          </w:tcPr>
          <w:p>
            <w:pPr>
              <w:spacing w:after="0"/>
              <w:rPr>
                <w:sz w:val="16"/>
                <w:szCs w:val="16"/>
                <w:color w:val="auto"/>
              </w:rPr>
            </w:pPr>
          </w:p>
        </w:tc>
        <w:tc>
          <w:tcPr>
            <w:tcW w:w="180" w:type="dxa"/>
            <w:vAlign w:val="bottom"/>
            <w:tcBorders>
              <w:top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79"/>
              </w:rPr>
              <w:t>80</w:t>
            </w:r>
          </w:p>
        </w:tc>
        <w:tc>
          <w:tcPr>
            <w:tcW w:w="200" w:type="dxa"/>
            <w:vAlign w:val="bottom"/>
            <w:tcBorders>
              <w:top w:val="single" w:sz="8" w:color="0000FF"/>
            </w:tcBorders>
            <w:gridSpan w:val="4"/>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92</w:t>
            </w: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14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0000FF"/>
            </w:tcBorders>
            <w:gridSpan w:val="5"/>
          </w:tcPr>
          <w:p>
            <w:pPr>
              <w:spacing w:after="0" w:line="207" w:lineRule="exact"/>
              <w:rPr>
                <w:sz w:val="20"/>
                <w:szCs w:val="20"/>
                <w:color w:val="auto"/>
              </w:rPr>
            </w:pPr>
            <w:r>
              <w:rPr>
                <w:rFonts w:ascii="Times New Roman" w:cs="Times New Roman" w:eastAsia="Times New Roman" w:hAnsi="Times New Roman"/>
                <w:sz w:val="20"/>
                <w:szCs w:val="20"/>
                <w:color w:val="0000FF"/>
              </w:rPr>
              <w:t>[Reserved].</w:t>
            </w:r>
          </w:p>
        </w:tc>
        <w:tc>
          <w:tcPr>
            <w:tcW w:w="20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80</w:t>
            </w:r>
          </w:p>
        </w:tc>
        <w:tc>
          <w:tcPr>
            <w:tcW w:w="400" w:type="dxa"/>
            <w:vAlign w:val="bottom"/>
            <w:tcBorders>
              <w:top w:val="single" w:sz="8" w:color="0000FF"/>
            </w:tcBorders>
            <w:gridSpan w:val="4"/>
          </w:tcPr>
          <w:p>
            <w:pPr>
              <w:jc w:val="right"/>
              <w:ind w:right="200"/>
              <w:spacing w:after="0" w:line="207" w:lineRule="exact"/>
              <w:rPr>
                <w:sz w:val="20"/>
                <w:szCs w:val="20"/>
                <w:color w:val="auto"/>
              </w:rPr>
            </w:pPr>
            <w:r>
              <w:rPr>
                <w:rFonts w:ascii="Times New Roman" w:cs="Times New Roman" w:eastAsia="Times New Roman" w:hAnsi="Times New Roman"/>
                <w:sz w:val="20"/>
                <w:szCs w:val="20"/>
                <w:color w:val="0000FF"/>
                <w:w w:val="89"/>
              </w:rPr>
              <w:t>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spacing w:after="0"/>
        <w:tabs>
          <w:tab w:leader="none" w:pos="1200" w:val="left"/>
          <w:tab w:leader="none" w:pos="4400" w:val="left"/>
        </w:tabs>
        <w:rPr>
          <w:sz w:val="20"/>
          <w:szCs w:val="20"/>
          <w:color w:val="auto"/>
        </w:rPr>
      </w:pPr>
      <w:r>
        <w:rPr>
          <w:rFonts w:ascii="Times New Roman" w:cs="Times New Roman" w:eastAsia="Times New Roman" w:hAnsi="Times New Roman"/>
          <w:sz w:val="20"/>
          <w:szCs w:val="20"/>
          <w:u w:val="single" w:color="auto"/>
          <w:color w:val="0000FF"/>
        </w:rPr>
        <w:t>10.10</w:t>
        <w:tab/>
        <w:t>Authorization to Release Guarantors.</w:t>
      </w:r>
      <w:r>
        <w:rPr>
          <w:sz w:val="20"/>
          <w:szCs w:val="20"/>
          <w:color w:val="auto"/>
        </w:rPr>
        <w:tab/>
      </w:r>
      <w:r>
        <w:rPr>
          <w:rFonts w:ascii="Times New Roman" w:cs="Times New Roman" w:eastAsia="Times New Roman" w:hAnsi="Times New Roman"/>
          <w:sz w:val="19"/>
          <w:szCs w:val="19"/>
          <w:color w:val="FF0000"/>
          <w:strike w:val="1"/>
        </w:rPr>
        <w:t>80</w:t>
      </w:r>
      <w:r>
        <w:rPr>
          <w:rFonts w:ascii="Times New Roman" w:cs="Times New Roman" w:eastAsia="Times New Roman" w:hAnsi="Times New Roman"/>
          <w:sz w:val="19"/>
          <w:szCs w:val="19"/>
          <w:u w:val="single" w:color="auto"/>
          <w:color w:val="0000FF"/>
          <w:strike w:val="1"/>
        </w:rPr>
        <w:t>92</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139"/>
          </w:cols>
          <w:pgMar w:left="320" w:top="1440" w:right="1440" w:bottom="1440" w:gutter="0" w:footer="0" w:header="0"/>
          <w:type w:val="continuous"/>
        </w:sectPr>
      </w:pPr>
    </w:p>
    <w:bookmarkStart w:id="91" w:name="page92"/>
    <w:bookmarkEnd w:id="91"/>
    <w:p>
      <w:pPr>
        <w:spacing w:after="0" w:line="71" w:lineRule="exact"/>
        <w:rPr>
          <w:sz w:val="20"/>
          <w:szCs w:val="20"/>
          <w:color w:val="auto"/>
        </w:rPr>
      </w:pPr>
    </w:p>
    <w:p>
      <w:pPr>
        <w:ind w:left="600"/>
        <w:spacing w:after="0"/>
        <w:tabs>
          <w:tab w:leader="none" w:pos="1200" w:val="left"/>
          <w:tab w:leader="none" w:pos="7320" w:val="left"/>
        </w:tabs>
        <w:rPr>
          <w:sz w:val="20"/>
          <w:szCs w:val="20"/>
          <w:color w:val="auto"/>
        </w:rPr>
      </w:pPr>
      <w:r>
        <w:rPr>
          <w:rFonts w:ascii="Times New Roman" w:cs="Times New Roman" w:eastAsia="Times New Roman" w:hAnsi="Times New Roman"/>
          <w:sz w:val="20"/>
          <w:szCs w:val="20"/>
          <w:u w:val="single" w:color="auto"/>
          <w:color w:val="0000FF"/>
        </w:rPr>
        <w:t>10.11</w:t>
        <w:tab/>
        <w:t>No Reliance on Administrative Agent's Customer Identification Program.</w:t>
      </w:r>
      <w:r>
        <w:rPr>
          <w:sz w:val="20"/>
          <w:szCs w:val="20"/>
          <w:color w:val="auto"/>
        </w:rPr>
        <w:tab/>
      </w:r>
      <w:r>
        <w:rPr>
          <w:rFonts w:ascii="Times New Roman" w:cs="Times New Roman" w:eastAsia="Times New Roman" w:hAnsi="Times New Roman"/>
          <w:sz w:val="20"/>
          <w:szCs w:val="20"/>
          <w:color w:val="FF0000"/>
          <w:strike w:val="1"/>
        </w:rPr>
        <w:t>80</w:t>
      </w:r>
      <w:r>
        <w:rPr>
          <w:rFonts w:ascii="Times New Roman" w:cs="Times New Roman" w:eastAsia="Times New Roman" w:hAnsi="Times New Roman"/>
          <w:sz w:val="20"/>
          <w:szCs w:val="20"/>
          <w:u w:val="single" w:color="auto"/>
          <w:color w:val="0000FF"/>
          <w:strike w:val="1"/>
        </w:rPr>
        <w:t>92</w:t>
      </w:r>
    </w:p>
    <w:p>
      <w:pPr>
        <w:spacing w:after="0" w:line="2" w:lineRule="exact"/>
        <w:rPr>
          <w:sz w:val="20"/>
          <w:szCs w:val="20"/>
          <w:color w:val="auto"/>
        </w:rPr>
      </w:pPr>
    </w:p>
    <w:p>
      <w:pPr>
        <w:ind w:left="600"/>
        <w:spacing w:after="0"/>
        <w:tabs>
          <w:tab w:leader="none" w:pos="1200" w:val="left"/>
          <w:tab w:leader="none" w:pos="2700" w:val="left"/>
        </w:tabs>
        <w:rPr>
          <w:sz w:val="20"/>
          <w:szCs w:val="20"/>
          <w:color w:val="auto"/>
        </w:rPr>
      </w:pPr>
      <w:r>
        <w:rPr>
          <w:rFonts w:ascii="Times New Roman" w:cs="Times New Roman" w:eastAsia="Times New Roman" w:hAnsi="Times New Roman"/>
          <w:sz w:val="20"/>
          <w:szCs w:val="20"/>
          <w:u w:val="single" w:color="auto"/>
          <w:color w:val="0000FF"/>
        </w:rPr>
        <w:t>10.12</w:t>
        <w:tab/>
        <w:t>ERISA Matters.</w:t>
        <w:tab/>
        <w:t>93</w:t>
      </w:r>
    </w:p>
    <w:p>
      <w:pPr>
        <w:ind w:left="600"/>
        <w:spacing w:after="0"/>
        <w:tabs>
          <w:tab w:leader="none" w:pos="1200" w:val="left"/>
          <w:tab w:leader="none" w:pos="3120" w:val="left"/>
        </w:tabs>
        <w:rPr>
          <w:sz w:val="20"/>
          <w:szCs w:val="20"/>
          <w:color w:val="auto"/>
        </w:rPr>
      </w:pPr>
      <w:r>
        <w:rPr>
          <w:rFonts w:ascii="Times New Roman" w:cs="Times New Roman" w:eastAsia="Times New Roman" w:hAnsi="Times New Roman"/>
          <w:sz w:val="20"/>
          <w:szCs w:val="20"/>
          <w:u w:val="single" w:color="auto"/>
          <w:color w:val="0000FF"/>
        </w:rPr>
        <w:t>10.13</w:t>
        <w:tab/>
        <w:t>Erroneous Payments.</w:t>
        <w:tab/>
        <w:t>94</w:t>
      </w:r>
    </w:p>
    <w:p>
      <w:pPr>
        <w:spacing w:after="0" w:line="176" w:lineRule="exact"/>
        <w:rPr>
          <w:sz w:val="20"/>
          <w:szCs w:val="20"/>
          <w:color w:val="auto"/>
        </w:rPr>
      </w:pPr>
    </w:p>
    <w:p>
      <w:pPr>
        <w:spacing w:after="0"/>
        <w:tabs>
          <w:tab w:leader="none" w:pos="400" w:val="left"/>
          <w:tab w:leader="none" w:pos="2280" w:val="left"/>
        </w:tabs>
        <w:rPr>
          <w:sz w:val="20"/>
          <w:szCs w:val="20"/>
          <w:color w:val="auto"/>
        </w:rPr>
      </w:pPr>
      <w:r>
        <w:rPr>
          <w:rFonts w:ascii="Times New Roman" w:cs="Times New Roman" w:eastAsia="Times New Roman" w:hAnsi="Times New Roman"/>
          <w:sz w:val="20"/>
          <w:szCs w:val="20"/>
          <w:u w:val="single" w:color="auto"/>
          <w:color w:val="0000FF"/>
        </w:rPr>
        <w:t>11.</w:t>
        <w:tab/>
        <w:t>MISCELLANEOUS</w:t>
      </w:r>
      <w:r>
        <w:rPr>
          <w:sz w:val="20"/>
          <w:szCs w:val="20"/>
          <w:color w:val="auto"/>
        </w:rPr>
        <w:tab/>
      </w:r>
      <w:r>
        <w:rPr>
          <w:rFonts w:ascii="Times New Roman" w:cs="Times New Roman" w:eastAsia="Times New Roman" w:hAnsi="Times New Roman"/>
          <w:sz w:val="19"/>
          <w:szCs w:val="19"/>
          <w:color w:val="FF0000"/>
          <w:strike w:val="1"/>
        </w:rPr>
        <w:t>81</w:t>
      </w:r>
      <w:r>
        <w:rPr>
          <w:rFonts w:ascii="Times New Roman" w:cs="Times New Roman" w:eastAsia="Times New Roman" w:hAnsi="Times New Roman"/>
          <w:sz w:val="19"/>
          <w:szCs w:val="19"/>
          <w:u w:val="single" w:color="auto"/>
          <w:color w:val="0000FF"/>
          <w:strike w:val="1"/>
        </w:rPr>
        <w:t>97</w:t>
      </w:r>
    </w:p>
    <w:p>
      <w:pPr>
        <w:spacing w:after="0" w:line="2" w:lineRule="exact"/>
        <w:rPr>
          <w:sz w:val="20"/>
          <w:szCs w:val="20"/>
          <w:color w:val="auto"/>
        </w:rPr>
      </w:pPr>
    </w:p>
    <w:p>
      <w:pPr>
        <w:ind w:left="600"/>
        <w:spacing w:after="0"/>
        <w:tabs>
          <w:tab w:leader="none" w:pos="1100" w:val="left"/>
          <w:tab w:leader="none" w:pos="4580" w:val="left"/>
        </w:tabs>
        <w:rPr>
          <w:sz w:val="20"/>
          <w:szCs w:val="20"/>
          <w:color w:val="auto"/>
        </w:rPr>
      </w:pPr>
      <w:r>
        <w:rPr>
          <w:rFonts w:ascii="Times New Roman" w:cs="Times New Roman" w:eastAsia="Times New Roman" w:hAnsi="Times New Roman"/>
          <w:sz w:val="20"/>
          <w:szCs w:val="20"/>
          <w:u w:val="single" w:color="auto"/>
          <w:color w:val="0000FF"/>
        </w:rPr>
        <w:t>11.1</w:t>
        <w:tab/>
        <w:t>Modifications, Amendments or Waivers.</w:t>
      </w:r>
      <w:r>
        <w:rPr>
          <w:sz w:val="20"/>
          <w:szCs w:val="20"/>
          <w:color w:val="auto"/>
        </w:rPr>
        <w:tab/>
      </w:r>
      <w:r>
        <w:rPr>
          <w:rFonts w:ascii="Times New Roman" w:cs="Times New Roman" w:eastAsia="Times New Roman" w:hAnsi="Times New Roman"/>
          <w:sz w:val="19"/>
          <w:szCs w:val="19"/>
          <w:color w:val="FF0000"/>
          <w:strike w:val="1"/>
        </w:rPr>
        <w:t>81</w:t>
      </w:r>
      <w:r>
        <w:rPr>
          <w:rFonts w:ascii="Times New Roman" w:cs="Times New Roman" w:eastAsia="Times New Roman" w:hAnsi="Times New Roman"/>
          <w:sz w:val="19"/>
          <w:szCs w:val="19"/>
          <w:u w:val="single" w:color="auto"/>
          <w:color w:val="0000FF"/>
          <w:strike w:val="1"/>
        </w:rPr>
        <w:t>97</w:t>
      </w:r>
    </w:p>
    <w:p>
      <w:pPr>
        <w:ind w:left="1200"/>
        <w:spacing w:after="0" w:line="236" w:lineRule="auto"/>
        <w:tabs>
          <w:tab w:leader="none" w:pos="1860" w:val="left"/>
          <w:tab w:leader="none" w:pos="4100" w:val="left"/>
        </w:tabs>
        <w:rPr>
          <w:sz w:val="20"/>
          <w:szCs w:val="20"/>
          <w:color w:val="auto"/>
        </w:rPr>
      </w:pPr>
      <w:r>
        <w:rPr>
          <w:rFonts w:ascii="Times New Roman" w:cs="Times New Roman" w:eastAsia="Times New Roman" w:hAnsi="Times New Roman"/>
          <w:sz w:val="20"/>
          <w:szCs w:val="20"/>
          <w:u w:val="single" w:color="auto"/>
          <w:color w:val="0000FF"/>
        </w:rPr>
        <w:t>11.1.1</w:t>
        <w:tab/>
        <w:t>Increase of Commitment.</w:t>
      </w:r>
      <w:r>
        <w:rPr>
          <w:sz w:val="20"/>
          <w:szCs w:val="20"/>
          <w:color w:val="auto"/>
        </w:rPr>
        <w:tab/>
      </w:r>
      <w:r>
        <w:rPr>
          <w:rFonts w:ascii="Times New Roman" w:cs="Times New Roman" w:eastAsia="Times New Roman" w:hAnsi="Times New Roman"/>
          <w:sz w:val="20"/>
          <w:szCs w:val="20"/>
          <w:color w:val="FF0000"/>
          <w:strike w:val="1"/>
        </w:rPr>
        <w:t>81</w:t>
      </w:r>
      <w:r>
        <w:rPr>
          <w:rFonts w:ascii="Times New Roman" w:cs="Times New Roman" w:eastAsia="Times New Roman" w:hAnsi="Times New Roman"/>
          <w:sz w:val="20"/>
          <w:szCs w:val="20"/>
          <w:u w:val="single" w:color="auto"/>
          <w:color w:val="0000FF"/>
          <w:strike w:val="1"/>
        </w:rPr>
        <w:t>97</w:t>
      </w:r>
    </w:p>
    <w:p>
      <w:pPr>
        <w:jc w:val="right"/>
        <w:spacing w:after="0"/>
        <w:tabs>
          <w:tab w:leader="none" w:pos="8580" w:val="left"/>
          <w:tab w:leader="none" w:pos="380" w:val="left"/>
        </w:tabs>
        <w:rPr>
          <w:sz w:val="20"/>
          <w:szCs w:val="20"/>
          <w:color w:val="auto"/>
        </w:rPr>
      </w:pPr>
      <w:r>
        <w:rPr>
          <w:rFonts w:ascii="Times New Roman" w:cs="Times New Roman" w:eastAsia="Times New Roman" w:hAnsi="Times New Roman"/>
          <w:sz w:val="20"/>
          <w:szCs w:val="20"/>
          <w:u w:val="single" w:color="auto"/>
          <w:color w:val="0000FF"/>
        </w:rPr>
        <w:t>11.1.2</w:t>
        <w:tab/>
        <w:t>Extension of Payment; Reduction of Principal, Interest or Fees; Modification of Terms of Payment.</w:t>
      </w:r>
      <w:r>
        <w:rPr>
          <w:sz w:val="20"/>
          <w:szCs w:val="20"/>
          <w:color w:val="auto"/>
        </w:rPr>
        <w:tab/>
      </w:r>
      <w:r>
        <w:rPr>
          <w:rFonts w:ascii="Times New Roman" w:cs="Times New Roman" w:eastAsia="Times New Roman" w:hAnsi="Times New Roman"/>
          <w:sz w:val="19"/>
          <w:szCs w:val="19"/>
          <w:color w:val="FF0000"/>
          <w:strike w:val="1"/>
        </w:rPr>
        <w:t>81</w:t>
      </w:r>
      <w:r>
        <w:rPr>
          <w:rFonts w:ascii="Times New Roman" w:cs="Times New Roman" w:eastAsia="Times New Roman" w:hAnsi="Times New Roman"/>
          <w:sz w:val="19"/>
          <w:szCs w:val="19"/>
          <w:u w:val="single" w:color="auto"/>
          <w:color w:val="0000FF"/>
          <w:strike w:val="1"/>
        </w:rPr>
        <w:t>97</w:t>
      </w:r>
    </w:p>
    <w:p>
      <w:pPr>
        <w:ind w:left="1200"/>
        <w:spacing w:after="0" w:line="235" w:lineRule="auto"/>
        <w:tabs>
          <w:tab w:leader="none" w:pos="1860" w:val="left"/>
          <w:tab w:leader="none" w:pos="3800" w:val="left"/>
        </w:tabs>
        <w:rPr>
          <w:sz w:val="20"/>
          <w:szCs w:val="20"/>
          <w:color w:val="auto"/>
        </w:rPr>
      </w:pPr>
      <w:r>
        <w:rPr>
          <w:rFonts w:ascii="Times New Roman" w:cs="Times New Roman" w:eastAsia="Times New Roman" w:hAnsi="Times New Roman"/>
          <w:sz w:val="20"/>
          <w:szCs w:val="20"/>
          <w:u w:val="single" w:color="auto"/>
          <w:color w:val="0000FF"/>
        </w:rPr>
        <w:t>11.1.3</w:t>
        <w:tab/>
        <w:t>Release of Guarantor.</w:t>
      </w:r>
      <w:r>
        <w:rPr>
          <w:sz w:val="20"/>
          <w:szCs w:val="20"/>
          <w:color w:val="auto"/>
        </w:rPr>
        <w:tab/>
      </w:r>
      <w:r>
        <w:rPr>
          <w:rFonts w:ascii="Times New Roman" w:cs="Times New Roman" w:eastAsia="Times New Roman" w:hAnsi="Times New Roman"/>
          <w:sz w:val="19"/>
          <w:szCs w:val="19"/>
          <w:color w:val="FF0000"/>
          <w:strike w:val="1"/>
        </w:rPr>
        <w:t>81</w:t>
      </w:r>
      <w:r>
        <w:rPr>
          <w:rFonts w:ascii="Times New Roman" w:cs="Times New Roman" w:eastAsia="Times New Roman" w:hAnsi="Times New Roman"/>
          <w:sz w:val="19"/>
          <w:szCs w:val="19"/>
          <w:u w:val="single" w:color="auto"/>
          <w:color w:val="0000FF"/>
          <w:strike w:val="1"/>
        </w:rPr>
        <w:t>98</w:t>
      </w:r>
    </w:p>
    <w:p>
      <w:pPr>
        <w:ind w:left="1200"/>
        <w:spacing w:after="0" w:line="236" w:lineRule="auto"/>
        <w:tabs>
          <w:tab w:leader="none" w:pos="1860" w:val="left"/>
          <w:tab w:leader="none" w:pos="3260" w:val="left"/>
        </w:tabs>
        <w:rPr>
          <w:sz w:val="20"/>
          <w:szCs w:val="20"/>
          <w:color w:val="auto"/>
        </w:rPr>
      </w:pPr>
      <w:r>
        <w:rPr>
          <w:rFonts w:ascii="Times New Roman" w:cs="Times New Roman" w:eastAsia="Times New Roman" w:hAnsi="Times New Roman"/>
          <w:sz w:val="20"/>
          <w:szCs w:val="20"/>
          <w:u w:val="single" w:color="auto"/>
          <w:color w:val="0000FF"/>
        </w:rPr>
        <w:t>11.1.4</w:t>
        <w:tab/>
        <w:t>Miscellaneous.</w:t>
      </w:r>
      <w:r>
        <w:rPr>
          <w:sz w:val="20"/>
          <w:szCs w:val="20"/>
          <w:color w:val="auto"/>
        </w:rPr>
        <w:tab/>
      </w:r>
      <w:r>
        <w:rPr>
          <w:rFonts w:ascii="Times New Roman" w:cs="Times New Roman" w:eastAsia="Times New Roman" w:hAnsi="Times New Roman"/>
          <w:sz w:val="20"/>
          <w:szCs w:val="20"/>
          <w:color w:val="FF0000"/>
          <w:strike w:val="1"/>
        </w:rPr>
        <w:t>81</w:t>
      </w:r>
      <w:r>
        <w:rPr>
          <w:rFonts w:ascii="Times New Roman" w:cs="Times New Roman" w:eastAsia="Times New Roman" w:hAnsi="Times New Roman"/>
          <w:sz w:val="20"/>
          <w:szCs w:val="20"/>
          <w:u w:val="single" w:color="auto"/>
          <w:color w:val="0000FF"/>
          <w:strike w:val="1"/>
        </w:rPr>
        <w:t>98</w:t>
      </w:r>
    </w:p>
    <w:p>
      <w:pPr>
        <w:ind w:left="600"/>
        <w:spacing w:after="0" w:line="237" w:lineRule="auto"/>
        <w:tabs>
          <w:tab w:leader="none" w:pos="1100" w:val="left"/>
          <w:tab w:leader="none" w:pos="4860" w:val="left"/>
        </w:tabs>
        <w:rPr>
          <w:sz w:val="20"/>
          <w:szCs w:val="20"/>
          <w:color w:val="auto"/>
        </w:rPr>
      </w:pPr>
      <w:r>
        <w:rPr>
          <w:rFonts w:ascii="Times New Roman" w:cs="Times New Roman" w:eastAsia="Times New Roman" w:hAnsi="Times New Roman"/>
          <w:sz w:val="20"/>
          <w:szCs w:val="20"/>
          <w:u w:val="single" w:color="auto"/>
          <w:color w:val="0000FF"/>
        </w:rPr>
        <w:t>11.2</w:t>
        <w:tab/>
        <w:t>No Implied Waivers; Cumulative Remedies.</w:t>
      </w:r>
      <w:r>
        <w:rPr>
          <w:sz w:val="20"/>
          <w:szCs w:val="20"/>
          <w:color w:val="auto"/>
        </w:rPr>
        <w:tab/>
      </w:r>
      <w:r>
        <w:rPr>
          <w:rFonts w:ascii="Times New Roman" w:cs="Times New Roman" w:eastAsia="Times New Roman" w:hAnsi="Times New Roman"/>
          <w:sz w:val="20"/>
          <w:szCs w:val="20"/>
          <w:color w:val="FF0000"/>
          <w:strike w:val="1"/>
        </w:rPr>
        <w:t>82</w:t>
      </w:r>
      <w:r>
        <w:rPr>
          <w:rFonts w:ascii="Times New Roman" w:cs="Times New Roman" w:eastAsia="Times New Roman" w:hAnsi="Times New Roman"/>
          <w:sz w:val="20"/>
          <w:szCs w:val="20"/>
          <w:u w:val="single" w:color="auto"/>
          <w:color w:val="0000FF"/>
          <w:strike w:val="1"/>
        </w:rPr>
        <w:t>98</w:t>
      </w:r>
    </w:p>
    <w:tbl>
      <w:tblPr>
        <w:tblLayout w:type="fixed"/>
        <w:tblInd w:w="600" w:type="dxa"/>
        <w:tblCellMar>
          <w:top w:w="0" w:type="dxa"/>
          <w:left w:w="0" w:type="dxa"/>
          <w:bottom w:w="0" w:type="dxa"/>
          <w:right w:w="0" w:type="dxa"/>
        </w:tblCellMar>
      </w:tblPr>
      <w:tr>
        <w:trPr>
          <w:trHeight w:val="192"/>
        </w:trPr>
        <w:tc>
          <w:tcPr>
            <w:tcW w:w="340" w:type="dxa"/>
            <w:vAlign w:val="bottom"/>
          </w:tcPr>
          <w:p>
            <w:pPr>
              <w:jc w:val="right"/>
              <w:spacing w:after="0" w:line="192" w:lineRule="exact"/>
              <w:rPr>
                <w:sz w:val="20"/>
                <w:szCs w:val="20"/>
                <w:color w:val="auto"/>
              </w:rPr>
            </w:pPr>
            <w:r>
              <w:rPr>
                <w:rFonts w:ascii="Times New Roman" w:cs="Times New Roman" w:eastAsia="Times New Roman" w:hAnsi="Times New Roman"/>
                <w:sz w:val="20"/>
                <w:szCs w:val="20"/>
                <w:color w:val="0000FF"/>
                <w:w w:val="91"/>
              </w:rPr>
              <w:t>11.</w:t>
            </w:r>
            <w:r>
              <w:rPr>
                <w:rFonts w:ascii="Times New Roman" w:cs="Times New Roman" w:eastAsia="Times New Roman" w:hAnsi="Times New Roman"/>
                <w:sz w:val="20"/>
                <w:szCs w:val="20"/>
                <w:u w:val="single" w:color="auto"/>
                <w:color w:val="0000FF"/>
                <w:w w:val="91"/>
              </w:rPr>
              <w:t>3</w:t>
            </w:r>
          </w:p>
        </w:tc>
        <w:tc>
          <w:tcPr>
            <w:tcW w:w="3520" w:type="dxa"/>
            <w:vAlign w:val="bottom"/>
            <w:gridSpan w:val="32"/>
          </w:tcPr>
          <w:p>
            <w:pPr>
              <w:ind w:left="180"/>
              <w:spacing w:after="0" w:line="192" w:lineRule="exact"/>
              <w:rPr>
                <w:sz w:val="20"/>
                <w:szCs w:val="20"/>
                <w:color w:val="auto"/>
              </w:rPr>
            </w:pPr>
            <w:r>
              <w:rPr>
                <w:rFonts w:ascii="Times New Roman" w:cs="Times New Roman" w:eastAsia="Times New Roman" w:hAnsi="Times New Roman"/>
                <w:sz w:val="20"/>
                <w:szCs w:val="20"/>
                <w:color w:val="0000FF"/>
              </w:rPr>
              <w:t>Expenses; Indemnity; Damage Waiver.</w:t>
            </w:r>
          </w:p>
        </w:tc>
        <w:tc>
          <w:tcPr>
            <w:tcW w:w="220" w:type="dxa"/>
            <w:vAlign w:val="bottom"/>
            <w:gridSpan w:val="2"/>
          </w:tcPr>
          <w:p>
            <w:pPr>
              <w:jc w:val="right"/>
              <w:ind w:right="20"/>
              <w:spacing w:after="0" w:line="192" w:lineRule="exact"/>
              <w:rPr>
                <w:sz w:val="20"/>
                <w:szCs w:val="20"/>
                <w:color w:val="auto"/>
              </w:rPr>
            </w:pPr>
            <w:r>
              <w:rPr>
                <w:rFonts w:ascii="Times New Roman" w:cs="Times New Roman" w:eastAsia="Times New Roman" w:hAnsi="Times New Roman"/>
                <w:sz w:val="20"/>
                <w:szCs w:val="20"/>
                <w:color w:val="FF0000"/>
                <w:strike w:val="1"/>
                <w:w w:val="89"/>
              </w:rPr>
              <w:t>82</w:t>
            </w:r>
          </w:p>
        </w:tc>
        <w:tc>
          <w:tcPr>
            <w:tcW w:w="18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20"/>
                <w:szCs w:val="20"/>
                <w:color w:val="0000FF"/>
                <w:w w:val="89"/>
              </w:rPr>
              <w:t>99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line="194"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3.1</w:t>
            </w:r>
          </w:p>
        </w:tc>
        <w:tc>
          <w:tcPr>
            <w:tcW w:w="200" w:type="dxa"/>
            <w:vAlign w:val="bottom"/>
            <w:tcBorders>
              <w:top w:val="single" w:sz="8" w:color="0000FF"/>
            </w:tcBorders>
          </w:tcPr>
          <w:p>
            <w:pPr>
              <w:spacing w:after="0"/>
              <w:rPr>
                <w:sz w:val="16"/>
                <w:szCs w:val="16"/>
                <w:color w:val="auto"/>
              </w:rPr>
            </w:pPr>
          </w:p>
        </w:tc>
        <w:tc>
          <w:tcPr>
            <w:tcW w:w="1660" w:type="dxa"/>
            <w:vAlign w:val="bottom"/>
            <w:tcBorders>
              <w:top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20"/>
                <w:szCs w:val="20"/>
                <w:color w:val="0000FF"/>
              </w:rPr>
              <w:t>Costs and Expenses.</w:t>
            </w:r>
          </w:p>
        </w:tc>
        <w:tc>
          <w:tcPr>
            <w:tcW w:w="360" w:type="dxa"/>
            <w:vAlign w:val="bottom"/>
            <w:tcBorders>
              <w:top w:val="single" w:sz="8" w:color="0000FF"/>
            </w:tcBorders>
            <w:gridSpan w:val="4"/>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rPr>
              <w:t>82</w:t>
            </w:r>
          </w:p>
        </w:tc>
        <w:tc>
          <w:tcPr>
            <w:tcW w:w="200" w:type="dxa"/>
            <w:vAlign w:val="bottom"/>
            <w:tcBorders>
              <w:top w:val="single" w:sz="8" w:color="0000FF"/>
            </w:tcBorders>
          </w:tcPr>
          <w:p>
            <w:pPr>
              <w:jc w:val="right"/>
              <w:spacing w:after="0" w:line="194" w:lineRule="exact"/>
              <w:rPr>
                <w:sz w:val="20"/>
                <w:szCs w:val="20"/>
                <w:color w:val="auto"/>
              </w:rPr>
            </w:pPr>
            <w:r>
              <w:rPr>
                <w:rFonts w:ascii="Times New Roman" w:cs="Times New Roman" w:eastAsia="Times New Roman" w:hAnsi="Times New Roman"/>
                <w:sz w:val="20"/>
                <w:szCs w:val="20"/>
                <w:color w:val="0000FF"/>
                <w:w w:val="89"/>
              </w:rPr>
              <w:t>99</w:t>
            </w:r>
          </w:p>
        </w:tc>
        <w:tc>
          <w:tcPr>
            <w:tcW w:w="2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3.2</w:t>
            </w:r>
          </w:p>
        </w:tc>
        <w:tc>
          <w:tcPr>
            <w:tcW w:w="200" w:type="dxa"/>
            <w:vAlign w:val="bottom"/>
          </w:tcPr>
          <w:p>
            <w:pPr>
              <w:spacing w:after="0"/>
              <w:rPr>
                <w:sz w:val="17"/>
                <w:szCs w:val="17"/>
                <w:color w:val="auto"/>
              </w:rPr>
            </w:pPr>
          </w:p>
        </w:tc>
        <w:tc>
          <w:tcPr>
            <w:tcW w:w="1620" w:type="dxa"/>
            <w:vAlign w:val="bottom"/>
            <w:gridSpan w:val="20"/>
          </w:tcPr>
          <w:p>
            <w:pPr>
              <w:spacing w:after="0" w:line="207" w:lineRule="exact"/>
              <w:rPr>
                <w:sz w:val="20"/>
                <w:szCs w:val="20"/>
                <w:color w:val="auto"/>
              </w:rPr>
            </w:pPr>
            <w:r>
              <w:rPr>
                <w:rFonts w:ascii="Times New Roman" w:cs="Times New Roman" w:eastAsia="Times New Roman" w:hAnsi="Times New Roman"/>
                <w:sz w:val="20"/>
                <w:szCs w:val="20"/>
                <w:color w:val="0000FF"/>
              </w:rPr>
              <w:t>Indemnification by</w:t>
            </w:r>
          </w:p>
        </w:tc>
        <w:tc>
          <w:tcPr>
            <w:tcW w:w="600" w:type="dxa"/>
            <w:vAlign w:val="bottom"/>
            <w:gridSpan w:val="6"/>
          </w:tcPr>
          <w:p>
            <w:pPr>
              <w:jc w:val="center"/>
              <w:spacing w:after="0" w:line="207" w:lineRule="exact"/>
              <w:rPr>
                <w:sz w:val="20"/>
                <w:szCs w:val="20"/>
                <w:color w:val="auto"/>
              </w:rPr>
            </w:pPr>
            <w:r>
              <w:rPr>
                <w:rFonts w:ascii="Times New Roman" w:cs="Times New Roman" w:eastAsia="Times New Roman" w:hAnsi="Times New Roman"/>
                <w:sz w:val="20"/>
                <w:szCs w:val="20"/>
                <w:color w:val="0000FF"/>
                <w:w w:val="84"/>
              </w:rPr>
              <w:t>the Loan</w:t>
            </w:r>
          </w:p>
        </w:tc>
        <w:tc>
          <w:tcPr>
            <w:tcW w:w="740" w:type="dxa"/>
            <w:vAlign w:val="bottom"/>
            <w:gridSpan w:val="6"/>
          </w:tcPr>
          <w:p>
            <w:pPr>
              <w:jc w:val="right"/>
              <w:ind w:right="40"/>
              <w:spacing w:after="0" w:line="207" w:lineRule="exact"/>
              <w:rPr>
                <w:sz w:val="20"/>
                <w:szCs w:val="20"/>
                <w:color w:val="auto"/>
              </w:rPr>
            </w:pPr>
            <w:r>
              <w:rPr>
                <w:rFonts w:ascii="Times New Roman" w:cs="Times New Roman" w:eastAsia="Times New Roman" w:hAnsi="Times New Roman"/>
                <w:sz w:val="20"/>
                <w:szCs w:val="20"/>
                <w:color w:val="0000FF"/>
              </w:rPr>
              <w:t>Parties.</w:t>
            </w:r>
          </w:p>
        </w:tc>
        <w:tc>
          <w:tcPr>
            <w:tcW w:w="160" w:type="dxa"/>
            <w:vAlign w:val="bottom"/>
          </w:tcPr>
          <w:p>
            <w:pPr>
              <w:spacing w:after="0"/>
              <w:rPr>
                <w:sz w:val="17"/>
                <w:szCs w:val="17"/>
                <w:color w:val="auto"/>
              </w:rPr>
            </w:pPr>
          </w:p>
        </w:tc>
        <w:tc>
          <w:tcPr>
            <w:tcW w:w="20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89"/>
              </w:rPr>
              <w:t>83</w:t>
            </w:r>
          </w:p>
        </w:tc>
        <w:tc>
          <w:tcPr>
            <w:tcW w:w="200" w:type="dxa"/>
            <w:vAlign w:val="bottom"/>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0000FF"/>
                <w:w w:val="89"/>
              </w:rPr>
              <w:t>99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FF"/>
            </w:tcBorders>
          </w:tcPr>
          <w:p>
            <w:pPr>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3.3</w:t>
            </w:r>
          </w:p>
        </w:tc>
        <w:tc>
          <w:tcPr>
            <w:tcW w:w="200" w:type="dxa"/>
            <w:vAlign w:val="bottom"/>
          </w:tcPr>
          <w:p>
            <w:pPr>
              <w:spacing w:after="0"/>
              <w:rPr>
                <w:sz w:val="17"/>
                <w:szCs w:val="17"/>
                <w:color w:val="auto"/>
              </w:rPr>
            </w:pPr>
          </w:p>
        </w:tc>
        <w:tc>
          <w:tcPr>
            <w:tcW w:w="2480" w:type="dxa"/>
            <w:vAlign w:val="bottom"/>
            <w:tcBorders>
              <w:top w:val="single" w:sz="8" w:color="0000FF"/>
            </w:tcBorders>
            <w:gridSpan w:val="27"/>
          </w:tcPr>
          <w:p>
            <w:pPr>
              <w:spacing w:after="0" w:line="207" w:lineRule="exact"/>
              <w:rPr>
                <w:sz w:val="20"/>
                <w:szCs w:val="20"/>
                <w:color w:val="auto"/>
              </w:rPr>
            </w:pPr>
            <w:r>
              <w:rPr>
                <w:rFonts w:ascii="Times New Roman" w:cs="Times New Roman" w:eastAsia="Times New Roman" w:hAnsi="Times New Roman"/>
                <w:sz w:val="20"/>
                <w:szCs w:val="20"/>
                <w:color w:val="0000FF"/>
              </w:rPr>
              <w:t>Reimbursement by Lenders.</w:t>
            </w:r>
          </w:p>
        </w:tc>
        <w:tc>
          <w:tcPr>
            <w:tcW w:w="300" w:type="dxa"/>
            <w:vAlign w:val="bottom"/>
            <w:tcBorders>
              <w:top w:val="single" w:sz="8" w:color="0000FF"/>
            </w:tcBorders>
            <w:gridSpan w:val="3"/>
          </w:tcPr>
          <w:p>
            <w:pPr>
              <w:jc w:val="center"/>
              <w:ind w:right="120"/>
              <w:spacing w:after="0" w:line="207" w:lineRule="exact"/>
              <w:rPr>
                <w:sz w:val="20"/>
                <w:szCs w:val="20"/>
                <w:color w:val="auto"/>
              </w:rPr>
            </w:pPr>
            <w:r>
              <w:rPr>
                <w:rFonts w:ascii="Times New Roman" w:cs="Times New Roman" w:eastAsia="Times New Roman" w:hAnsi="Times New Roman"/>
                <w:sz w:val="20"/>
                <w:szCs w:val="20"/>
                <w:color w:val="FF0000"/>
                <w:strike w:val="1"/>
                <w:w w:val="89"/>
              </w:rPr>
              <w:t>84</w:t>
            </w: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2"/>
              </w:rPr>
              <w:t>100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line="194"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3.4</w:t>
            </w:r>
          </w:p>
        </w:tc>
        <w:tc>
          <w:tcPr>
            <w:tcW w:w="200" w:type="dxa"/>
            <w:vAlign w:val="bottom"/>
          </w:tcPr>
          <w:p>
            <w:pPr>
              <w:spacing w:after="0"/>
              <w:rPr>
                <w:sz w:val="16"/>
                <w:szCs w:val="16"/>
                <w:color w:val="auto"/>
              </w:rPr>
            </w:pPr>
          </w:p>
        </w:tc>
        <w:tc>
          <w:tcPr>
            <w:tcW w:w="3400" w:type="dxa"/>
            <w:vAlign w:val="bottom"/>
            <w:gridSpan w:val="38"/>
          </w:tcPr>
          <w:p>
            <w:pPr>
              <w:spacing w:after="0" w:line="194" w:lineRule="exact"/>
              <w:rPr>
                <w:sz w:val="20"/>
                <w:szCs w:val="20"/>
                <w:color w:val="auto"/>
              </w:rPr>
            </w:pPr>
            <w:r>
              <w:rPr>
                <w:rFonts w:ascii="Times New Roman" w:cs="Times New Roman" w:eastAsia="Times New Roman" w:hAnsi="Times New Roman"/>
                <w:sz w:val="20"/>
                <w:szCs w:val="20"/>
                <w:color w:val="0000FF"/>
              </w:rPr>
              <w:t>Waiver of Consequential Damages, Etc.</w:t>
            </w:r>
          </w:p>
        </w:tc>
        <w:tc>
          <w:tcPr>
            <w:tcW w:w="20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84</w:t>
            </w:r>
          </w:p>
        </w:tc>
        <w:tc>
          <w:tcPr>
            <w:tcW w:w="3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0000FF"/>
                <w:w w:val="93"/>
              </w:rPr>
              <w:t>100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1"/>
              </w:rPr>
              <w:t>11.</w:t>
            </w:r>
            <w:r>
              <w:rPr>
                <w:rFonts w:ascii="Times New Roman" w:cs="Times New Roman" w:eastAsia="Times New Roman" w:hAnsi="Times New Roman"/>
                <w:sz w:val="20"/>
                <w:szCs w:val="20"/>
                <w:u w:val="single" w:color="auto"/>
                <w:color w:val="0000FF"/>
                <w:w w:val="91"/>
              </w:rPr>
              <w:t>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FF"/>
            </w:tcBorders>
          </w:tcPr>
          <w:p>
            <w:pPr>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3.5</w:t>
            </w:r>
          </w:p>
        </w:tc>
        <w:tc>
          <w:tcPr>
            <w:tcW w:w="200" w:type="dxa"/>
            <w:vAlign w:val="bottom"/>
          </w:tcPr>
          <w:p>
            <w:pPr>
              <w:spacing w:after="0"/>
              <w:rPr>
                <w:sz w:val="17"/>
                <w:szCs w:val="17"/>
                <w:color w:val="auto"/>
              </w:rPr>
            </w:pPr>
          </w:p>
        </w:tc>
        <w:tc>
          <w:tcPr>
            <w:tcW w:w="940" w:type="dxa"/>
            <w:vAlign w:val="bottom"/>
            <w:tcBorders>
              <w:top w:val="single" w:sz="8" w:color="0000FF"/>
            </w:tcBorders>
            <w:gridSpan w:val="9"/>
          </w:tcPr>
          <w:p>
            <w:pPr>
              <w:spacing w:after="0" w:line="207" w:lineRule="exact"/>
              <w:rPr>
                <w:sz w:val="20"/>
                <w:szCs w:val="20"/>
                <w:color w:val="auto"/>
              </w:rPr>
            </w:pPr>
            <w:r>
              <w:rPr>
                <w:rFonts w:ascii="Times New Roman" w:cs="Times New Roman" w:eastAsia="Times New Roman" w:hAnsi="Times New Roman"/>
                <w:sz w:val="20"/>
                <w:szCs w:val="20"/>
                <w:color w:val="0000FF"/>
              </w:rPr>
              <w:t>Payments.</w:t>
            </w: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gridSpan w:val="5"/>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rPr>
              <w:t>84</w:t>
            </w:r>
          </w:p>
        </w:tc>
        <w:tc>
          <w:tcPr>
            <w:tcW w:w="300" w:type="dxa"/>
            <w:vAlign w:val="bottom"/>
            <w:tcBorders>
              <w:top w:val="single" w:sz="8" w:color="0000FF"/>
            </w:tcBorders>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0000FF"/>
                <w:w w:val="93"/>
              </w:rPr>
              <w:t>101</w:t>
            </w: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tcBorders>
              <w:bottom w:val="single" w:sz="8" w:color="0000FF"/>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0000FF"/>
            </w:tcBorders>
          </w:tcPr>
          <w:p>
            <w:pPr>
              <w:spacing w:after="0"/>
              <w:rPr>
                <w:sz w:val="17"/>
                <w:szCs w:val="17"/>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73"/>
              </w:rPr>
              <w:t>Holidays.</w:t>
            </w:r>
          </w:p>
        </w:tc>
        <w:tc>
          <w:tcPr>
            <w:tcW w:w="200" w:type="dxa"/>
            <w:vAlign w:val="bottom"/>
            <w:tcBorders>
              <w:bottom w:val="single" w:sz="8" w:color="0000FF"/>
            </w:tcBorders>
          </w:tcPr>
          <w:p>
            <w:pPr>
              <w:spacing w:after="0"/>
              <w:rPr>
                <w:sz w:val="17"/>
                <w:szCs w:val="17"/>
                <w:color w:val="auto"/>
              </w:rPr>
            </w:pPr>
          </w:p>
        </w:tc>
        <w:tc>
          <w:tcPr>
            <w:tcW w:w="40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rPr>
              <w:t>84</w:t>
            </w:r>
          </w:p>
        </w:tc>
        <w:tc>
          <w:tcPr>
            <w:tcW w:w="300" w:type="dxa"/>
            <w:vAlign w:val="bottom"/>
            <w:tcBorders>
              <w:top w:val="single" w:sz="8" w:color="0000FF"/>
              <w:bottom w:val="single" w:sz="8" w:color="0000FF"/>
            </w:tcBorders>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0000FF"/>
                <w:w w:val="93"/>
              </w:rPr>
              <w:t>101</w:t>
            </w: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0000FF"/>
                <w:w w:val="91"/>
              </w:rPr>
              <w:t>11.</w:t>
            </w:r>
            <w:r>
              <w:rPr>
                <w:rFonts w:ascii="Times New Roman" w:cs="Times New Roman" w:eastAsia="Times New Roman" w:hAnsi="Times New Roman"/>
                <w:sz w:val="20"/>
                <w:szCs w:val="20"/>
                <w:u w:val="single" w:color="auto"/>
                <w:color w:val="0000FF"/>
                <w:w w:val="91"/>
              </w:rPr>
              <w:t>5</w:t>
            </w:r>
          </w:p>
        </w:tc>
        <w:tc>
          <w:tcPr>
            <w:tcW w:w="180" w:type="dxa"/>
            <w:vAlign w:val="bottom"/>
          </w:tcPr>
          <w:p>
            <w:pPr>
              <w:spacing w:after="0"/>
              <w:rPr>
                <w:sz w:val="16"/>
                <w:szCs w:val="16"/>
                <w:color w:val="auto"/>
              </w:rPr>
            </w:pPr>
          </w:p>
        </w:tc>
        <w:tc>
          <w:tcPr>
            <w:tcW w:w="780" w:type="dxa"/>
            <w:vAlign w:val="bottom"/>
            <w:gridSpan w:val="3"/>
          </w:tcPr>
          <w:p>
            <w:pPr>
              <w:spacing w:after="0" w:line="194" w:lineRule="exact"/>
              <w:rPr>
                <w:sz w:val="20"/>
                <w:szCs w:val="20"/>
                <w:color w:val="auto"/>
              </w:rPr>
            </w:pPr>
            <w:r>
              <w:rPr>
                <w:rFonts w:ascii="Times New Roman" w:cs="Times New Roman" w:eastAsia="Times New Roman" w:hAnsi="Times New Roman"/>
                <w:sz w:val="20"/>
                <w:szCs w:val="20"/>
                <w:color w:val="0000FF"/>
              </w:rPr>
              <w:t>Notices;</w:t>
            </w:r>
          </w:p>
        </w:tc>
        <w:tc>
          <w:tcPr>
            <w:tcW w:w="3560" w:type="dxa"/>
            <w:vAlign w:val="bottom"/>
            <w:gridSpan w:val="41"/>
          </w:tcPr>
          <w:p>
            <w:pPr>
              <w:spacing w:after="0" w:line="194" w:lineRule="exact"/>
              <w:rPr>
                <w:sz w:val="20"/>
                <w:szCs w:val="20"/>
                <w:color w:val="auto"/>
              </w:rPr>
            </w:pPr>
            <w:r>
              <w:rPr>
                <w:rFonts w:ascii="Times New Roman" w:cs="Times New Roman" w:eastAsia="Times New Roman" w:hAnsi="Times New Roman"/>
                <w:sz w:val="20"/>
                <w:szCs w:val="20"/>
                <w:color w:val="0000FF"/>
              </w:rPr>
              <w:t>Effectiveness; Electronic Communication.</w:t>
            </w:r>
          </w:p>
        </w:tc>
        <w:tc>
          <w:tcPr>
            <w:tcW w:w="2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84</w:t>
            </w:r>
          </w:p>
        </w:tc>
        <w:tc>
          <w:tcPr>
            <w:tcW w:w="36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20"/>
                <w:szCs w:val="20"/>
                <w:color w:val="0000FF"/>
                <w:w w:val="93"/>
              </w:rPr>
              <w:t>101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Borders>
              <w:top w:val="single" w:sz="8" w:color="0000FF"/>
              <w:bottom w:val="single" w:sz="8" w:color="0000FF"/>
            </w:tcBorders>
          </w:tcPr>
          <w:p>
            <w:pPr>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5.1</w:t>
            </w:r>
          </w:p>
        </w:tc>
        <w:tc>
          <w:tcPr>
            <w:tcW w:w="200" w:type="dxa"/>
            <w:vAlign w:val="bottom"/>
            <w:tcBorders>
              <w:top w:val="single" w:sz="8" w:color="0000FF"/>
            </w:tcBorders>
          </w:tcPr>
          <w:p>
            <w:pPr>
              <w:spacing w:after="0"/>
              <w:rPr>
                <w:sz w:val="17"/>
                <w:szCs w:val="17"/>
                <w:color w:val="auto"/>
              </w:rPr>
            </w:pPr>
          </w:p>
        </w:tc>
        <w:tc>
          <w:tcPr>
            <w:tcW w:w="1480" w:type="dxa"/>
            <w:vAlign w:val="bottom"/>
            <w:tcBorders>
              <w:top w:val="single" w:sz="8" w:color="0000FF"/>
              <w:bottom w:val="single" w:sz="8" w:color="0000FF"/>
            </w:tcBorders>
            <w:gridSpan w:val="17"/>
          </w:tcPr>
          <w:p>
            <w:pPr>
              <w:spacing w:after="0" w:line="207" w:lineRule="exact"/>
              <w:rPr>
                <w:sz w:val="20"/>
                <w:szCs w:val="20"/>
                <w:color w:val="auto"/>
              </w:rPr>
            </w:pPr>
            <w:r>
              <w:rPr>
                <w:rFonts w:ascii="Times New Roman" w:cs="Times New Roman" w:eastAsia="Times New Roman" w:hAnsi="Times New Roman"/>
                <w:sz w:val="20"/>
                <w:szCs w:val="20"/>
                <w:color w:val="0000FF"/>
                <w:w w:val="97"/>
              </w:rPr>
              <w:t>Notices Generally.</w:t>
            </w:r>
          </w:p>
        </w:tc>
        <w:tc>
          <w:tcPr>
            <w:tcW w:w="180" w:type="dxa"/>
            <w:vAlign w:val="bottom"/>
            <w:tcBorders>
              <w:top w:val="single" w:sz="8" w:color="0000FF"/>
            </w:tcBorders>
            <w:gridSpan w:val="4"/>
          </w:tcPr>
          <w:p>
            <w:pPr>
              <w:spacing w:after="0"/>
              <w:rPr>
                <w:sz w:val="17"/>
                <w:szCs w:val="17"/>
                <w:color w:val="auto"/>
              </w:rPr>
            </w:pPr>
          </w:p>
        </w:tc>
        <w:tc>
          <w:tcPr>
            <w:tcW w:w="220" w:type="dxa"/>
            <w:vAlign w:val="bottom"/>
            <w:tcBorders>
              <w:top w:val="single" w:sz="8" w:color="0000FF"/>
            </w:tcBorders>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99"/>
              </w:rPr>
              <w:t>84</w:t>
            </w:r>
          </w:p>
        </w:tc>
        <w:tc>
          <w:tcPr>
            <w:tcW w:w="340" w:type="dxa"/>
            <w:vAlign w:val="bottom"/>
            <w:tcBorders>
              <w:top w:val="single" w:sz="8" w:color="0000FF"/>
              <w:bottom w:val="single" w:sz="8" w:color="0000FF"/>
            </w:tcBorders>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0000FF"/>
                <w:w w:val="93"/>
              </w:rPr>
              <w:t>101</w:t>
            </w:r>
          </w:p>
        </w:tc>
        <w:tc>
          <w:tcPr>
            <w:tcW w:w="260" w:type="dxa"/>
            <w:vAlign w:val="bottom"/>
            <w:tcBorders>
              <w:top w:val="single" w:sz="8" w:color="0000FF"/>
            </w:tcBorders>
          </w:tcPr>
          <w:p>
            <w:pPr>
              <w:spacing w:after="0"/>
              <w:rPr>
                <w:sz w:val="17"/>
                <w:szCs w:val="17"/>
                <w:color w:val="auto"/>
              </w:rPr>
            </w:pPr>
          </w:p>
        </w:tc>
        <w:tc>
          <w:tcPr>
            <w:tcW w:w="300" w:type="dxa"/>
            <w:vAlign w:val="bottom"/>
            <w:tcBorders>
              <w:top w:val="single" w:sz="8" w:color="0000FF"/>
              <w:bottom w:val="single" w:sz="8" w:color="0000FF"/>
            </w:tcBorders>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color w:val="FF0000"/>
                <w:strike w:val="1"/>
                <w:w w:val="99"/>
              </w:rPr>
              <w:t>85</w:t>
            </w:r>
          </w:p>
        </w:tc>
        <w:tc>
          <w:tcPr>
            <w:tcW w:w="340" w:type="dxa"/>
            <w:vAlign w:val="bottom"/>
            <w:tcBorders>
              <w:top w:val="single" w:sz="8" w:color="0000FF"/>
              <w:bottom w:val="single" w:sz="8" w:color="0000FF"/>
            </w:tcBorders>
            <w:gridSpan w:val="3"/>
            <w:vMerge w:val="restart"/>
          </w:tcPr>
          <w:p>
            <w:pPr>
              <w:jc w:val="center"/>
              <w:ind w:right="39"/>
              <w:spacing w:after="0"/>
              <w:rPr>
                <w:sz w:val="20"/>
                <w:szCs w:val="20"/>
                <w:color w:val="auto"/>
              </w:rPr>
            </w:pPr>
            <w:r>
              <w:rPr>
                <w:rFonts w:ascii="Times New Roman" w:cs="Times New Roman" w:eastAsia="Times New Roman" w:hAnsi="Times New Roman"/>
                <w:sz w:val="19"/>
                <w:szCs w:val="19"/>
                <w:color w:val="0000FF"/>
                <w:w w:val="70"/>
              </w:rPr>
              <w:t>101</w:t>
            </w: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line="194"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5.2</w:t>
            </w:r>
          </w:p>
        </w:tc>
        <w:tc>
          <w:tcPr>
            <w:tcW w:w="200" w:type="dxa"/>
            <w:vAlign w:val="bottom"/>
          </w:tcPr>
          <w:p>
            <w:pPr>
              <w:spacing w:after="0"/>
              <w:rPr>
                <w:sz w:val="16"/>
                <w:szCs w:val="16"/>
                <w:color w:val="auto"/>
              </w:rPr>
            </w:pPr>
          </w:p>
        </w:tc>
        <w:tc>
          <w:tcPr>
            <w:tcW w:w="2220" w:type="dxa"/>
            <w:vAlign w:val="bottom"/>
            <w:gridSpan w:val="26"/>
          </w:tcPr>
          <w:p>
            <w:pPr>
              <w:spacing w:after="0" w:line="194" w:lineRule="exact"/>
              <w:rPr>
                <w:sz w:val="20"/>
                <w:szCs w:val="20"/>
                <w:color w:val="auto"/>
              </w:rPr>
            </w:pPr>
            <w:r>
              <w:rPr>
                <w:rFonts w:ascii="Times New Roman" w:cs="Times New Roman" w:eastAsia="Times New Roman" w:hAnsi="Times New Roman"/>
                <w:sz w:val="20"/>
                <w:szCs w:val="20"/>
                <w:color w:val="0000FF"/>
                <w:w w:val="95"/>
              </w:rPr>
              <w:t>Electronic Communications.</w:t>
            </w:r>
          </w:p>
        </w:tc>
        <w:tc>
          <w:tcPr>
            <w:tcW w:w="260" w:type="dxa"/>
            <w:vAlign w:val="bottom"/>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1"/>
              </w:rPr>
              <w:t>11.</w:t>
            </w:r>
            <w:r>
              <w:rPr>
                <w:rFonts w:ascii="Times New Roman" w:cs="Times New Roman" w:eastAsia="Times New Roman" w:hAnsi="Times New Roman"/>
                <w:sz w:val="20"/>
                <w:szCs w:val="20"/>
                <w:u w:val="single" w:color="auto"/>
                <w:color w:val="0000FF"/>
                <w:w w:val="91"/>
              </w:rPr>
              <w:t>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5.3</w:t>
            </w:r>
          </w:p>
        </w:tc>
        <w:tc>
          <w:tcPr>
            <w:tcW w:w="200" w:type="dxa"/>
            <w:vAlign w:val="bottom"/>
          </w:tcPr>
          <w:p>
            <w:pPr>
              <w:spacing w:after="0"/>
              <w:rPr>
                <w:sz w:val="17"/>
                <w:szCs w:val="17"/>
                <w:color w:val="auto"/>
              </w:rPr>
            </w:pPr>
          </w:p>
        </w:tc>
        <w:tc>
          <w:tcPr>
            <w:tcW w:w="1940" w:type="dxa"/>
            <w:vAlign w:val="bottom"/>
            <w:gridSpan w:val="24"/>
          </w:tcPr>
          <w:p>
            <w:pPr>
              <w:spacing w:after="0" w:line="207" w:lineRule="exact"/>
              <w:rPr>
                <w:sz w:val="20"/>
                <w:szCs w:val="20"/>
                <w:color w:val="auto"/>
              </w:rPr>
            </w:pPr>
            <w:r>
              <w:rPr>
                <w:rFonts w:ascii="Times New Roman" w:cs="Times New Roman" w:eastAsia="Times New Roman" w:hAnsi="Times New Roman"/>
                <w:sz w:val="20"/>
                <w:szCs w:val="20"/>
                <w:color w:val="0000FF"/>
                <w:w w:val="97"/>
              </w:rPr>
              <w:t>Change of Address, Etc.</w:t>
            </w:r>
          </w:p>
        </w:tc>
        <w:tc>
          <w:tcPr>
            <w:tcW w:w="80" w:type="dxa"/>
            <w:vAlign w:val="bottom"/>
          </w:tcPr>
          <w:p>
            <w:pPr>
              <w:spacing w:after="0"/>
              <w:rPr>
                <w:sz w:val="17"/>
                <w:szCs w:val="17"/>
                <w:color w:val="auto"/>
              </w:rPr>
            </w:pPr>
          </w:p>
        </w:tc>
        <w:tc>
          <w:tcPr>
            <w:tcW w:w="460" w:type="dxa"/>
            <w:vAlign w:val="bottom"/>
            <w:gridSpan w:val="2"/>
          </w:tcPr>
          <w:p>
            <w:pPr>
              <w:jc w:val="right"/>
              <w:ind w:right="39"/>
              <w:spacing w:after="0" w:line="207" w:lineRule="exact"/>
              <w:rPr>
                <w:sz w:val="20"/>
                <w:szCs w:val="20"/>
                <w:color w:val="auto"/>
              </w:rPr>
            </w:pPr>
            <w:r>
              <w:rPr>
                <w:rFonts w:ascii="Times New Roman" w:cs="Times New Roman" w:eastAsia="Times New Roman" w:hAnsi="Times New Roman"/>
                <w:sz w:val="20"/>
                <w:szCs w:val="20"/>
                <w:color w:val="FF0000"/>
                <w:strike w:val="1"/>
              </w:rPr>
              <w:t>85</w:t>
            </w: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0000FF"/>
                <w:w w:val="71"/>
              </w:rPr>
              <w:t>102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5"/>
          </w:tcPr>
          <w:p>
            <w:pPr>
              <w:spacing w:after="0" w:line="207" w:lineRule="exact"/>
              <w:rPr>
                <w:sz w:val="20"/>
                <w:szCs w:val="20"/>
                <w:color w:val="auto"/>
              </w:rPr>
            </w:pPr>
            <w:r>
              <w:rPr>
                <w:rFonts w:ascii="Times New Roman" w:cs="Times New Roman" w:eastAsia="Times New Roman" w:hAnsi="Times New Roman"/>
                <w:sz w:val="20"/>
                <w:szCs w:val="20"/>
                <w:color w:val="0000FF"/>
              </w:rPr>
              <w:t>Severability.</w:t>
            </w:r>
          </w:p>
        </w:tc>
        <w:tc>
          <w:tcPr>
            <w:tcW w:w="22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20"/>
                <w:szCs w:val="20"/>
                <w:color w:val="FF0000"/>
                <w:strike w:val="1"/>
                <w:w w:val="89"/>
              </w:rPr>
              <w:t>85</w:t>
            </w:r>
          </w:p>
        </w:tc>
        <w:tc>
          <w:tcPr>
            <w:tcW w:w="320" w:type="dxa"/>
            <w:vAlign w:val="bottom"/>
            <w:gridSpan w:val="5"/>
          </w:tcPr>
          <w:p>
            <w:pPr>
              <w:spacing w:after="0" w:line="207" w:lineRule="exact"/>
              <w:rPr>
                <w:sz w:val="20"/>
                <w:szCs w:val="20"/>
                <w:color w:val="auto"/>
              </w:rPr>
            </w:pPr>
            <w:r>
              <w:rPr>
                <w:rFonts w:ascii="Times New Roman" w:cs="Times New Roman" w:eastAsia="Times New Roman" w:hAnsi="Times New Roman"/>
                <w:sz w:val="20"/>
                <w:szCs w:val="20"/>
                <w:color w:val="0000FF"/>
                <w:w w:val="99"/>
              </w:rPr>
              <w:t>102</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85</w:t>
            </w: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102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20"/>
                <w:szCs w:val="20"/>
                <w:color w:val="0000FF"/>
                <w:w w:val="91"/>
              </w:rPr>
              <w:t>11.</w:t>
            </w:r>
            <w:r>
              <w:rPr>
                <w:rFonts w:ascii="Times New Roman" w:cs="Times New Roman" w:eastAsia="Times New Roman" w:hAnsi="Times New Roman"/>
                <w:sz w:val="20"/>
                <w:szCs w:val="20"/>
                <w:u w:val="single" w:color="auto"/>
                <w:color w:val="0000FF"/>
                <w:w w:val="91"/>
              </w:rPr>
              <w:t>7</w:t>
            </w:r>
          </w:p>
        </w:tc>
        <w:tc>
          <w:tcPr>
            <w:tcW w:w="180" w:type="dxa"/>
            <w:vAlign w:val="bottom"/>
          </w:tcPr>
          <w:p>
            <w:pPr>
              <w:spacing w:after="0"/>
              <w:rPr>
                <w:sz w:val="16"/>
                <w:szCs w:val="16"/>
                <w:color w:val="auto"/>
              </w:rPr>
            </w:pPr>
          </w:p>
        </w:tc>
        <w:tc>
          <w:tcPr>
            <w:tcW w:w="1560" w:type="dxa"/>
            <w:vAlign w:val="bottom"/>
            <w:tcBorders>
              <w:bottom w:val="single" w:sz="8" w:color="0000FF"/>
            </w:tcBorders>
            <w:gridSpan w:val="10"/>
          </w:tcPr>
          <w:p>
            <w:pPr>
              <w:spacing w:after="0" w:line="194" w:lineRule="exact"/>
              <w:rPr>
                <w:sz w:val="20"/>
                <w:szCs w:val="20"/>
                <w:color w:val="auto"/>
              </w:rPr>
            </w:pPr>
            <w:r>
              <w:rPr>
                <w:rFonts w:ascii="Times New Roman" w:cs="Times New Roman" w:eastAsia="Times New Roman" w:hAnsi="Times New Roman"/>
                <w:sz w:val="20"/>
                <w:szCs w:val="20"/>
                <w:color w:val="0000FF"/>
                <w:w w:val="99"/>
              </w:rPr>
              <w:t>Duration; Survival.</w:t>
            </w:r>
          </w:p>
        </w:tc>
        <w:tc>
          <w:tcPr>
            <w:tcW w:w="160" w:type="dxa"/>
            <w:vAlign w:val="bottom"/>
            <w:gridSpan w:val="2"/>
          </w:tcPr>
          <w:p>
            <w:pPr>
              <w:spacing w:after="0"/>
              <w:rPr>
                <w:sz w:val="16"/>
                <w:szCs w:val="16"/>
                <w:color w:val="auto"/>
              </w:rPr>
            </w:pPr>
          </w:p>
        </w:tc>
        <w:tc>
          <w:tcPr>
            <w:tcW w:w="40" w:type="dxa"/>
            <w:vAlign w:val="bottom"/>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300" w:type="dxa"/>
            <w:vAlign w:val="bottom"/>
            <w:tcBorders>
              <w:bottom w:val="single" w:sz="8" w:color="0000FF"/>
            </w:tcBorders>
            <w:gridSpan w:val="4"/>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Borders>
              <w:bottom w:val="single" w:sz="8" w:color="0000FF"/>
            </w:tcBorders>
          </w:tcPr>
          <w:p>
            <w:pPr>
              <w:jc w:val="right"/>
              <w:spacing w:after="0" w:line="207" w:lineRule="exact"/>
              <w:rPr>
                <w:sz w:val="20"/>
                <w:szCs w:val="20"/>
                <w:color w:val="auto"/>
              </w:rPr>
            </w:pPr>
            <w:r>
              <w:rPr>
                <w:rFonts w:ascii="Times New Roman" w:cs="Times New Roman" w:eastAsia="Times New Roman" w:hAnsi="Times New Roman"/>
                <w:sz w:val="20"/>
                <w:szCs w:val="20"/>
                <w:color w:val="0000FF"/>
                <w:w w:val="91"/>
              </w:rPr>
              <w:t>11.</w:t>
            </w:r>
            <w:r>
              <w:rPr>
                <w:rFonts w:ascii="Times New Roman" w:cs="Times New Roman" w:eastAsia="Times New Roman" w:hAnsi="Times New Roman"/>
                <w:sz w:val="20"/>
                <w:szCs w:val="20"/>
                <w:u w:val="single" w:color="auto"/>
                <w:color w:val="0000FF"/>
                <w:w w:val="91"/>
              </w:rPr>
              <w:t>8</w:t>
            </w:r>
          </w:p>
        </w:tc>
        <w:tc>
          <w:tcPr>
            <w:tcW w:w="180" w:type="dxa"/>
            <w:vAlign w:val="bottom"/>
          </w:tcPr>
          <w:p>
            <w:pPr>
              <w:spacing w:after="0"/>
              <w:rPr>
                <w:sz w:val="17"/>
                <w:szCs w:val="17"/>
                <w:color w:val="auto"/>
              </w:rPr>
            </w:pPr>
          </w:p>
        </w:tc>
        <w:tc>
          <w:tcPr>
            <w:tcW w:w="2000" w:type="dxa"/>
            <w:vAlign w:val="bottom"/>
            <w:tcBorders>
              <w:bottom w:val="single" w:sz="8" w:color="0000FF"/>
            </w:tcBorders>
            <w:gridSpan w:val="18"/>
          </w:tcPr>
          <w:p>
            <w:pPr>
              <w:spacing w:after="0" w:line="207" w:lineRule="exact"/>
              <w:rPr>
                <w:sz w:val="20"/>
                <w:szCs w:val="20"/>
                <w:color w:val="auto"/>
              </w:rPr>
            </w:pPr>
            <w:r>
              <w:rPr>
                <w:rFonts w:ascii="Times New Roman" w:cs="Times New Roman" w:eastAsia="Times New Roman" w:hAnsi="Times New Roman"/>
                <w:sz w:val="20"/>
                <w:szCs w:val="20"/>
                <w:color w:val="0000FF"/>
              </w:rPr>
              <w:t>Successors and Assigns.</w:t>
            </w:r>
          </w:p>
        </w:tc>
        <w:tc>
          <w:tcPr>
            <w:tcW w:w="140" w:type="dxa"/>
            <w:vAlign w:val="bottom"/>
          </w:tcPr>
          <w:p>
            <w:pPr>
              <w:spacing w:after="0"/>
              <w:rPr>
                <w:sz w:val="17"/>
                <w:szCs w:val="17"/>
                <w:color w:val="auto"/>
              </w:rPr>
            </w:pPr>
          </w:p>
        </w:tc>
        <w:tc>
          <w:tcPr>
            <w:tcW w:w="260" w:type="dxa"/>
            <w:vAlign w:val="bottom"/>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w w:val="99"/>
              </w:rPr>
              <w:t>86</w:t>
            </w:r>
          </w:p>
        </w:tc>
        <w:tc>
          <w:tcPr>
            <w:tcW w:w="320" w:type="dxa"/>
            <w:vAlign w:val="bottom"/>
            <w:tcBorders>
              <w:bottom w:val="single" w:sz="8" w:color="0000FF"/>
            </w:tcBorders>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0000FF"/>
                <w:w w:val="79"/>
              </w:rPr>
              <w:t>102</w:t>
            </w:r>
          </w:p>
        </w:tc>
        <w:tc>
          <w:tcPr>
            <w:tcW w:w="1020" w:type="dxa"/>
            <w:vAlign w:val="bottom"/>
            <w:gridSpan w:val="8"/>
            <w:vMerge w:val="restart"/>
          </w:tcPr>
          <w:p>
            <w:pPr>
              <w:jc w:val="right"/>
              <w:ind w:right="200"/>
              <w:spacing w:after="0"/>
              <w:rPr>
                <w:sz w:val="20"/>
                <w:szCs w:val="20"/>
                <w:color w:val="auto"/>
              </w:rPr>
            </w:pPr>
            <w:r>
              <w:rPr>
                <w:rFonts w:ascii="Times New Roman" w:cs="Times New Roman" w:eastAsia="Times New Roman" w:hAnsi="Times New Roman"/>
                <w:sz w:val="20"/>
                <w:szCs w:val="20"/>
                <w:color w:val="0000FF"/>
                <w:w w:val="95"/>
              </w:rPr>
              <w:t>Generally.</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86</w:t>
            </w:r>
          </w:p>
        </w:tc>
        <w:tc>
          <w:tcPr>
            <w:tcW w:w="34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20"/>
                <w:szCs w:val="20"/>
                <w:color w:val="0000FF"/>
                <w:w w:val="93"/>
              </w:rPr>
              <w:t>102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8.1</w:t>
            </w:r>
          </w:p>
        </w:tc>
        <w:tc>
          <w:tcPr>
            <w:tcW w:w="200" w:type="dxa"/>
            <w:vAlign w:val="bottom"/>
          </w:tcPr>
          <w:p>
            <w:pPr>
              <w:spacing w:after="0"/>
              <w:rPr>
                <w:sz w:val="17"/>
                <w:szCs w:val="17"/>
                <w:color w:val="auto"/>
              </w:rPr>
            </w:pPr>
          </w:p>
        </w:tc>
        <w:tc>
          <w:tcPr>
            <w:tcW w:w="1220" w:type="dxa"/>
            <w:vAlign w:val="bottom"/>
            <w:gridSpan w:val="15"/>
          </w:tcPr>
          <w:p>
            <w:pPr>
              <w:spacing w:after="0" w:line="207" w:lineRule="exact"/>
              <w:rPr>
                <w:sz w:val="20"/>
                <w:szCs w:val="20"/>
                <w:color w:val="auto"/>
              </w:rPr>
            </w:pPr>
            <w:r>
              <w:rPr>
                <w:rFonts w:ascii="Times New Roman" w:cs="Times New Roman" w:eastAsia="Times New Roman" w:hAnsi="Times New Roman"/>
                <w:sz w:val="20"/>
                <w:szCs w:val="20"/>
                <w:color w:val="0000FF"/>
                <w:w w:val="98"/>
              </w:rPr>
              <w:t>Successors and</w:t>
            </w:r>
          </w:p>
        </w:tc>
        <w:tc>
          <w:tcPr>
            <w:tcW w:w="720" w:type="dxa"/>
            <w:vAlign w:val="bottom"/>
            <w:gridSpan w:val="9"/>
          </w:tcPr>
          <w:p>
            <w:pPr>
              <w:jc w:val="right"/>
              <w:spacing w:after="0" w:line="207" w:lineRule="exact"/>
              <w:rPr>
                <w:sz w:val="20"/>
                <w:szCs w:val="20"/>
                <w:color w:val="auto"/>
              </w:rPr>
            </w:pPr>
            <w:r>
              <w:rPr>
                <w:rFonts w:ascii="Times New Roman" w:cs="Times New Roman" w:eastAsia="Times New Roman" w:hAnsi="Times New Roman"/>
                <w:sz w:val="20"/>
                <w:szCs w:val="20"/>
                <w:color w:val="0000FF"/>
              </w:rPr>
              <w:t>Assigns</w:t>
            </w:r>
          </w:p>
        </w:tc>
        <w:tc>
          <w:tcPr>
            <w:tcW w:w="1020" w:type="dxa"/>
            <w:vAlign w:val="bottom"/>
            <w:gridSpan w:val="8"/>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34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0000FF"/>
            </w:tcBorders>
          </w:tcPr>
          <w:p>
            <w:pPr>
              <w:spacing w:after="0" w:line="194"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8.2</w:t>
            </w:r>
          </w:p>
        </w:tc>
        <w:tc>
          <w:tcPr>
            <w:tcW w:w="200" w:type="dxa"/>
            <w:vAlign w:val="bottom"/>
          </w:tcPr>
          <w:p>
            <w:pPr>
              <w:spacing w:after="0"/>
              <w:rPr>
                <w:sz w:val="16"/>
                <w:szCs w:val="16"/>
                <w:color w:val="auto"/>
              </w:rPr>
            </w:pPr>
          </w:p>
        </w:tc>
        <w:tc>
          <w:tcPr>
            <w:tcW w:w="2020" w:type="dxa"/>
            <w:vAlign w:val="bottom"/>
            <w:tcBorders>
              <w:top w:val="single" w:sz="8" w:color="0000FF"/>
            </w:tcBorders>
            <w:gridSpan w:val="25"/>
          </w:tcPr>
          <w:p>
            <w:pPr>
              <w:spacing w:after="0" w:line="194" w:lineRule="exact"/>
              <w:rPr>
                <w:sz w:val="20"/>
                <w:szCs w:val="20"/>
                <w:color w:val="auto"/>
              </w:rPr>
            </w:pPr>
            <w:r>
              <w:rPr>
                <w:rFonts w:ascii="Times New Roman" w:cs="Times New Roman" w:eastAsia="Times New Roman" w:hAnsi="Times New Roman"/>
                <w:sz w:val="20"/>
                <w:szCs w:val="20"/>
                <w:color w:val="0000FF"/>
                <w:w w:val="98"/>
              </w:rPr>
              <w:t>Assignments by Lenders.</w:t>
            </w:r>
          </w:p>
        </w:tc>
        <w:tc>
          <w:tcPr>
            <w:tcW w:w="2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jc w:val="right"/>
              <w:spacing w:after="0" w:line="194" w:lineRule="exact"/>
              <w:rPr>
                <w:sz w:val="20"/>
                <w:szCs w:val="20"/>
                <w:color w:val="auto"/>
              </w:rPr>
            </w:pPr>
            <w:r>
              <w:rPr>
                <w:rFonts w:ascii="Times New Roman" w:cs="Times New Roman" w:eastAsia="Times New Roman" w:hAnsi="Times New Roman"/>
                <w:sz w:val="20"/>
                <w:szCs w:val="20"/>
                <w:color w:val="FF0000"/>
                <w:strike w:val="1"/>
                <w:w w:val="89"/>
              </w:rPr>
              <w:t>86</w:t>
            </w:r>
          </w:p>
        </w:tc>
        <w:tc>
          <w:tcPr>
            <w:tcW w:w="300" w:type="dxa"/>
            <w:vAlign w:val="bottom"/>
            <w:tcBorders>
              <w:top w:val="single" w:sz="8" w:color="0000FF"/>
            </w:tcBorders>
            <w:gridSpan w:val="3"/>
          </w:tcPr>
          <w:p>
            <w:pPr>
              <w:jc w:val="center"/>
              <w:ind w:right="60"/>
              <w:spacing w:after="0" w:line="194" w:lineRule="exact"/>
              <w:rPr>
                <w:sz w:val="20"/>
                <w:szCs w:val="20"/>
                <w:color w:val="auto"/>
              </w:rPr>
            </w:pPr>
            <w:r>
              <w:rPr>
                <w:rFonts w:ascii="Times New Roman" w:cs="Times New Roman" w:eastAsia="Times New Roman" w:hAnsi="Times New Roman"/>
                <w:sz w:val="20"/>
                <w:szCs w:val="20"/>
                <w:color w:val="0000FF"/>
                <w:w w:val="79"/>
              </w:rPr>
              <w:t>103</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FF"/>
            </w:tcBorders>
          </w:tcPr>
          <w:p>
            <w:pPr>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8.3</w:t>
            </w:r>
          </w:p>
        </w:tc>
        <w:tc>
          <w:tcPr>
            <w:tcW w:w="200" w:type="dxa"/>
            <w:vAlign w:val="bottom"/>
          </w:tcPr>
          <w:p>
            <w:pPr>
              <w:spacing w:after="0"/>
              <w:rPr>
                <w:sz w:val="17"/>
                <w:szCs w:val="17"/>
                <w:color w:val="auto"/>
              </w:rPr>
            </w:pPr>
          </w:p>
        </w:tc>
        <w:tc>
          <w:tcPr>
            <w:tcW w:w="940" w:type="dxa"/>
            <w:vAlign w:val="bottom"/>
            <w:tcBorders>
              <w:top w:val="single" w:sz="8" w:color="0000FF"/>
            </w:tcBorders>
            <w:gridSpan w:val="9"/>
          </w:tcPr>
          <w:p>
            <w:pPr>
              <w:spacing w:after="0" w:line="207" w:lineRule="exact"/>
              <w:rPr>
                <w:sz w:val="20"/>
                <w:szCs w:val="20"/>
                <w:color w:val="auto"/>
              </w:rPr>
            </w:pPr>
            <w:r>
              <w:rPr>
                <w:rFonts w:ascii="Times New Roman" w:cs="Times New Roman" w:eastAsia="Times New Roman" w:hAnsi="Times New Roman"/>
                <w:sz w:val="20"/>
                <w:szCs w:val="20"/>
                <w:color w:val="0000FF"/>
              </w:rPr>
              <w:t>Register.</w:t>
            </w:r>
          </w:p>
        </w:tc>
        <w:tc>
          <w:tcPr>
            <w:tcW w:w="200" w:type="dxa"/>
            <w:vAlign w:val="bottom"/>
            <w:tcBorders>
              <w:top w:val="single" w:sz="8" w:color="0000FF"/>
            </w:tcBorders>
            <w:gridSpan w:val="3"/>
          </w:tcPr>
          <w:p>
            <w:pPr>
              <w:spacing w:after="0" w:line="207" w:lineRule="exact"/>
              <w:rPr>
                <w:sz w:val="20"/>
                <w:szCs w:val="20"/>
                <w:color w:val="auto"/>
              </w:rPr>
            </w:pPr>
            <w:r>
              <w:rPr>
                <w:rFonts w:ascii="Times New Roman" w:cs="Times New Roman" w:eastAsia="Times New Roman" w:hAnsi="Times New Roman"/>
                <w:sz w:val="20"/>
                <w:szCs w:val="20"/>
                <w:color w:val="FF0000"/>
                <w:strike w:val="1"/>
                <w:w w:val="79"/>
              </w:rPr>
              <w:t>88</w:t>
            </w:r>
          </w:p>
        </w:tc>
        <w:tc>
          <w:tcPr>
            <w:tcW w:w="340" w:type="dxa"/>
            <w:vAlign w:val="bottom"/>
            <w:tcBorders>
              <w:top w:val="single" w:sz="8" w:color="0000FF"/>
            </w:tcBorders>
            <w:gridSpan w:val="5"/>
          </w:tcPr>
          <w:p>
            <w:pPr>
              <w:jc w:val="right"/>
              <w:spacing w:after="0" w:line="207" w:lineRule="exact"/>
              <w:rPr>
                <w:sz w:val="20"/>
                <w:szCs w:val="20"/>
                <w:color w:val="auto"/>
              </w:rPr>
            </w:pPr>
            <w:r>
              <w:rPr>
                <w:rFonts w:ascii="Times New Roman" w:cs="Times New Roman" w:eastAsia="Times New Roman" w:hAnsi="Times New Roman"/>
                <w:sz w:val="20"/>
                <w:szCs w:val="20"/>
                <w:color w:val="0000FF"/>
                <w:w w:val="73"/>
              </w:rPr>
              <w:t>105</w:t>
            </w: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FF"/>
            </w:tcBorders>
          </w:tcPr>
          <w:p>
            <w:pPr>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8.4</w:t>
            </w:r>
          </w:p>
        </w:tc>
        <w:tc>
          <w:tcPr>
            <w:tcW w:w="200" w:type="dxa"/>
            <w:vAlign w:val="bottom"/>
          </w:tcPr>
          <w:p>
            <w:pPr>
              <w:spacing w:after="0"/>
              <w:rPr>
                <w:sz w:val="17"/>
                <w:szCs w:val="17"/>
                <w:color w:val="auto"/>
              </w:rPr>
            </w:pPr>
          </w:p>
        </w:tc>
        <w:tc>
          <w:tcPr>
            <w:tcW w:w="1140" w:type="dxa"/>
            <w:vAlign w:val="bottom"/>
            <w:tcBorders>
              <w:bottom w:val="single" w:sz="8" w:color="0000FF"/>
            </w:tcBorders>
            <w:gridSpan w:val="12"/>
          </w:tcPr>
          <w:p>
            <w:pPr>
              <w:spacing w:after="0" w:line="207" w:lineRule="exact"/>
              <w:rPr>
                <w:sz w:val="20"/>
                <w:szCs w:val="20"/>
                <w:color w:val="auto"/>
              </w:rPr>
            </w:pPr>
            <w:r>
              <w:rPr>
                <w:rFonts w:ascii="Times New Roman" w:cs="Times New Roman" w:eastAsia="Times New Roman" w:hAnsi="Times New Roman"/>
                <w:sz w:val="20"/>
                <w:szCs w:val="20"/>
                <w:color w:val="0000FF"/>
                <w:w w:val="95"/>
              </w:rPr>
              <w:t>Participations.</w:t>
            </w:r>
          </w:p>
        </w:tc>
        <w:tc>
          <w:tcPr>
            <w:tcW w:w="80" w:type="dxa"/>
            <w:vAlign w:val="bottom"/>
            <w:gridSpan w:val="3"/>
          </w:tcPr>
          <w:p>
            <w:pPr>
              <w:spacing w:after="0"/>
              <w:rPr>
                <w:sz w:val="17"/>
                <w:szCs w:val="17"/>
                <w:color w:val="auto"/>
              </w:rPr>
            </w:pPr>
          </w:p>
        </w:tc>
        <w:tc>
          <w:tcPr>
            <w:tcW w:w="320" w:type="dxa"/>
            <w:vAlign w:val="bottom"/>
            <w:gridSpan w:val="4"/>
          </w:tcPr>
          <w:p>
            <w:pPr>
              <w:jc w:val="right"/>
              <w:spacing w:after="0" w:line="207" w:lineRule="exact"/>
              <w:rPr>
                <w:sz w:val="20"/>
                <w:szCs w:val="20"/>
                <w:color w:val="auto"/>
              </w:rPr>
            </w:pPr>
            <w:r>
              <w:rPr>
                <w:rFonts w:ascii="Times New Roman" w:cs="Times New Roman" w:eastAsia="Times New Roman" w:hAnsi="Times New Roman"/>
                <w:sz w:val="20"/>
                <w:szCs w:val="20"/>
                <w:color w:val="FF0000"/>
                <w:strike w:val="1"/>
              </w:rPr>
              <w:t>88</w:t>
            </w:r>
          </w:p>
        </w:tc>
        <w:tc>
          <w:tcPr>
            <w:tcW w:w="300" w:type="dxa"/>
            <w:vAlign w:val="bottom"/>
            <w:tcBorders>
              <w:bottom w:val="single" w:sz="8" w:color="0000FF"/>
            </w:tcBorders>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0000FF"/>
                <w:w w:val="93"/>
              </w:rPr>
              <w:t>105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9"/>
              </w:rPr>
              <w:t>89</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106</w:t>
            </w:r>
          </w:p>
        </w:tc>
        <w:tc>
          <w:tcPr>
            <w:tcW w:w="0" w:type="dxa"/>
            <w:vAlign w:val="bottom"/>
          </w:tcPr>
          <w:p>
            <w:pPr>
              <w:spacing w:after="0"/>
              <w:rPr>
                <w:sz w:val="1"/>
                <w:szCs w:val="1"/>
                <w:color w:val="auto"/>
              </w:rPr>
            </w:pPr>
          </w:p>
        </w:tc>
      </w:tr>
      <w:tr>
        <w:trPr>
          <w:trHeight w:val="194"/>
        </w:trPr>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1"/>
              </w:rPr>
              <w:t>11.</w:t>
            </w:r>
            <w:r>
              <w:rPr>
                <w:rFonts w:ascii="Times New Roman" w:cs="Times New Roman" w:eastAsia="Times New Roman" w:hAnsi="Times New Roman"/>
                <w:sz w:val="20"/>
                <w:szCs w:val="20"/>
                <w:u w:val="single" w:color="auto"/>
                <w:color w:val="0000FF"/>
                <w:w w:val="91"/>
              </w:rPr>
              <w:t>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8.5</w:t>
            </w:r>
          </w:p>
        </w:tc>
        <w:tc>
          <w:tcPr>
            <w:tcW w:w="200" w:type="dxa"/>
            <w:vAlign w:val="bottom"/>
          </w:tcPr>
          <w:p>
            <w:pPr>
              <w:spacing w:after="0"/>
              <w:rPr>
                <w:sz w:val="16"/>
                <w:szCs w:val="16"/>
                <w:color w:val="auto"/>
              </w:rPr>
            </w:pPr>
          </w:p>
        </w:tc>
        <w:tc>
          <w:tcPr>
            <w:tcW w:w="114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20"/>
                <w:szCs w:val="20"/>
                <w:color w:val="0000FF"/>
                <w:w w:val="83"/>
              </w:rPr>
              <w:t>Certain Pledges;</w:t>
            </w:r>
          </w:p>
        </w:tc>
        <w:tc>
          <w:tcPr>
            <w:tcW w:w="4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140" w:type="dxa"/>
            <w:vAlign w:val="bottom"/>
            <w:tcBorders>
              <w:bottom w:val="single" w:sz="8" w:color="0000FF"/>
            </w:tcBorders>
          </w:tcPr>
          <w:p>
            <w:pPr>
              <w:spacing w:after="0"/>
              <w:rPr>
                <w:sz w:val="16"/>
                <w:szCs w:val="16"/>
                <w:color w:val="auto"/>
              </w:rPr>
            </w:pPr>
          </w:p>
        </w:tc>
        <w:tc>
          <w:tcPr>
            <w:tcW w:w="120" w:type="dxa"/>
            <w:vAlign w:val="bottom"/>
            <w:tcBorders>
              <w:bottom w:val="single" w:sz="8" w:color="0000FF"/>
            </w:tcBorders>
          </w:tcPr>
          <w:p>
            <w:pPr>
              <w:spacing w:after="0"/>
              <w:rPr>
                <w:sz w:val="16"/>
                <w:szCs w:val="16"/>
                <w:color w:val="auto"/>
              </w:rPr>
            </w:pPr>
          </w:p>
        </w:tc>
        <w:tc>
          <w:tcPr>
            <w:tcW w:w="4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600" w:type="dxa"/>
            <w:vAlign w:val="bottom"/>
            <w:tcBorders>
              <w:bottom w:val="single" w:sz="8" w:color="0000FF"/>
            </w:tcBorders>
            <w:gridSpan w:val="27"/>
          </w:tcPr>
          <w:p>
            <w:pPr>
              <w:jc w:val="center"/>
              <w:spacing w:after="0" w:line="194" w:lineRule="exact"/>
              <w:rPr>
                <w:sz w:val="20"/>
                <w:szCs w:val="20"/>
                <w:color w:val="auto"/>
              </w:rPr>
            </w:pPr>
            <w:r>
              <w:rPr>
                <w:rFonts w:ascii="Times New Roman" w:cs="Times New Roman" w:eastAsia="Times New Roman" w:hAnsi="Times New Roman"/>
                <w:sz w:val="20"/>
                <w:szCs w:val="20"/>
                <w:color w:val="0000FF"/>
                <w:w w:val="93"/>
              </w:rPr>
              <w:t>Successors and Assigns Generally.</w:t>
            </w:r>
          </w:p>
        </w:tc>
        <w:tc>
          <w:tcPr>
            <w:tcW w:w="1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30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 w:type="dxa"/>
            <w:vAlign w:val="bottom"/>
            <w:tcBorders>
              <w:bottom w:val="single" w:sz="8" w:color="0000FF"/>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0000FF"/>
            </w:tcBorders>
          </w:tcPr>
          <w:p>
            <w:pPr>
              <w:spacing w:after="0"/>
              <w:rPr>
                <w:sz w:val="17"/>
                <w:szCs w:val="17"/>
                <w:color w:val="auto"/>
              </w:rPr>
            </w:pPr>
          </w:p>
        </w:tc>
        <w:tc>
          <w:tcPr>
            <w:tcW w:w="1180" w:type="dxa"/>
            <w:vAlign w:val="bottom"/>
            <w:tcBorders>
              <w:bottom w:val="single" w:sz="8" w:color="0000FF"/>
            </w:tcBorders>
            <w:gridSpan w:val="6"/>
          </w:tcPr>
          <w:p>
            <w:pPr>
              <w:spacing w:after="0" w:line="207" w:lineRule="exact"/>
              <w:rPr>
                <w:sz w:val="20"/>
                <w:szCs w:val="20"/>
                <w:color w:val="auto"/>
              </w:rPr>
            </w:pPr>
            <w:r>
              <w:rPr>
                <w:rFonts w:ascii="Times New Roman" w:cs="Times New Roman" w:eastAsia="Times New Roman" w:hAnsi="Times New Roman"/>
                <w:sz w:val="20"/>
                <w:szCs w:val="20"/>
                <w:color w:val="0000FF"/>
                <w:w w:val="91"/>
              </w:rPr>
              <w:t>Confidentiality.</w:t>
            </w:r>
          </w:p>
        </w:tc>
        <w:tc>
          <w:tcPr>
            <w:tcW w:w="180" w:type="dxa"/>
            <w:vAlign w:val="bottom"/>
          </w:tcPr>
          <w:p>
            <w:pPr>
              <w:spacing w:after="0"/>
              <w:rPr>
                <w:sz w:val="17"/>
                <w:szCs w:val="17"/>
                <w:color w:val="auto"/>
              </w:rPr>
            </w:pPr>
          </w:p>
        </w:tc>
        <w:tc>
          <w:tcPr>
            <w:tcW w:w="28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20"/>
                <w:szCs w:val="20"/>
                <w:color w:val="FF0000"/>
                <w:strike w:val="1"/>
              </w:rPr>
              <w:t>89</w:t>
            </w:r>
          </w:p>
        </w:tc>
        <w:tc>
          <w:tcPr>
            <w:tcW w:w="260" w:type="dxa"/>
            <w:vAlign w:val="bottom"/>
            <w:tcBorders>
              <w:bottom w:val="single" w:sz="8" w:color="0000FF"/>
            </w:tcBorders>
            <w:gridSpan w:val="5"/>
          </w:tcPr>
          <w:p>
            <w:pPr>
              <w:spacing w:after="0" w:line="207" w:lineRule="exact"/>
              <w:rPr>
                <w:sz w:val="20"/>
                <w:szCs w:val="20"/>
                <w:color w:val="auto"/>
              </w:rPr>
            </w:pPr>
            <w:r>
              <w:rPr>
                <w:rFonts w:ascii="Times New Roman" w:cs="Times New Roman" w:eastAsia="Times New Roman" w:hAnsi="Times New Roman"/>
                <w:sz w:val="20"/>
                <w:szCs w:val="20"/>
                <w:color w:val="0000FF"/>
                <w:w w:val="79"/>
              </w:rPr>
              <w:t>106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9.1</w:t>
            </w:r>
          </w:p>
        </w:tc>
        <w:tc>
          <w:tcPr>
            <w:tcW w:w="200" w:type="dxa"/>
            <w:vAlign w:val="bottom"/>
          </w:tcPr>
          <w:p>
            <w:pPr>
              <w:spacing w:after="0"/>
              <w:rPr>
                <w:sz w:val="17"/>
                <w:szCs w:val="17"/>
                <w:color w:val="auto"/>
              </w:rPr>
            </w:pPr>
          </w:p>
        </w:tc>
        <w:tc>
          <w:tcPr>
            <w:tcW w:w="940" w:type="dxa"/>
            <w:vAlign w:val="bottom"/>
            <w:gridSpan w:val="9"/>
          </w:tcPr>
          <w:p>
            <w:pPr>
              <w:spacing w:after="0" w:line="207" w:lineRule="exact"/>
              <w:rPr>
                <w:sz w:val="20"/>
                <w:szCs w:val="20"/>
                <w:color w:val="auto"/>
              </w:rPr>
            </w:pPr>
            <w:r>
              <w:rPr>
                <w:rFonts w:ascii="Times New Roman" w:cs="Times New Roman" w:eastAsia="Times New Roman" w:hAnsi="Times New Roman"/>
                <w:sz w:val="20"/>
                <w:szCs w:val="20"/>
                <w:color w:val="0000FF"/>
              </w:rPr>
              <w:t>General.</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FF0000"/>
                <w:strike w:val="1"/>
                <w:w w:val="71"/>
              </w:rPr>
              <w:t>89</w:t>
            </w:r>
          </w:p>
        </w:tc>
        <w:tc>
          <w:tcPr>
            <w:tcW w:w="300" w:type="dxa"/>
            <w:vAlign w:val="bottom"/>
            <w:gridSpan w:val="5"/>
          </w:tcPr>
          <w:p>
            <w:pPr>
              <w:jc w:val="right"/>
              <w:spacing w:after="0" w:line="207" w:lineRule="exact"/>
              <w:rPr>
                <w:sz w:val="20"/>
                <w:szCs w:val="20"/>
                <w:color w:val="auto"/>
              </w:rPr>
            </w:pPr>
            <w:r>
              <w:rPr>
                <w:rFonts w:ascii="Times New Roman" w:cs="Times New Roman" w:eastAsia="Times New Roman" w:hAnsi="Times New Roman"/>
                <w:sz w:val="20"/>
                <w:szCs w:val="20"/>
                <w:color w:val="0000FF"/>
                <w:w w:val="93"/>
              </w:rPr>
              <w:t>106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9"/>
              </w:rPr>
              <w:t>90</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107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2760" w:type="dxa"/>
            <w:vAlign w:val="bottom"/>
            <w:gridSpan w:val="2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line="194" w:lineRule="exact"/>
              <w:rPr>
                <w:sz w:val="20"/>
                <w:szCs w:val="20"/>
                <w:color w:val="auto"/>
              </w:rPr>
            </w:pPr>
            <w:r>
              <w:rPr>
                <w:rFonts w:ascii="Times New Roman" w:cs="Times New Roman" w:eastAsia="Times New Roman" w:hAnsi="Times New Roman"/>
                <w:sz w:val="20"/>
                <w:szCs w:val="20"/>
                <w:color w:val="0000FF"/>
                <w:w w:val="95"/>
              </w:rPr>
              <w:t>11.</w:t>
            </w:r>
            <w:r>
              <w:rPr>
                <w:rFonts w:ascii="Times New Roman" w:cs="Times New Roman" w:eastAsia="Times New Roman" w:hAnsi="Times New Roman"/>
                <w:sz w:val="20"/>
                <w:szCs w:val="20"/>
                <w:u w:val="single" w:color="auto"/>
                <w:color w:val="0000FF"/>
                <w:w w:val="95"/>
              </w:rPr>
              <w:t>9.2</w:t>
            </w:r>
          </w:p>
        </w:tc>
        <w:tc>
          <w:tcPr>
            <w:tcW w:w="200" w:type="dxa"/>
            <w:vAlign w:val="bottom"/>
          </w:tcPr>
          <w:p>
            <w:pPr>
              <w:spacing w:after="0"/>
              <w:rPr>
                <w:sz w:val="16"/>
                <w:szCs w:val="16"/>
                <w:color w:val="auto"/>
              </w:rPr>
            </w:pPr>
          </w:p>
        </w:tc>
        <w:tc>
          <w:tcPr>
            <w:tcW w:w="660" w:type="dxa"/>
            <w:vAlign w:val="bottom"/>
            <w:gridSpan w:val="5"/>
          </w:tcPr>
          <w:p>
            <w:pPr>
              <w:spacing w:after="0" w:line="194" w:lineRule="exact"/>
              <w:rPr>
                <w:sz w:val="20"/>
                <w:szCs w:val="20"/>
                <w:color w:val="auto"/>
              </w:rPr>
            </w:pPr>
            <w:r>
              <w:rPr>
                <w:rFonts w:ascii="Times New Roman" w:cs="Times New Roman" w:eastAsia="Times New Roman" w:hAnsi="Times New Roman"/>
                <w:sz w:val="20"/>
                <w:szCs w:val="20"/>
                <w:color w:val="0000FF"/>
                <w:w w:val="99"/>
              </w:rPr>
              <w:t>Sharing</w:t>
            </w:r>
          </w:p>
        </w:tc>
        <w:tc>
          <w:tcPr>
            <w:tcW w:w="3480" w:type="dxa"/>
            <w:vAlign w:val="bottom"/>
            <w:gridSpan w:val="41"/>
          </w:tcPr>
          <w:p>
            <w:pPr>
              <w:spacing w:after="0" w:line="194" w:lineRule="exact"/>
              <w:rPr>
                <w:sz w:val="20"/>
                <w:szCs w:val="20"/>
                <w:color w:val="auto"/>
              </w:rPr>
            </w:pPr>
            <w:r>
              <w:rPr>
                <w:rFonts w:ascii="Times New Roman" w:cs="Times New Roman" w:eastAsia="Times New Roman" w:hAnsi="Times New Roman"/>
                <w:sz w:val="20"/>
                <w:szCs w:val="20"/>
                <w:color w:val="0000FF"/>
                <w:w w:val="99"/>
              </w:rPr>
              <w:t>Information With Affiliates of the Lenders.</w:t>
            </w:r>
          </w:p>
        </w:tc>
        <w:tc>
          <w:tcPr>
            <w:tcW w:w="1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spacing w:after="0"/>
        <w:tabs>
          <w:tab w:leader="none" w:pos="1200" w:val="left"/>
          <w:tab w:leader="none" w:pos="4660" w:val="left"/>
        </w:tabs>
        <w:rPr>
          <w:sz w:val="20"/>
          <w:szCs w:val="20"/>
          <w:color w:val="auto"/>
        </w:rPr>
      </w:pPr>
      <w:r>
        <w:rPr>
          <w:rFonts w:ascii="Times New Roman" w:cs="Times New Roman" w:eastAsia="Times New Roman" w:hAnsi="Times New Roman"/>
          <w:sz w:val="20"/>
          <w:szCs w:val="20"/>
          <w:u w:val="single" w:color="auto"/>
          <w:color w:val="0000FF"/>
        </w:rPr>
        <w:t>11.10</w:t>
        <w:tab/>
        <w:t>Counterparts; Integration; Effectiveness.</w:t>
      </w:r>
      <w:r>
        <w:rPr>
          <w:sz w:val="20"/>
          <w:szCs w:val="20"/>
          <w:color w:val="auto"/>
        </w:rPr>
        <w:tab/>
      </w:r>
      <w:r>
        <w:rPr>
          <w:rFonts w:ascii="Times New Roman" w:cs="Times New Roman" w:eastAsia="Times New Roman" w:hAnsi="Times New Roman"/>
          <w:sz w:val="20"/>
          <w:szCs w:val="20"/>
          <w:color w:val="FF0000"/>
          <w:strike w:val="1"/>
        </w:rPr>
        <w:t>91</w:t>
      </w:r>
      <w:r>
        <w:rPr>
          <w:rFonts w:ascii="Times New Roman" w:cs="Times New Roman" w:eastAsia="Times New Roman" w:hAnsi="Times New Roman"/>
          <w:sz w:val="20"/>
          <w:szCs w:val="20"/>
          <w:u w:val="single" w:color="auto"/>
          <w:color w:val="0000FF"/>
          <w:strike w:val="1"/>
        </w:rPr>
        <w:t>107</w:t>
      </w:r>
    </w:p>
    <w:p>
      <w:pPr>
        <w:spacing w:after="0" w:line="2" w:lineRule="exact"/>
        <w:rPr>
          <w:sz w:val="20"/>
          <w:szCs w:val="20"/>
          <w:color w:val="auto"/>
        </w:rPr>
      </w:pPr>
    </w:p>
    <w:p>
      <w:pPr>
        <w:ind w:left="600"/>
        <w:spacing w:after="0"/>
        <w:tabs>
          <w:tab w:leader="none" w:pos="1200" w:val="left"/>
        </w:tabs>
        <w:rPr>
          <w:sz w:val="20"/>
          <w:szCs w:val="20"/>
          <w:color w:val="auto"/>
        </w:rPr>
      </w:pPr>
      <w:r>
        <w:rPr>
          <w:rFonts w:ascii="Times New Roman" w:cs="Times New Roman" w:eastAsia="Times New Roman" w:hAnsi="Times New Roman"/>
          <w:sz w:val="20"/>
          <w:szCs w:val="20"/>
          <w:u w:val="single" w:color="auto"/>
          <w:color w:val="0000FF"/>
        </w:rPr>
        <w:t>11.11</w:t>
      </w:r>
      <w:r>
        <w:rPr>
          <w:sz w:val="20"/>
          <w:szCs w:val="20"/>
          <w:color w:val="auto"/>
        </w:rPr>
        <w:tab/>
      </w:r>
      <w:r>
        <w:rPr>
          <w:rFonts w:ascii="Times New Roman" w:cs="Times New Roman" w:eastAsia="Times New Roman" w:hAnsi="Times New Roman"/>
          <w:sz w:val="19"/>
          <w:szCs w:val="19"/>
          <w:u w:val="single" w:color="auto"/>
          <w:color w:val="0000FF"/>
        </w:rPr>
        <w:t>CHOICE OF LAW; SUBMISSION TO JURISDICTION; WAIVER OF VENUE; SERVICE OF PROCESS;</w:t>
      </w:r>
    </w:p>
    <w:p>
      <w:pPr>
        <w:ind w:left="1200"/>
        <w:spacing w:after="0" w:line="221" w:lineRule="auto"/>
        <w:tabs>
          <w:tab w:leader="none" w:pos="3720" w:val="left"/>
        </w:tabs>
        <w:rPr>
          <w:sz w:val="20"/>
          <w:szCs w:val="20"/>
          <w:color w:val="auto"/>
        </w:rPr>
      </w:pPr>
      <w:r>
        <w:rPr>
          <w:rFonts w:ascii="Times New Roman" w:cs="Times New Roman" w:eastAsia="Times New Roman" w:hAnsi="Times New Roman"/>
          <w:sz w:val="20"/>
          <w:szCs w:val="20"/>
          <w:u w:val="single" w:color="auto"/>
          <w:color w:val="0000FF"/>
        </w:rPr>
        <w:t>WAIVER OF JURY TRIAL.</w:t>
      </w:r>
      <w:r>
        <w:rPr>
          <w:sz w:val="20"/>
          <w:szCs w:val="20"/>
          <w:color w:val="auto"/>
        </w:rPr>
        <w:tab/>
      </w:r>
      <w:r>
        <w:rPr>
          <w:rFonts w:ascii="Times New Roman" w:cs="Times New Roman" w:eastAsia="Times New Roman" w:hAnsi="Times New Roman"/>
          <w:sz w:val="19"/>
          <w:szCs w:val="19"/>
          <w:color w:val="FF0000"/>
          <w:strike w:val="1"/>
        </w:rPr>
        <w:t>91</w:t>
      </w:r>
      <w:r>
        <w:rPr>
          <w:rFonts w:ascii="Times New Roman" w:cs="Times New Roman" w:eastAsia="Times New Roman" w:hAnsi="Times New Roman"/>
          <w:sz w:val="19"/>
          <w:szCs w:val="19"/>
          <w:u w:val="single" w:color="auto"/>
          <w:color w:val="0000FF"/>
          <w:strike w:val="1"/>
        </w:rPr>
        <w:t>107</w:t>
      </w:r>
    </w:p>
    <w:p>
      <w:pPr>
        <w:ind w:left="1200"/>
        <w:spacing w:after="0"/>
        <w:tabs>
          <w:tab w:leader="none" w:pos="1940" w:val="left"/>
          <w:tab w:leader="none" w:pos="3460" w:val="left"/>
        </w:tabs>
        <w:rPr>
          <w:sz w:val="20"/>
          <w:szCs w:val="20"/>
          <w:color w:val="auto"/>
        </w:rPr>
      </w:pPr>
      <w:r>
        <w:rPr>
          <w:rFonts w:ascii="Times New Roman" w:cs="Times New Roman" w:eastAsia="Times New Roman" w:hAnsi="Times New Roman"/>
          <w:sz w:val="20"/>
          <w:szCs w:val="20"/>
          <w:u w:val="single" w:color="auto"/>
          <w:color w:val="0000FF"/>
        </w:rPr>
        <w:t>11.11.1</w:t>
        <w:tab/>
        <w:t>Governing Law.</w:t>
      </w:r>
      <w:r>
        <w:rPr>
          <w:sz w:val="20"/>
          <w:szCs w:val="20"/>
          <w:color w:val="auto"/>
        </w:rPr>
        <w:tab/>
      </w:r>
      <w:r>
        <w:rPr>
          <w:rFonts w:ascii="Times New Roman" w:cs="Times New Roman" w:eastAsia="Times New Roman" w:hAnsi="Times New Roman"/>
          <w:sz w:val="19"/>
          <w:szCs w:val="19"/>
          <w:color w:val="FF0000"/>
          <w:strike w:val="1"/>
        </w:rPr>
        <w:t>91</w:t>
      </w:r>
      <w:r>
        <w:rPr>
          <w:rFonts w:ascii="Times New Roman" w:cs="Times New Roman" w:eastAsia="Times New Roman" w:hAnsi="Times New Roman"/>
          <w:sz w:val="19"/>
          <w:szCs w:val="19"/>
          <w:u w:val="single" w:color="auto"/>
          <w:color w:val="0000FF"/>
          <w:strike w:val="1"/>
        </w:rPr>
        <w:t>107</w:t>
      </w:r>
    </w:p>
    <w:p>
      <w:pPr>
        <w:ind w:left="1200"/>
        <w:spacing w:after="0" w:line="236" w:lineRule="auto"/>
        <w:tabs>
          <w:tab w:leader="none" w:pos="1940" w:val="left"/>
          <w:tab w:leader="none" w:pos="5140" w:val="left"/>
        </w:tabs>
        <w:rPr>
          <w:sz w:val="20"/>
          <w:szCs w:val="20"/>
          <w:color w:val="auto"/>
        </w:rPr>
      </w:pPr>
      <w:r>
        <w:rPr>
          <w:rFonts w:ascii="Times New Roman" w:cs="Times New Roman" w:eastAsia="Times New Roman" w:hAnsi="Times New Roman"/>
          <w:sz w:val="20"/>
          <w:szCs w:val="20"/>
          <w:u w:val="single" w:color="auto"/>
          <w:color w:val="0000FF"/>
        </w:rPr>
        <w:t>11.11.2</w:t>
        <w:tab/>
        <w:t>SUBMISSION TO JURISDICTION.</w:t>
      </w:r>
      <w:r>
        <w:rPr>
          <w:sz w:val="20"/>
          <w:szCs w:val="20"/>
          <w:color w:val="auto"/>
        </w:rPr>
        <w:tab/>
      </w:r>
      <w:r>
        <w:rPr>
          <w:rFonts w:ascii="Times New Roman" w:cs="Times New Roman" w:eastAsia="Times New Roman" w:hAnsi="Times New Roman"/>
          <w:sz w:val="20"/>
          <w:szCs w:val="20"/>
          <w:color w:val="FF0000"/>
          <w:strike w:val="1"/>
        </w:rPr>
        <w:t>91</w:t>
      </w:r>
      <w:r>
        <w:rPr>
          <w:rFonts w:ascii="Times New Roman" w:cs="Times New Roman" w:eastAsia="Times New Roman" w:hAnsi="Times New Roman"/>
          <w:sz w:val="20"/>
          <w:szCs w:val="20"/>
          <w:u w:val="single" w:color="auto"/>
          <w:color w:val="0000FF"/>
          <w:strike w:val="1"/>
        </w:rPr>
        <w:t>108</w:t>
      </w:r>
    </w:p>
    <w:p>
      <w:pPr>
        <w:ind w:left="1200"/>
        <w:spacing w:after="0" w:line="235" w:lineRule="auto"/>
        <w:tabs>
          <w:tab w:leader="none" w:pos="1940" w:val="left"/>
          <w:tab w:leader="none" w:pos="4020" w:val="left"/>
        </w:tabs>
        <w:rPr>
          <w:sz w:val="20"/>
          <w:szCs w:val="20"/>
          <w:color w:val="auto"/>
        </w:rPr>
      </w:pPr>
      <w:r>
        <w:rPr>
          <w:rFonts w:ascii="Times New Roman" w:cs="Times New Roman" w:eastAsia="Times New Roman" w:hAnsi="Times New Roman"/>
          <w:sz w:val="20"/>
          <w:szCs w:val="20"/>
          <w:u w:val="single" w:color="auto"/>
          <w:color w:val="0000FF"/>
        </w:rPr>
        <w:t>11.11.3</w:t>
        <w:tab/>
        <w:t>WAIVER OF VENUE.</w:t>
      </w:r>
      <w:r>
        <w:rPr>
          <w:sz w:val="20"/>
          <w:szCs w:val="20"/>
          <w:color w:val="auto"/>
        </w:rPr>
        <w:tab/>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u w:val="single" w:color="auto"/>
          <w:color w:val="0000FF"/>
          <w:strike w:val="1"/>
        </w:rPr>
        <w:t>108</w:t>
      </w:r>
    </w:p>
    <w:p>
      <w:pPr>
        <w:ind w:left="1200"/>
        <w:spacing w:after="0"/>
        <w:tabs>
          <w:tab w:leader="none" w:pos="1940" w:val="left"/>
          <w:tab w:leader="none" w:pos="4260" w:val="left"/>
        </w:tabs>
        <w:rPr>
          <w:sz w:val="20"/>
          <w:szCs w:val="20"/>
          <w:color w:val="auto"/>
        </w:rPr>
      </w:pPr>
      <w:r>
        <w:rPr>
          <w:rFonts w:ascii="Times New Roman" w:cs="Times New Roman" w:eastAsia="Times New Roman" w:hAnsi="Times New Roman"/>
          <w:sz w:val="20"/>
          <w:szCs w:val="20"/>
          <w:u w:val="single" w:color="auto"/>
          <w:color w:val="0000FF"/>
        </w:rPr>
        <w:t>11.11.4</w:t>
        <w:tab/>
        <w:t>SERVICE OF PROCESS.</w:t>
      </w:r>
      <w:r>
        <w:rPr>
          <w:sz w:val="20"/>
          <w:szCs w:val="20"/>
          <w:color w:val="auto"/>
        </w:rPr>
        <w:tab/>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u w:val="single" w:color="auto"/>
          <w:color w:val="0000FF"/>
          <w:strike w:val="1"/>
        </w:rPr>
        <w:t>108</w:t>
      </w:r>
    </w:p>
    <w:p>
      <w:pPr>
        <w:ind w:left="1200"/>
        <w:spacing w:after="0"/>
        <w:tabs>
          <w:tab w:leader="none" w:pos="1940" w:val="left"/>
          <w:tab w:leader="none" w:pos="4480" w:val="left"/>
        </w:tabs>
        <w:rPr>
          <w:sz w:val="20"/>
          <w:szCs w:val="20"/>
          <w:color w:val="auto"/>
        </w:rPr>
      </w:pPr>
      <w:r>
        <w:rPr>
          <w:rFonts w:ascii="Times New Roman" w:cs="Times New Roman" w:eastAsia="Times New Roman" w:hAnsi="Times New Roman"/>
          <w:sz w:val="20"/>
          <w:szCs w:val="20"/>
          <w:u w:val="single" w:color="auto"/>
          <w:color w:val="0000FF"/>
        </w:rPr>
        <w:t>11.11.5</w:t>
        <w:tab/>
        <w:t>WAIVER OF JURY TRIAL.</w:t>
      </w:r>
      <w:r>
        <w:rPr>
          <w:sz w:val="20"/>
          <w:szCs w:val="20"/>
          <w:color w:val="auto"/>
        </w:rPr>
        <w:tab/>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u w:val="single" w:color="auto"/>
          <w:color w:val="0000FF"/>
          <w:strike w:val="1"/>
        </w:rPr>
        <w:t>109</w:t>
      </w:r>
    </w:p>
    <w:p>
      <w:pPr>
        <w:ind w:left="600"/>
        <w:spacing w:after="0" w:line="223" w:lineRule="auto"/>
        <w:tabs>
          <w:tab w:leader="none" w:pos="1200" w:val="left"/>
          <w:tab w:leader="none" w:pos="3360" w:val="left"/>
        </w:tabs>
        <w:rPr>
          <w:sz w:val="20"/>
          <w:szCs w:val="20"/>
          <w:color w:val="auto"/>
        </w:rPr>
      </w:pPr>
      <w:r>
        <w:rPr>
          <w:rFonts w:ascii="Times New Roman" w:cs="Times New Roman" w:eastAsia="Times New Roman" w:hAnsi="Times New Roman"/>
          <w:sz w:val="20"/>
          <w:szCs w:val="20"/>
          <w:u w:val="single" w:color="auto"/>
          <w:color w:val="0000FF"/>
        </w:rPr>
        <w:t>11.12</w:t>
        <w:tab/>
        <w:t>USA Patriot Act Notice.</w:t>
      </w:r>
      <w:r>
        <w:rPr>
          <w:sz w:val="20"/>
          <w:szCs w:val="20"/>
          <w:color w:val="auto"/>
        </w:rPr>
        <w:tab/>
      </w:r>
      <w:r>
        <w:rPr>
          <w:rFonts w:ascii="Times New Roman" w:cs="Times New Roman" w:eastAsia="Times New Roman" w:hAnsi="Times New Roman"/>
          <w:sz w:val="20"/>
          <w:szCs w:val="20"/>
          <w:color w:val="FF0000"/>
          <w:strike w:val="1"/>
        </w:rPr>
        <w:t>92</w:t>
      </w:r>
      <w:r>
        <w:rPr>
          <w:rFonts w:ascii="Times New Roman" w:cs="Times New Roman" w:eastAsia="Times New Roman" w:hAnsi="Times New Roman"/>
          <w:sz w:val="20"/>
          <w:szCs w:val="20"/>
          <w:u w:val="single" w:color="auto"/>
          <w:color w:val="0000FF"/>
          <w:strike w:val="1"/>
        </w:rPr>
        <w:t>109</w:t>
      </w:r>
    </w:p>
    <w:p>
      <w:pPr>
        <w:ind w:left="600"/>
        <w:spacing w:after="0"/>
        <w:tabs>
          <w:tab w:leader="none" w:pos="1200" w:val="left"/>
          <w:tab w:leader="none" w:pos="7960" w:val="left"/>
        </w:tabs>
        <w:rPr>
          <w:sz w:val="20"/>
          <w:szCs w:val="20"/>
          <w:color w:val="auto"/>
        </w:rPr>
      </w:pPr>
      <w:r>
        <w:rPr>
          <w:rFonts w:ascii="Times New Roman" w:cs="Times New Roman" w:eastAsia="Times New Roman" w:hAnsi="Times New Roman"/>
          <w:sz w:val="20"/>
          <w:szCs w:val="20"/>
          <w:u w:val="single" w:color="auto"/>
          <w:color w:val="0000FF"/>
        </w:rPr>
        <w:t>11.13</w:t>
        <w:tab/>
        <w:t xml:space="preserve">Acknowledgement and Consent to Bail-In of </w:t>
      </w:r>
      <w:r>
        <w:rPr>
          <w:rFonts w:ascii="Times New Roman" w:cs="Times New Roman" w:eastAsia="Times New Roman" w:hAnsi="Times New Roman"/>
          <w:sz w:val="20"/>
          <w:szCs w:val="20"/>
          <w:color w:val="FF0000"/>
          <w:strike w:val="1"/>
        </w:rPr>
        <w:t>EEA</w:t>
      </w:r>
      <w:r>
        <w:rPr>
          <w:rFonts w:ascii="Times New Roman" w:cs="Times New Roman" w:eastAsia="Times New Roman" w:hAnsi="Times New Roman"/>
          <w:sz w:val="20"/>
          <w:szCs w:val="20"/>
          <w:u w:val="single" w:color="auto"/>
          <w:color w:val="0000FF"/>
        </w:rPr>
        <w:t>Affected Financial Institutions.</w:t>
      </w:r>
      <w:r>
        <w:rPr>
          <w:sz w:val="20"/>
          <w:szCs w:val="20"/>
          <w:color w:val="auto"/>
        </w:rPr>
        <w:tab/>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u w:val="single" w:color="auto"/>
          <w:color w:val="0000FF"/>
          <w:strike w:val="1"/>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480"/>
          </w:cols>
          <w:pgMar w:left="320" w:top="1440" w:right="1099" w:bottom="1440" w:gutter="0" w:footer="0" w:header="0"/>
        </w:sectPr>
      </w:pPr>
    </w:p>
    <w:bookmarkStart w:id="92" w:name="page93"/>
    <w:bookmarkEnd w:id="92"/>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20" w:type="dxa"/>
            <w:vAlign w:val="bottom"/>
          </w:tcPr>
          <w:p>
            <w:pPr>
              <w:ind w:left="1900"/>
              <w:spacing w:after="0"/>
              <w:rPr>
                <w:sz w:val="20"/>
                <w:szCs w:val="20"/>
                <w:color w:val="auto"/>
              </w:rPr>
            </w:pPr>
            <w:r>
              <w:rPr>
                <w:rFonts w:ascii="Times New Roman" w:cs="Times New Roman" w:eastAsia="Times New Roman" w:hAnsi="Times New Roman"/>
                <w:sz w:val="20"/>
                <w:szCs w:val="20"/>
                <w:b w:val="1"/>
                <w:bCs w:val="1"/>
                <w:color w:val="auto"/>
              </w:rPr>
              <w:t>LIST OF SCHEDULES AND EXHIBITS</w:t>
            </w:r>
          </w:p>
        </w:tc>
        <w:tc>
          <w:tcPr>
            <w:tcW w:w="0" w:type="dxa"/>
            <w:vAlign w:val="bottom"/>
          </w:tcPr>
          <w:p>
            <w:pPr>
              <w:spacing w:after="0"/>
              <w:rPr>
                <w:sz w:val="1"/>
                <w:szCs w:val="1"/>
                <w:color w:val="auto"/>
              </w:rPr>
            </w:pPr>
          </w:p>
        </w:tc>
      </w:tr>
      <w:tr>
        <w:trPr>
          <w:trHeight w:val="355"/>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9"/>
              </w:rPr>
              <w:t>SCHEDULES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1.1(A)</w:t>
            </w:r>
          </w:p>
        </w:tc>
        <w:tc>
          <w:tcPr>
            <w:tcW w:w="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PRICING GRID</w:t>
            </w:r>
          </w:p>
        </w:tc>
        <w:tc>
          <w:tcPr>
            <w:tcW w:w="0" w:type="dxa"/>
            <w:vAlign w:val="bottom"/>
          </w:tcPr>
          <w:p>
            <w:pPr>
              <w:spacing w:after="0"/>
              <w:rPr>
                <w:sz w:val="1"/>
                <w:szCs w:val="1"/>
                <w:color w:val="auto"/>
              </w:rPr>
            </w:pPr>
          </w:p>
        </w:tc>
      </w:tr>
      <w:tr>
        <w:trPr>
          <w:trHeight w:val="201"/>
        </w:trPr>
        <w:tc>
          <w:tcPr>
            <w:tcW w:w="1680" w:type="dxa"/>
            <w:vAlign w:val="bottom"/>
            <w:gridSpan w:val="4"/>
          </w:tcPr>
          <w:p>
            <w:pPr>
              <w:spacing w:after="0" w:line="202" w:lineRule="exact"/>
              <w:rPr>
                <w:sz w:val="20"/>
                <w:szCs w:val="20"/>
                <w:color w:val="auto"/>
              </w:rPr>
            </w:pPr>
            <w:r>
              <w:rPr>
                <w:rFonts w:ascii="Times New Roman" w:cs="Times New Roman" w:eastAsia="Times New Roman" w:hAnsi="Times New Roman"/>
                <w:sz w:val="20"/>
                <w:szCs w:val="20"/>
                <w:color w:val="auto"/>
              </w:rPr>
              <w:t>SCHEDULE 1.1(B)</w:t>
            </w:r>
          </w:p>
        </w:tc>
        <w:tc>
          <w:tcPr>
            <w:tcW w:w="94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20"/>
                <w:szCs w:val="20"/>
                <w:color w:val="auto"/>
              </w:rPr>
              <w:t>-  COMMITMENTS OF LENDERS AND ADDRESSES FOR NOTICES</w:t>
            </w:r>
          </w:p>
        </w:tc>
        <w:tc>
          <w:tcPr>
            <w:tcW w:w="0" w:type="dxa"/>
            <w:vAlign w:val="bottom"/>
          </w:tcPr>
          <w:p>
            <w:pPr>
              <w:spacing w:after="0"/>
              <w:rPr>
                <w:sz w:val="1"/>
                <w:szCs w:val="1"/>
                <w:color w:val="auto"/>
              </w:rPr>
            </w:pPr>
          </w:p>
        </w:tc>
      </w:tr>
      <w:tr>
        <w:trPr>
          <w:trHeight w:val="201"/>
        </w:trPr>
        <w:tc>
          <w:tcPr>
            <w:tcW w:w="1680" w:type="dxa"/>
            <w:vAlign w:val="bottom"/>
            <w:gridSpan w:val="4"/>
          </w:tcPr>
          <w:p>
            <w:pPr>
              <w:spacing w:after="0" w:line="202" w:lineRule="exact"/>
              <w:rPr>
                <w:sz w:val="20"/>
                <w:szCs w:val="20"/>
                <w:color w:val="auto"/>
              </w:rPr>
            </w:pPr>
            <w:r>
              <w:rPr>
                <w:rFonts w:ascii="Times New Roman" w:cs="Times New Roman" w:eastAsia="Times New Roman" w:hAnsi="Times New Roman"/>
                <w:sz w:val="20"/>
                <w:szCs w:val="20"/>
                <w:color w:val="auto"/>
              </w:rPr>
              <w:t>SCHEDULE 1.1(E)</w:t>
            </w:r>
          </w:p>
        </w:tc>
        <w:tc>
          <w:tcPr>
            <w:tcW w:w="94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20"/>
                <w:szCs w:val="20"/>
                <w:color w:val="auto"/>
              </w:rPr>
              <w:t>-  EXISTING LETTERS OF CREDIT</w:t>
            </w:r>
          </w:p>
        </w:tc>
        <w:tc>
          <w:tcPr>
            <w:tcW w:w="0" w:type="dxa"/>
            <w:vAlign w:val="bottom"/>
          </w:tcPr>
          <w:p>
            <w:pPr>
              <w:spacing w:after="0"/>
              <w:rPr>
                <w:sz w:val="1"/>
                <w:szCs w:val="1"/>
                <w:color w:val="auto"/>
              </w:rPr>
            </w:pPr>
          </w:p>
        </w:tc>
      </w:tr>
      <w:tr>
        <w:trPr>
          <w:trHeight w:val="201"/>
        </w:trPr>
        <w:tc>
          <w:tcPr>
            <w:tcW w:w="1680" w:type="dxa"/>
            <w:vAlign w:val="bottom"/>
            <w:gridSpan w:val="4"/>
          </w:tcPr>
          <w:p>
            <w:pPr>
              <w:spacing w:after="0" w:line="202" w:lineRule="exact"/>
              <w:rPr>
                <w:sz w:val="20"/>
                <w:szCs w:val="20"/>
                <w:color w:val="auto"/>
              </w:rPr>
            </w:pPr>
            <w:r>
              <w:rPr>
                <w:rFonts w:ascii="Times New Roman" w:cs="Times New Roman" w:eastAsia="Times New Roman" w:hAnsi="Times New Roman"/>
                <w:sz w:val="20"/>
                <w:szCs w:val="20"/>
                <w:color w:val="auto"/>
              </w:rPr>
              <w:t>SCHEDULE 1.1(P)</w:t>
            </w:r>
          </w:p>
        </w:tc>
        <w:tc>
          <w:tcPr>
            <w:tcW w:w="260" w:type="dxa"/>
            <w:vAlign w:val="bottom"/>
          </w:tcPr>
          <w:p>
            <w:pPr>
              <w:ind w:left="120"/>
              <w:spacing w:after="0" w:line="202" w:lineRule="exact"/>
              <w:rPr>
                <w:sz w:val="20"/>
                <w:szCs w:val="20"/>
                <w:color w:val="auto"/>
              </w:rPr>
            </w:pPr>
            <w:r>
              <w:rPr>
                <w:rFonts w:ascii="Times New Roman" w:cs="Times New Roman" w:eastAsia="Times New Roman" w:hAnsi="Times New Roman"/>
                <w:sz w:val="20"/>
                <w:szCs w:val="20"/>
                <w:color w:val="auto"/>
              </w:rPr>
              <w:t>-</w:t>
            </w:r>
          </w:p>
        </w:tc>
        <w:tc>
          <w:tcPr>
            <w:tcW w:w="9220" w:type="dxa"/>
            <w:vAlign w:val="bottom"/>
          </w:tcPr>
          <w:p>
            <w:pPr>
              <w:ind w:left="120"/>
              <w:spacing w:after="0" w:line="202" w:lineRule="exact"/>
              <w:rPr>
                <w:sz w:val="20"/>
                <w:szCs w:val="20"/>
                <w:color w:val="auto"/>
              </w:rPr>
            </w:pPr>
            <w:r>
              <w:rPr>
                <w:rFonts w:ascii="Times New Roman" w:cs="Times New Roman" w:eastAsia="Times New Roman" w:hAnsi="Times New Roman"/>
                <w:sz w:val="20"/>
                <w:szCs w:val="20"/>
                <w:color w:val="auto"/>
              </w:rPr>
              <w:t>PERMITTED LIENS</w:t>
            </w:r>
          </w:p>
        </w:tc>
        <w:tc>
          <w:tcPr>
            <w:tcW w:w="0" w:type="dxa"/>
            <w:vAlign w:val="bottom"/>
          </w:tcPr>
          <w:p>
            <w:pPr>
              <w:spacing w:after="0"/>
              <w:rPr>
                <w:sz w:val="1"/>
                <w:szCs w:val="1"/>
                <w:color w:val="auto"/>
              </w:rPr>
            </w:pPr>
          </w:p>
        </w:tc>
      </w:tr>
      <w:tr>
        <w:trPr>
          <w:trHeight w:val="201"/>
        </w:trPr>
        <w:tc>
          <w:tcPr>
            <w:tcW w:w="1680" w:type="dxa"/>
            <w:vAlign w:val="bottom"/>
            <w:gridSpan w:val="4"/>
          </w:tcPr>
          <w:p>
            <w:pPr>
              <w:spacing w:after="0" w:line="202" w:lineRule="exact"/>
              <w:rPr>
                <w:sz w:val="20"/>
                <w:szCs w:val="20"/>
                <w:color w:val="auto"/>
              </w:rPr>
            </w:pPr>
            <w:r>
              <w:rPr>
                <w:rFonts w:ascii="Times New Roman" w:cs="Times New Roman" w:eastAsia="Times New Roman" w:hAnsi="Times New Roman"/>
                <w:sz w:val="20"/>
                <w:szCs w:val="20"/>
                <w:color w:val="auto"/>
              </w:rPr>
              <w:t>SCHEDULE 1.1(S)</w:t>
            </w:r>
          </w:p>
        </w:tc>
        <w:tc>
          <w:tcPr>
            <w:tcW w:w="260" w:type="dxa"/>
            <w:vAlign w:val="bottom"/>
          </w:tcPr>
          <w:p>
            <w:pPr>
              <w:ind w:left="120"/>
              <w:spacing w:after="0" w:line="202" w:lineRule="exact"/>
              <w:rPr>
                <w:sz w:val="20"/>
                <w:szCs w:val="20"/>
                <w:color w:val="auto"/>
              </w:rPr>
            </w:pPr>
            <w:r>
              <w:rPr>
                <w:rFonts w:ascii="Times New Roman" w:cs="Times New Roman" w:eastAsia="Times New Roman" w:hAnsi="Times New Roman"/>
                <w:sz w:val="20"/>
                <w:szCs w:val="20"/>
                <w:color w:val="auto"/>
              </w:rPr>
              <w:t>-</w:t>
            </w:r>
          </w:p>
        </w:tc>
        <w:tc>
          <w:tcPr>
            <w:tcW w:w="9220" w:type="dxa"/>
            <w:vAlign w:val="bottom"/>
          </w:tcPr>
          <w:p>
            <w:pPr>
              <w:ind w:left="120"/>
              <w:spacing w:after="0" w:line="202" w:lineRule="exact"/>
              <w:rPr>
                <w:sz w:val="20"/>
                <w:szCs w:val="20"/>
                <w:color w:val="auto"/>
              </w:rPr>
            </w:pPr>
            <w:r>
              <w:rPr>
                <w:rFonts w:ascii="Times New Roman" w:cs="Times New Roman" w:eastAsia="Times New Roman" w:hAnsi="Times New Roman"/>
                <w:sz w:val="20"/>
                <w:szCs w:val="20"/>
                <w:color w:val="auto"/>
              </w:rPr>
              <w:t>EXCLUDED SUBSIDIARIES</w:t>
            </w:r>
          </w:p>
        </w:tc>
        <w:tc>
          <w:tcPr>
            <w:tcW w:w="0" w:type="dxa"/>
            <w:vAlign w:val="bottom"/>
          </w:tcPr>
          <w:p>
            <w:pPr>
              <w:spacing w:after="0"/>
              <w:rPr>
                <w:sz w:val="1"/>
                <w:szCs w:val="1"/>
                <w:color w:val="auto"/>
              </w:rPr>
            </w:pPr>
          </w:p>
        </w:tc>
      </w:tr>
      <w:tr>
        <w:trPr>
          <w:trHeight w:val="201"/>
        </w:trPr>
        <w:tc>
          <w:tcPr>
            <w:tcW w:w="1680" w:type="dxa"/>
            <w:vAlign w:val="bottom"/>
            <w:gridSpan w:val="4"/>
          </w:tcPr>
          <w:p>
            <w:pPr>
              <w:spacing w:after="0" w:line="202" w:lineRule="exact"/>
              <w:rPr>
                <w:sz w:val="20"/>
                <w:szCs w:val="20"/>
                <w:color w:val="auto"/>
              </w:rPr>
            </w:pPr>
            <w:r>
              <w:rPr>
                <w:rFonts w:ascii="Times New Roman" w:cs="Times New Roman" w:eastAsia="Times New Roman" w:hAnsi="Times New Roman"/>
                <w:sz w:val="20"/>
                <w:szCs w:val="20"/>
                <w:color w:val="auto"/>
              </w:rPr>
              <w:t>SCHEDULE 6.1.3</w:t>
            </w:r>
          </w:p>
        </w:tc>
        <w:tc>
          <w:tcPr>
            <w:tcW w:w="260" w:type="dxa"/>
            <w:vAlign w:val="bottom"/>
          </w:tcPr>
          <w:p>
            <w:pPr>
              <w:ind w:left="20"/>
              <w:spacing w:after="0" w:line="202" w:lineRule="exact"/>
              <w:rPr>
                <w:sz w:val="20"/>
                <w:szCs w:val="20"/>
                <w:color w:val="auto"/>
              </w:rPr>
            </w:pPr>
            <w:r>
              <w:rPr>
                <w:rFonts w:ascii="Times New Roman" w:cs="Times New Roman" w:eastAsia="Times New Roman" w:hAnsi="Times New Roman"/>
                <w:sz w:val="20"/>
                <w:szCs w:val="20"/>
                <w:color w:val="auto"/>
              </w:rPr>
              <w:t>-</w:t>
            </w:r>
          </w:p>
        </w:tc>
        <w:tc>
          <w:tcPr>
            <w:tcW w:w="9220" w:type="dxa"/>
            <w:vAlign w:val="bottom"/>
          </w:tcPr>
          <w:p>
            <w:pPr>
              <w:ind w:left="40"/>
              <w:spacing w:after="0" w:line="202" w:lineRule="exact"/>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61"/>
        </w:trPr>
        <w:tc>
          <w:tcPr>
            <w:tcW w:w="1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8.2.1</w:t>
            </w:r>
          </w:p>
        </w:tc>
        <w:tc>
          <w:tcPr>
            <w:tcW w:w="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PERMITTED INDEBTEDNESS</w:t>
            </w:r>
          </w:p>
        </w:tc>
        <w:tc>
          <w:tcPr>
            <w:tcW w:w="0" w:type="dxa"/>
            <w:vAlign w:val="bottom"/>
          </w:tcPr>
          <w:p>
            <w:pPr>
              <w:spacing w:after="0"/>
              <w:rPr>
                <w:sz w:val="1"/>
                <w:szCs w:val="1"/>
                <w:color w:val="auto"/>
              </w:rPr>
            </w:pPr>
          </w:p>
        </w:tc>
      </w:tr>
      <w:tr>
        <w:trPr>
          <w:trHeight w:val="35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9"/>
              </w:rPr>
              <w:t>EXHIBITS</w:t>
            </w:r>
          </w:p>
        </w:tc>
        <w:tc>
          <w:tcPr>
            <w:tcW w:w="4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1.1(A)</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ASSIGNMENT AND ASSUMPTION AGREEMENT</w:t>
            </w:r>
          </w:p>
        </w:tc>
        <w:tc>
          <w:tcPr>
            <w:tcW w:w="0" w:type="dxa"/>
            <w:vAlign w:val="bottom"/>
          </w:tcPr>
          <w:p>
            <w:pPr>
              <w:spacing w:after="0"/>
              <w:rPr>
                <w:sz w:val="1"/>
                <w:szCs w:val="1"/>
                <w:color w:val="auto"/>
              </w:rPr>
            </w:pPr>
          </w:p>
        </w:tc>
      </w:tr>
      <w:tr>
        <w:trPr>
          <w:trHeight w:val="201"/>
        </w:trPr>
        <w:tc>
          <w:tcPr>
            <w:tcW w:w="1680" w:type="dxa"/>
            <w:vAlign w:val="bottom"/>
            <w:gridSpan w:val="4"/>
          </w:tcPr>
          <w:p>
            <w:pPr>
              <w:spacing w:after="0" w:line="202" w:lineRule="exact"/>
              <w:rPr>
                <w:sz w:val="20"/>
                <w:szCs w:val="20"/>
                <w:color w:val="auto"/>
              </w:rPr>
            </w:pPr>
            <w:r>
              <w:rPr>
                <w:rFonts w:ascii="Times New Roman" w:cs="Times New Roman" w:eastAsia="Times New Roman" w:hAnsi="Times New Roman"/>
                <w:sz w:val="20"/>
                <w:szCs w:val="20"/>
                <w:color w:val="auto"/>
              </w:rPr>
              <w:t>EXHIBIT 1.1(N)(1)</w:t>
            </w:r>
          </w:p>
        </w:tc>
        <w:tc>
          <w:tcPr>
            <w:tcW w:w="260" w:type="dxa"/>
            <w:vAlign w:val="bottom"/>
          </w:tcPr>
          <w:p>
            <w:pPr>
              <w:ind w:left="140"/>
              <w:spacing w:after="0" w:line="202" w:lineRule="exact"/>
              <w:rPr>
                <w:sz w:val="20"/>
                <w:szCs w:val="20"/>
                <w:color w:val="auto"/>
              </w:rPr>
            </w:pPr>
            <w:r>
              <w:rPr>
                <w:rFonts w:ascii="Times New Roman" w:cs="Times New Roman" w:eastAsia="Times New Roman" w:hAnsi="Times New Roman"/>
                <w:sz w:val="20"/>
                <w:szCs w:val="20"/>
                <w:color w:val="auto"/>
              </w:rPr>
              <w:t>-</w:t>
            </w:r>
          </w:p>
        </w:tc>
        <w:tc>
          <w:tcPr>
            <w:tcW w:w="9220" w:type="dxa"/>
            <w:vAlign w:val="bottom"/>
          </w:tcPr>
          <w:p>
            <w:pPr>
              <w:ind w:left="160"/>
              <w:spacing w:after="0" w:line="202" w:lineRule="exact"/>
              <w:rPr>
                <w:sz w:val="20"/>
                <w:szCs w:val="20"/>
                <w:color w:val="auto"/>
              </w:rPr>
            </w:pPr>
            <w:r>
              <w:rPr>
                <w:rFonts w:ascii="Times New Roman" w:cs="Times New Roman" w:eastAsia="Times New Roman" w:hAnsi="Times New Roman"/>
                <w:sz w:val="20"/>
                <w:szCs w:val="20"/>
                <w:color w:val="auto"/>
              </w:rPr>
              <w:t>REVOLVING CREDIT NOTE</w:t>
            </w:r>
          </w:p>
        </w:tc>
        <w:tc>
          <w:tcPr>
            <w:tcW w:w="0" w:type="dxa"/>
            <w:vAlign w:val="bottom"/>
          </w:tcPr>
          <w:p>
            <w:pPr>
              <w:spacing w:after="0"/>
              <w:rPr>
                <w:sz w:val="1"/>
                <w:szCs w:val="1"/>
                <w:color w:val="auto"/>
              </w:rPr>
            </w:pPr>
          </w:p>
        </w:tc>
      </w:tr>
      <w:tr>
        <w:trPr>
          <w:trHeight w:val="201"/>
        </w:trPr>
        <w:tc>
          <w:tcPr>
            <w:tcW w:w="1680" w:type="dxa"/>
            <w:vAlign w:val="bottom"/>
            <w:gridSpan w:val="4"/>
          </w:tcPr>
          <w:p>
            <w:pPr>
              <w:spacing w:after="0" w:line="202" w:lineRule="exact"/>
              <w:rPr>
                <w:sz w:val="20"/>
                <w:szCs w:val="20"/>
                <w:color w:val="auto"/>
              </w:rPr>
            </w:pPr>
            <w:r>
              <w:rPr>
                <w:rFonts w:ascii="Times New Roman" w:cs="Times New Roman" w:eastAsia="Times New Roman" w:hAnsi="Times New Roman"/>
                <w:sz w:val="20"/>
                <w:szCs w:val="20"/>
                <w:color w:val="auto"/>
              </w:rPr>
              <w:t>EXHIBIT 1.1(N)(2)</w:t>
            </w:r>
          </w:p>
        </w:tc>
        <w:tc>
          <w:tcPr>
            <w:tcW w:w="260" w:type="dxa"/>
            <w:vAlign w:val="bottom"/>
          </w:tcPr>
          <w:p>
            <w:pPr>
              <w:ind w:left="140"/>
              <w:spacing w:after="0" w:line="202" w:lineRule="exact"/>
              <w:rPr>
                <w:sz w:val="20"/>
                <w:szCs w:val="20"/>
                <w:color w:val="auto"/>
              </w:rPr>
            </w:pPr>
            <w:r>
              <w:rPr>
                <w:rFonts w:ascii="Times New Roman" w:cs="Times New Roman" w:eastAsia="Times New Roman" w:hAnsi="Times New Roman"/>
                <w:sz w:val="20"/>
                <w:szCs w:val="20"/>
                <w:color w:val="auto"/>
              </w:rPr>
              <w:t>-</w:t>
            </w:r>
          </w:p>
        </w:tc>
        <w:tc>
          <w:tcPr>
            <w:tcW w:w="9220" w:type="dxa"/>
            <w:vAlign w:val="bottom"/>
          </w:tcPr>
          <w:p>
            <w:pPr>
              <w:ind w:left="160"/>
              <w:spacing w:after="0" w:line="202" w:lineRule="exact"/>
              <w:rPr>
                <w:sz w:val="20"/>
                <w:szCs w:val="20"/>
                <w:color w:val="auto"/>
              </w:rPr>
            </w:pPr>
            <w:r>
              <w:rPr>
                <w:rFonts w:ascii="Times New Roman" w:cs="Times New Roman" w:eastAsia="Times New Roman" w:hAnsi="Times New Roman"/>
                <w:sz w:val="20"/>
                <w:szCs w:val="20"/>
                <w:color w:val="auto"/>
              </w:rPr>
              <w:t>SWING LOAN NOTE</w:t>
            </w:r>
          </w:p>
        </w:tc>
        <w:tc>
          <w:tcPr>
            <w:tcW w:w="0" w:type="dxa"/>
            <w:vAlign w:val="bottom"/>
          </w:tcPr>
          <w:p>
            <w:pPr>
              <w:spacing w:after="0"/>
              <w:rPr>
                <w:sz w:val="1"/>
                <w:szCs w:val="1"/>
                <w:color w:val="auto"/>
              </w:rPr>
            </w:pPr>
          </w:p>
        </w:tc>
      </w:tr>
      <w:tr>
        <w:trPr>
          <w:trHeight w:val="201"/>
        </w:trPr>
        <w:tc>
          <w:tcPr>
            <w:tcW w:w="1420" w:type="dxa"/>
            <w:vAlign w:val="bottom"/>
            <w:gridSpan w:val="3"/>
          </w:tcPr>
          <w:p>
            <w:pPr>
              <w:spacing w:after="0" w:line="202" w:lineRule="exact"/>
              <w:rPr>
                <w:sz w:val="20"/>
                <w:szCs w:val="20"/>
                <w:color w:val="auto"/>
              </w:rPr>
            </w:pPr>
            <w:r>
              <w:rPr>
                <w:rFonts w:ascii="Times New Roman" w:cs="Times New Roman" w:eastAsia="Times New Roman" w:hAnsi="Times New Roman"/>
                <w:sz w:val="20"/>
                <w:szCs w:val="20"/>
                <w:color w:val="auto"/>
              </w:rPr>
              <w:t>EXHIBIT 2.5.1</w:t>
            </w:r>
          </w:p>
        </w:tc>
        <w:tc>
          <w:tcPr>
            <w:tcW w:w="260" w:type="dxa"/>
            <w:vAlign w:val="bottom"/>
          </w:tcPr>
          <w:p>
            <w:pPr>
              <w:jc w:val="right"/>
              <w:ind w:right="59"/>
              <w:spacing w:after="0" w:line="202" w:lineRule="exact"/>
              <w:rPr>
                <w:sz w:val="20"/>
                <w:szCs w:val="20"/>
                <w:color w:val="auto"/>
              </w:rPr>
            </w:pPr>
            <w:r>
              <w:rPr>
                <w:rFonts w:ascii="Times New Roman" w:cs="Times New Roman" w:eastAsia="Times New Roman" w:hAnsi="Times New Roman"/>
                <w:sz w:val="20"/>
                <w:szCs w:val="20"/>
                <w:color w:val="auto"/>
              </w:rPr>
              <w:t>-</w:t>
            </w:r>
          </w:p>
        </w:tc>
        <w:tc>
          <w:tcPr>
            <w:tcW w:w="94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0"/>
                <w:szCs w:val="20"/>
                <w:color w:val="auto"/>
              </w:rPr>
              <w:t>LOAN REQUEST</w:t>
            </w:r>
          </w:p>
        </w:tc>
        <w:tc>
          <w:tcPr>
            <w:tcW w:w="0" w:type="dxa"/>
            <w:vAlign w:val="bottom"/>
          </w:tcPr>
          <w:p>
            <w:pPr>
              <w:spacing w:after="0"/>
              <w:rPr>
                <w:sz w:val="1"/>
                <w:szCs w:val="1"/>
                <w:color w:val="auto"/>
              </w:rPr>
            </w:pPr>
          </w:p>
        </w:tc>
      </w:tr>
      <w:tr>
        <w:trPr>
          <w:trHeight w:val="201"/>
        </w:trPr>
        <w:tc>
          <w:tcPr>
            <w:tcW w:w="1420" w:type="dxa"/>
            <w:vAlign w:val="bottom"/>
            <w:gridSpan w:val="3"/>
          </w:tcPr>
          <w:p>
            <w:pPr>
              <w:spacing w:after="0" w:line="202" w:lineRule="exact"/>
              <w:rPr>
                <w:sz w:val="20"/>
                <w:szCs w:val="20"/>
                <w:color w:val="auto"/>
              </w:rPr>
            </w:pPr>
            <w:r>
              <w:rPr>
                <w:rFonts w:ascii="Times New Roman" w:cs="Times New Roman" w:eastAsia="Times New Roman" w:hAnsi="Times New Roman"/>
                <w:sz w:val="20"/>
                <w:szCs w:val="20"/>
                <w:color w:val="auto"/>
              </w:rPr>
              <w:t>EXHIBIT 2.5.2</w:t>
            </w:r>
          </w:p>
        </w:tc>
        <w:tc>
          <w:tcPr>
            <w:tcW w:w="260" w:type="dxa"/>
            <w:vAlign w:val="bottom"/>
          </w:tcPr>
          <w:p>
            <w:pPr>
              <w:jc w:val="right"/>
              <w:ind w:right="59"/>
              <w:spacing w:after="0" w:line="202" w:lineRule="exact"/>
              <w:rPr>
                <w:sz w:val="20"/>
                <w:szCs w:val="20"/>
                <w:color w:val="auto"/>
              </w:rPr>
            </w:pPr>
            <w:r>
              <w:rPr>
                <w:rFonts w:ascii="Times New Roman" w:cs="Times New Roman" w:eastAsia="Times New Roman" w:hAnsi="Times New Roman"/>
                <w:sz w:val="20"/>
                <w:szCs w:val="20"/>
                <w:color w:val="auto"/>
              </w:rPr>
              <w:t>-</w:t>
            </w:r>
          </w:p>
        </w:tc>
        <w:tc>
          <w:tcPr>
            <w:tcW w:w="94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0"/>
                <w:szCs w:val="20"/>
                <w:color w:val="auto"/>
              </w:rPr>
              <w:t>SWING LOAN REQUEST</w:t>
            </w:r>
          </w:p>
        </w:tc>
        <w:tc>
          <w:tcPr>
            <w:tcW w:w="0" w:type="dxa"/>
            <w:vAlign w:val="bottom"/>
          </w:tcPr>
          <w:p>
            <w:pPr>
              <w:spacing w:after="0"/>
              <w:rPr>
                <w:sz w:val="1"/>
                <w:szCs w:val="1"/>
                <w:color w:val="auto"/>
              </w:rPr>
            </w:pPr>
          </w:p>
        </w:tc>
      </w:tr>
      <w:tr>
        <w:trPr>
          <w:trHeight w:val="201"/>
        </w:trPr>
        <w:tc>
          <w:tcPr>
            <w:tcW w:w="1680" w:type="dxa"/>
            <w:vAlign w:val="bottom"/>
            <w:gridSpan w:val="4"/>
          </w:tcPr>
          <w:p>
            <w:pPr>
              <w:spacing w:after="0" w:line="202" w:lineRule="exact"/>
              <w:rPr>
                <w:sz w:val="20"/>
                <w:szCs w:val="20"/>
                <w:color w:val="auto"/>
              </w:rPr>
            </w:pPr>
            <w:r>
              <w:rPr>
                <w:rFonts w:ascii="Times New Roman" w:cs="Times New Roman" w:eastAsia="Times New Roman" w:hAnsi="Times New Roman"/>
                <w:sz w:val="20"/>
                <w:szCs w:val="20"/>
                <w:color w:val="auto"/>
              </w:rPr>
              <w:t>EXHIBIT 5.9.7(A)</w:t>
            </w:r>
          </w:p>
        </w:tc>
        <w:tc>
          <w:tcPr>
            <w:tcW w:w="94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20"/>
                <w:szCs w:val="20"/>
                <w:color w:val="auto"/>
              </w:rPr>
              <w:t>-  U.S. TAX COMPLIANCE CERTIFICATE (For Foreign Lenders That Are Not Partnerships For U.S. Federal</w:t>
            </w:r>
          </w:p>
        </w:tc>
        <w:tc>
          <w:tcPr>
            <w:tcW w:w="0" w:type="dxa"/>
            <w:vAlign w:val="bottom"/>
          </w:tcPr>
          <w:p>
            <w:pPr>
              <w:spacing w:after="0"/>
              <w:rPr>
                <w:sz w:val="1"/>
                <w:szCs w:val="1"/>
                <w:color w:val="auto"/>
              </w:rPr>
            </w:pPr>
          </w:p>
        </w:tc>
      </w:tr>
      <w:tr>
        <w:trPr>
          <w:trHeight w:val="201"/>
        </w:trPr>
        <w:tc>
          <w:tcPr>
            <w:tcW w:w="16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EXHIBIT 5.9.7 (B)</w:t>
            </w:r>
          </w:p>
        </w:tc>
        <w:tc>
          <w:tcPr>
            <w:tcW w:w="260" w:type="dxa"/>
            <w:vAlign w:val="bottom"/>
          </w:tcPr>
          <w:p>
            <w:pPr>
              <w:spacing w:after="0"/>
              <w:rPr>
                <w:sz w:val="17"/>
                <w:szCs w:val="17"/>
                <w:color w:val="auto"/>
              </w:rPr>
            </w:pPr>
          </w:p>
        </w:tc>
        <w:tc>
          <w:tcPr>
            <w:tcW w:w="9220" w:type="dxa"/>
            <w:vAlign w:val="bottom"/>
          </w:tcPr>
          <w:p>
            <w:pPr>
              <w:ind w:left="480"/>
              <w:spacing w:after="0" w:line="202" w:lineRule="exact"/>
              <w:rPr>
                <w:sz w:val="20"/>
                <w:szCs w:val="20"/>
                <w:color w:val="auto"/>
              </w:rPr>
            </w:pPr>
            <w:r>
              <w:rPr>
                <w:rFonts w:ascii="Times New Roman" w:cs="Times New Roman" w:eastAsia="Times New Roman" w:hAnsi="Times New Roman"/>
                <w:sz w:val="20"/>
                <w:szCs w:val="20"/>
                <w:color w:val="auto"/>
              </w:rPr>
              <w:t>Income Tax Purposes)</w:t>
            </w:r>
          </w:p>
        </w:tc>
        <w:tc>
          <w:tcPr>
            <w:tcW w:w="0" w:type="dxa"/>
            <w:vAlign w:val="bottom"/>
          </w:tcPr>
          <w:p>
            <w:pPr>
              <w:spacing w:after="0"/>
              <w:rPr>
                <w:sz w:val="1"/>
                <w:szCs w:val="1"/>
                <w:color w:val="auto"/>
              </w:rPr>
            </w:pPr>
          </w:p>
        </w:tc>
      </w:tr>
      <w:tr>
        <w:trPr>
          <w:trHeight w:val="201"/>
        </w:trPr>
        <w:tc>
          <w:tcPr>
            <w:tcW w:w="1680" w:type="dxa"/>
            <w:vAlign w:val="bottom"/>
            <w:gridSpan w:val="4"/>
            <w:vMerge w:val="continue"/>
          </w:tcPr>
          <w:p>
            <w:pPr>
              <w:spacing w:after="0"/>
              <w:rPr>
                <w:sz w:val="17"/>
                <w:szCs w:val="17"/>
                <w:color w:val="auto"/>
              </w:rPr>
            </w:pPr>
          </w:p>
        </w:tc>
        <w:tc>
          <w:tcPr>
            <w:tcW w:w="94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20"/>
                <w:szCs w:val="20"/>
                <w:color w:val="auto"/>
              </w:rPr>
              <w:t>-  U.S. TAX COMPLIANCE CERTIFICATE (For Foreign Participants That Are Not Partnerships For U.S. Federal</w:t>
            </w:r>
          </w:p>
        </w:tc>
        <w:tc>
          <w:tcPr>
            <w:tcW w:w="0" w:type="dxa"/>
            <w:vAlign w:val="bottom"/>
          </w:tcPr>
          <w:p>
            <w:pPr>
              <w:spacing w:after="0"/>
              <w:rPr>
                <w:sz w:val="1"/>
                <w:szCs w:val="1"/>
                <w:color w:val="auto"/>
              </w:rPr>
            </w:pPr>
          </w:p>
        </w:tc>
      </w:tr>
      <w:tr>
        <w:trPr>
          <w:trHeight w:val="201"/>
        </w:trPr>
        <w:tc>
          <w:tcPr>
            <w:tcW w:w="16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EXHIBIT 5.9.7 (C)</w:t>
            </w:r>
          </w:p>
        </w:tc>
        <w:tc>
          <w:tcPr>
            <w:tcW w:w="260" w:type="dxa"/>
            <w:vAlign w:val="bottom"/>
          </w:tcPr>
          <w:p>
            <w:pPr>
              <w:spacing w:after="0"/>
              <w:rPr>
                <w:sz w:val="17"/>
                <w:szCs w:val="17"/>
                <w:color w:val="auto"/>
              </w:rPr>
            </w:pPr>
          </w:p>
        </w:tc>
        <w:tc>
          <w:tcPr>
            <w:tcW w:w="9220" w:type="dxa"/>
            <w:vAlign w:val="bottom"/>
          </w:tcPr>
          <w:p>
            <w:pPr>
              <w:ind w:left="480"/>
              <w:spacing w:after="0" w:line="202" w:lineRule="exact"/>
              <w:rPr>
                <w:sz w:val="20"/>
                <w:szCs w:val="20"/>
                <w:color w:val="auto"/>
              </w:rPr>
            </w:pPr>
            <w:r>
              <w:rPr>
                <w:rFonts w:ascii="Times New Roman" w:cs="Times New Roman" w:eastAsia="Times New Roman" w:hAnsi="Times New Roman"/>
                <w:sz w:val="20"/>
                <w:szCs w:val="20"/>
                <w:color w:val="auto"/>
              </w:rPr>
              <w:t>Income Tax Purposes)</w:t>
            </w:r>
          </w:p>
        </w:tc>
        <w:tc>
          <w:tcPr>
            <w:tcW w:w="0" w:type="dxa"/>
            <w:vAlign w:val="bottom"/>
          </w:tcPr>
          <w:p>
            <w:pPr>
              <w:spacing w:after="0"/>
              <w:rPr>
                <w:sz w:val="1"/>
                <w:szCs w:val="1"/>
                <w:color w:val="auto"/>
              </w:rPr>
            </w:pPr>
          </w:p>
        </w:tc>
      </w:tr>
      <w:tr>
        <w:trPr>
          <w:trHeight w:val="201"/>
        </w:trPr>
        <w:tc>
          <w:tcPr>
            <w:tcW w:w="1680" w:type="dxa"/>
            <w:vAlign w:val="bottom"/>
            <w:gridSpan w:val="4"/>
            <w:vMerge w:val="continue"/>
          </w:tcPr>
          <w:p>
            <w:pPr>
              <w:spacing w:after="0"/>
              <w:rPr>
                <w:sz w:val="17"/>
                <w:szCs w:val="17"/>
                <w:color w:val="auto"/>
              </w:rPr>
            </w:pPr>
          </w:p>
        </w:tc>
        <w:tc>
          <w:tcPr>
            <w:tcW w:w="94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20"/>
                <w:szCs w:val="20"/>
                <w:color w:val="auto"/>
              </w:rPr>
              <w:t>-  U.S. TAX COMPLIANCE CERTIFICATE (For Foreign Participants That Are Partnerships For U.S. Federal</w:t>
            </w:r>
          </w:p>
        </w:tc>
        <w:tc>
          <w:tcPr>
            <w:tcW w:w="0" w:type="dxa"/>
            <w:vAlign w:val="bottom"/>
          </w:tcPr>
          <w:p>
            <w:pPr>
              <w:spacing w:after="0"/>
              <w:rPr>
                <w:sz w:val="1"/>
                <w:szCs w:val="1"/>
                <w:color w:val="auto"/>
              </w:rPr>
            </w:pPr>
          </w:p>
        </w:tc>
      </w:tr>
      <w:tr>
        <w:trPr>
          <w:trHeight w:val="201"/>
        </w:trPr>
        <w:tc>
          <w:tcPr>
            <w:tcW w:w="16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EXHIBIT 5.9.7 (D)</w:t>
            </w:r>
          </w:p>
        </w:tc>
        <w:tc>
          <w:tcPr>
            <w:tcW w:w="260" w:type="dxa"/>
            <w:vAlign w:val="bottom"/>
          </w:tcPr>
          <w:p>
            <w:pPr>
              <w:spacing w:after="0"/>
              <w:rPr>
                <w:sz w:val="17"/>
                <w:szCs w:val="17"/>
                <w:color w:val="auto"/>
              </w:rPr>
            </w:pPr>
          </w:p>
        </w:tc>
        <w:tc>
          <w:tcPr>
            <w:tcW w:w="9220" w:type="dxa"/>
            <w:vAlign w:val="bottom"/>
          </w:tcPr>
          <w:p>
            <w:pPr>
              <w:ind w:left="480"/>
              <w:spacing w:after="0" w:line="202" w:lineRule="exact"/>
              <w:rPr>
                <w:sz w:val="20"/>
                <w:szCs w:val="20"/>
                <w:color w:val="auto"/>
              </w:rPr>
            </w:pPr>
            <w:r>
              <w:rPr>
                <w:rFonts w:ascii="Times New Roman" w:cs="Times New Roman" w:eastAsia="Times New Roman" w:hAnsi="Times New Roman"/>
                <w:sz w:val="20"/>
                <w:szCs w:val="20"/>
                <w:color w:val="auto"/>
              </w:rPr>
              <w:t>Income Tax Purposes)</w:t>
            </w:r>
          </w:p>
        </w:tc>
        <w:tc>
          <w:tcPr>
            <w:tcW w:w="0" w:type="dxa"/>
            <w:vAlign w:val="bottom"/>
          </w:tcPr>
          <w:p>
            <w:pPr>
              <w:spacing w:after="0"/>
              <w:rPr>
                <w:sz w:val="1"/>
                <w:szCs w:val="1"/>
                <w:color w:val="auto"/>
              </w:rPr>
            </w:pPr>
          </w:p>
        </w:tc>
      </w:tr>
      <w:tr>
        <w:trPr>
          <w:trHeight w:val="201"/>
        </w:trPr>
        <w:tc>
          <w:tcPr>
            <w:tcW w:w="1680" w:type="dxa"/>
            <w:vAlign w:val="bottom"/>
            <w:gridSpan w:val="4"/>
            <w:vMerge w:val="continue"/>
          </w:tcPr>
          <w:p>
            <w:pPr>
              <w:spacing w:after="0"/>
              <w:rPr>
                <w:sz w:val="17"/>
                <w:szCs w:val="17"/>
                <w:color w:val="auto"/>
              </w:rPr>
            </w:pPr>
          </w:p>
        </w:tc>
        <w:tc>
          <w:tcPr>
            <w:tcW w:w="94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20"/>
                <w:szCs w:val="20"/>
                <w:color w:val="auto"/>
              </w:rPr>
              <w:t>-  U.S. TAX COMPLIANCE CERTIFICATE (For Foreign Lenders That Are Partnerships For U.S. Federal Income</w:t>
            </w:r>
          </w:p>
        </w:tc>
        <w:tc>
          <w:tcPr>
            <w:tcW w:w="0" w:type="dxa"/>
            <w:vAlign w:val="bottom"/>
          </w:tcPr>
          <w:p>
            <w:pPr>
              <w:spacing w:after="0"/>
              <w:rPr>
                <w:sz w:val="1"/>
                <w:szCs w:val="1"/>
                <w:color w:val="auto"/>
              </w:rPr>
            </w:pPr>
          </w:p>
        </w:tc>
      </w:tr>
      <w:tr>
        <w:trPr>
          <w:trHeight w:val="201"/>
        </w:trPr>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EXHIBIT 8.2.4</w:t>
            </w:r>
          </w:p>
        </w:tc>
        <w:tc>
          <w:tcPr>
            <w:tcW w:w="260" w:type="dxa"/>
            <w:vAlign w:val="bottom"/>
            <w:vMerge w:val="restart"/>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7"/>
                <w:szCs w:val="17"/>
                <w:color w:val="auto"/>
              </w:rPr>
            </w:pPr>
          </w:p>
        </w:tc>
        <w:tc>
          <w:tcPr>
            <w:tcW w:w="9220" w:type="dxa"/>
            <w:vAlign w:val="bottom"/>
          </w:tcPr>
          <w:p>
            <w:pPr>
              <w:ind w:left="480"/>
              <w:spacing w:after="0" w:line="202" w:lineRule="exact"/>
              <w:rPr>
                <w:sz w:val="20"/>
                <w:szCs w:val="20"/>
                <w:color w:val="auto"/>
              </w:rPr>
            </w:pPr>
            <w:r>
              <w:rPr>
                <w:rFonts w:ascii="Times New Roman" w:cs="Times New Roman" w:eastAsia="Times New Roman" w:hAnsi="Times New Roman"/>
                <w:sz w:val="20"/>
                <w:szCs w:val="20"/>
                <w:color w:val="auto"/>
              </w:rPr>
              <w:t>Tax Purposes)</w:t>
            </w:r>
          </w:p>
        </w:tc>
        <w:tc>
          <w:tcPr>
            <w:tcW w:w="0" w:type="dxa"/>
            <w:vAlign w:val="bottom"/>
          </w:tcPr>
          <w:p>
            <w:pPr>
              <w:spacing w:after="0"/>
              <w:rPr>
                <w:sz w:val="1"/>
                <w:szCs w:val="1"/>
                <w:color w:val="auto"/>
              </w:rPr>
            </w:pPr>
          </w:p>
        </w:tc>
      </w:tr>
      <w:tr>
        <w:trPr>
          <w:trHeight w:val="201"/>
        </w:trPr>
        <w:tc>
          <w:tcPr>
            <w:tcW w:w="1420" w:type="dxa"/>
            <w:vAlign w:val="bottom"/>
            <w:gridSpan w:val="3"/>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4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0"/>
                <w:szCs w:val="20"/>
                <w:color w:val="auto"/>
              </w:rPr>
              <w:t>ACQUISITION COMPLIANCE CERTIFICATE</w:t>
            </w:r>
          </w:p>
        </w:tc>
        <w:tc>
          <w:tcPr>
            <w:tcW w:w="0" w:type="dxa"/>
            <w:vAlign w:val="bottom"/>
          </w:tcPr>
          <w:p>
            <w:pPr>
              <w:spacing w:after="0"/>
              <w:rPr>
                <w:sz w:val="1"/>
                <w:szCs w:val="1"/>
                <w:color w:val="auto"/>
              </w:rPr>
            </w:pPr>
          </w:p>
        </w:tc>
      </w:tr>
      <w:tr>
        <w:trPr>
          <w:trHeight w:val="261"/>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8.3.3</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9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QUARTERLY COMPLIANCE CERTIFICATE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(vi)</w:t>
      </w:r>
    </w:p>
    <w:p>
      <w:pPr>
        <w:sectPr>
          <w:pgSz w:w="11900" w:h="16838" w:orient="portrait"/>
          <w:cols w:equalWidth="0" w:num="1">
            <w:col w:w="11160"/>
          </w:cols>
          <w:pgMar w:left="320" w:top="1440" w:right="419" w:bottom="1440" w:gutter="0" w:footer="0" w:header="0"/>
        </w:sectPr>
      </w:pPr>
    </w:p>
    <w:bookmarkStart w:id="93" w:name="page94"/>
    <w:bookmarkEnd w:id="93"/>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73" w:lineRule="exact"/>
        <w:rPr>
          <w:sz w:val="20"/>
          <w:szCs w:val="20"/>
          <w:color w:val="auto"/>
        </w:rPr>
      </w:pPr>
    </w:p>
    <w:p>
      <w:pPr>
        <w:jc w:val="both"/>
        <w:ind w:firstLine="604"/>
        <w:spacing w:after="0" w:line="223" w:lineRule="auto"/>
        <w:rPr>
          <w:sz w:val="20"/>
          <w:szCs w:val="20"/>
          <w:color w:val="auto"/>
        </w:rPr>
      </w:pPr>
      <w:r>
        <w:rPr>
          <w:rFonts w:ascii="Times New Roman" w:cs="Times New Roman" w:eastAsia="Times New Roman" w:hAnsi="Times New Roman"/>
          <w:sz w:val="20"/>
          <w:szCs w:val="20"/>
          <w:color w:val="auto"/>
        </w:rPr>
        <w:t>THIS CREDIT AGREEMENT (as hereafter amended, modified, supplemented or restated,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dated as of October 15, 2018 and is made by and among GENTEX CORPORATION, a Michigan corporation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each of the GUARANTORS (as hereinafter defined), the LENDERS (as hereinafter defined), and PNC BANK, NATIONAL ASSOCIATION, in its capacity as administrative agent for the Lenders under this Agreement (hereinafter referred to in such capacity as the "</w:t>
      </w:r>
      <w:r>
        <w:rPr>
          <w:rFonts w:ascii="Times New Roman" w:cs="Times New Roman" w:eastAsia="Times New Roman" w:hAnsi="Times New Roman"/>
          <w:sz w:val="20"/>
          <w:szCs w:val="20"/>
          <w:b w:val="1"/>
          <w:bCs w:val="1"/>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jc w:val="both"/>
        <w:ind w:firstLine="604"/>
        <w:spacing w:after="0" w:line="225" w:lineRule="auto"/>
        <w:rPr>
          <w:sz w:val="20"/>
          <w:szCs w:val="20"/>
          <w:color w:val="auto"/>
        </w:rPr>
      </w:pPr>
      <w:r>
        <w:rPr>
          <w:rFonts w:ascii="Times New Roman" w:cs="Times New Roman" w:eastAsia="Times New Roman" w:hAnsi="Times New Roman"/>
          <w:sz w:val="20"/>
          <w:szCs w:val="20"/>
          <w:color w:val="auto"/>
        </w:rPr>
        <w:t>The Borrower has requested the Lenders to provide a revolving credit facility to the Borrower in an aggregate principal amount not to exceed $</w:t>
      </w:r>
      <w:r>
        <w:rPr>
          <w:rFonts w:ascii="Times New Roman" w:cs="Times New Roman" w:eastAsia="Times New Roman" w:hAnsi="Times New Roman"/>
          <w:sz w:val="20"/>
          <w:szCs w:val="20"/>
          <w:color w:val="FF0000"/>
          <w:strike w:val="1"/>
        </w:rPr>
        <w:t>150,000,000</w:t>
      </w:r>
      <w:r>
        <w:rPr>
          <w:rFonts w:ascii="Times New Roman" w:cs="Times New Roman" w:eastAsia="Times New Roman" w:hAnsi="Times New Roman"/>
          <w:sz w:val="20"/>
          <w:szCs w:val="20"/>
          <w:u w:val="single" w:color="auto"/>
          <w:color w:val="0000FF"/>
        </w:rPr>
        <w:t>250,000,000</w:t>
      </w:r>
      <w:r>
        <w:rPr>
          <w:rFonts w:ascii="Times New Roman" w:cs="Times New Roman" w:eastAsia="Times New Roman" w:hAnsi="Times New Roman"/>
          <w:sz w:val="20"/>
          <w:szCs w:val="20"/>
          <w:color w:val="auto"/>
        </w:rPr>
        <w:t>, subject to increase as set forth in Section 2.10 [Additional Commitment] hereof. In consideration of their mutual covenants and agreements hereinafter set forth and intending to be legally bound hereby, the parties hereto covenant and agree as follows:</w:t>
      </w:r>
    </w:p>
    <w:p>
      <w:pPr>
        <w:spacing w:after="0" w:line="144" w:lineRule="exact"/>
        <w:rPr>
          <w:sz w:val="20"/>
          <w:szCs w:val="20"/>
          <w:color w:val="auto"/>
        </w:rPr>
      </w:pPr>
    </w:p>
    <w:p>
      <w:pPr>
        <w:ind w:left="4860" w:hanging="611"/>
        <w:spacing w:after="0"/>
        <w:tabs>
          <w:tab w:leader="none" w:pos="48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DEFINITIONS</w:t>
      </w:r>
    </w:p>
    <w:p>
      <w:pPr>
        <w:spacing w:after="0" w:line="17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20"/>
          <w:szCs w:val="20"/>
          <w:color w:val="auto"/>
        </w:rPr>
        <w:t>Certain Definitions.</w:t>
      </w:r>
    </w:p>
    <w:p>
      <w:pPr>
        <w:spacing w:after="0" w:line="173" w:lineRule="exact"/>
        <w:rPr>
          <w:sz w:val="20"/>
          <w:szCs w:val="20"/>
          <w:color w:val="auto"/>
        </w:rPr>
      </w:pPr>
    </w:p>
    <w:p>
      <w:pPr>
        <w:ind w:firstLine="604"/>
        <w:spacing w:after="0" w:line="242" w:lineRule="auto"/>
        <w:rPr>
          <w:sz w:val="20"/>
          <w:szCs w:val="20"/>
          <w:color w:val="auto"/>
        </w:rPr>
      </w:pPr>
      <w:r>
        <w:rPr>
          <w:rFonts w:ascii="Times New Roman" w:cs="Times New Roman" w:eastAsia="Times New Roman" w:hAnsi="Times New Roman"/>
          <w:sz w:val="20"/>
          <w:szCs w:val="20"/>
          <w:color w:val="auto"/>
        </w:rPr>
        <w:t>In addition to words and terms defined elsewhere in this Agreement, the following words and terms shall have the following meanings, respectively, unless the context hereof clearly requires otherwise:</w:t>
      </w:r>
    </w:p>
    <w:p>
      <w:pPr>
        <w:spacing w:after="0" w:line="14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Additional Commitment</w:t>
      </w:r>
      <w:r>
        <w:rPr>
          <w:rFonts w:ascii="Times New Roman" w:cs="Times New Roman" w:eastAsia="Times New Roman" w:hAnsi="Times New Roman"/>
          <w:sz w:val="20"/>
          <w:szCs w:val="20"/>
          <w:color w:val="auto"/>
        </w:rPr>
        <w:t xml:space="preserve"> shall have the meaning assigned to that term in Section 2.10 [Additional Commitment].</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xml:space="preserve"> shall have the meaning assigned to that term in Section 2.10 [Additional Commitment].</w:t>
      </w:r>
    </w:p>
    <w:p>
      <w:pPr>
        <w:spacing w:after="0" w:line="173"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shall mean PNC Bank, National Association, and its successors and assigns, in its capacity as administrative agent hereunder.</w:t>
      </w:r>
    </w:p>
    <w:p>
      <w:pPr>
        <w:spacing w:after="0" w:line="14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0000FF"/>
        </w:rPr>
        <w:t>Affected Financial Institution shall mean (a) any EEA Financial Institution or (b) any UK Financial Institution.</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as to any Person shall mean any other Person (i) which directly or indirectly controls, is controlled by, or is under common control with such Person, (ii) which beneficially owns or holds 10% or more of any class of the voting or other equity interests of such Person, or (iii) 10% or more of any class of voting interests or other equity interests of which is beneficially owned or held, directly or indirectly, by such Person. For purposes of this definition, "control" of a Person means the power, directly or indirectly, to direct or cause the direction of the management and policies of such Person, whether by contract or otherwise.</w:t>
      </w:r>
    </w:p>
    <w:p>
      <w:pPr>
        <w:spacing w:after="0" w:line="144"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u w:val="single" w:color="auto"/>
          <w:color w:val="0000FF"/>
        </w:rPr>
        <w:t>Anti-Corruption Laws shall mean the United States Foreign Corrupt Practices Act of 1977, as amended, the UK Bribery Act 2010, and any other similar anti-corruption Laws or regulations administered or enforced in any jurisdiction in which the Borrower or any of its Subsidiaries conduct business.</w:t>
      </w:r>
    </w:p>
    <w:p>
      <w:pPr>
        <w:spacing w:after="0" w:line="144"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xml:space="preserve"> shall mean any </w:t>
      </w:r>
      <w:r>
        <w:rPr>
          <w:rFonts w:ascii="Times New Roman" w:cs="Times New Roman" w:eastAsia="Times New Roman" w:hAnsi="Times New Roman"/>
          <w:sz w:val="20"/>
          <w:szCs w:val="20"/>
          <w:color w:val="FF0000"/>
          <w:strike w:val="1"/>
        </w:rPr>
        <w:t>Laws relating</w:t>
      </w:r>
      <w:r>
        <w:rPr>
          <w:rFonts w:ascii="Times New Roman" w:cs="Times New Roman" w:eastAsia="Times New Roman" w:hAnsi="Times New Roman"/>
          <w:sz w:val="20"/>
          <w:szCs w:val="20"/>
          <w:u w:val="single" w:color="auto"/>
          <w:color w:val="0000FF"/>
        </w:rPr>
        <w:t>Law in force or hereinafter enacted related</w:t>
      </w:r>
      <w:r>
        <w:rPr>
          <w:rFonts w:ascii="Times New Roman" w:cs="Times New Roman" w:eastAsia="Times New Roman" w:hAnsi="Times New Roman"/>
          <w:sz w:val="20"/>
          <w:szCs w:val="20"/>
          <w:color w:val="auto"/>
        </w:rPr>
        <w:t xml:space="preserve"> to terrorism, </w:t>
      </w:r>
      <w:r>
        <w:rPr>
          <w:rFonts w:ascii="Times New Roman" w:cs="Times New Roman" w:eastAsia="Times New Roman" w:hAnsi="Times New Roman"/>
          <w:sz w:val="20"/>
          <w:szCs w:val="20"/>
          <w:color w:val="FF0000"/>
          <w:strike w:val="1"/>
        </w:rPr>
        <w:t>trade sanctions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programs and embargoes, import/export licensing,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money laundering</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bribery, and any regulation, order, or directive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promulgated, issued or enforced pursuant to such Laws, all as amended, supplemented or replaced from time to time</w:t>
      </w:r>
      <w:r>
        <w:rPr>
          <w:rFonts w:ascii="Times New Roman" w:cs="Times New Roman" w:eastAsia="Times New Roman" w:hAnsi="Times New Roman"/>
          <w:sz w:val="20"/>
          <w:szCs w:val="20"/>
          <w:u w:val="single" w:color="auto"/>
          <w:color w:val="0000FF"/>
          <w:strike w:val="1"/>
        </w:rPr>
        <w:t>economic sanctions, including the</w:t>
      </w:r>
    </w:p>
    <w:p>
      <w:pPr>
        <w:sectPr>
          <w:pgSz w:w="11900" w:h="16838" w:orient="portrait"/>
          <w:cols w:equalWidth="0" w:num="1">
            <w:col w:w="11240"/>
          </w:cols>
          <w:pgMar w:left="320" w:top="1440" w:right="339" w:bottom="1440" w:gutter="0" w:footer="0" w:header="0"/>
        </w:sectPr>
      </w:pPr>
    </w:p>
    <w:bookmarkStart w:id="94" w:name="page95"/>
    <w:bookmarkEnd w:id="94"/>
    <w:p>
      <w:pPr>
        <w:spacing w:after="0" w:line="71" w:lineRule="exact"/>
        <w:rPr>
          <w:sz w:val="20"/>
          <w:szCs w:val="20"/>
          <w:color w:val="auto"/>
        </w:rPr>
      </w:pPr>
    </w:p>
    <w:p>
      <w:pPr>
        <w:jc w:val="both"/>
        <w:ind w:left="1000"/>
        <w:spacing w:after="0"/>
        <w:rPr>
          <w:sz w:val="20"/>
          <w:szCs w:val="20"/>
          <w:color w:val="auto"/>
        </w:rPr>
      </w:pPr>
      <w:r>
        <w:rPr>
          <w:rFonts w:ascii="Times New Roman" w:cs="Times New Roman" w:eastAsia="Times New Roman" w:hAnsi="Times New Roman"/>
          <w:sz w:val="20"/>
          <w:szCs w:val="20"/>
          <w:u w:val="single" w:color="auto"/>
          <w:color w:val="0000FF"/>
        </w:rPr>
        <w:t>Bank Secrecy Act, 31 U.S.C. § 5311 et seq., the USA PATRIOT Act, the International Emergency Economic Powers Act, 50 U.S.C. 1701, et seq., the Trading with the Enemy Act, 50 U.S.C. App. 1, et seq., 18 U.S.C. § 2332d, and 18 U.S.C. § 2339B</w:t>
      </w:r>
      <w:r>
        <w:rPr>
          <w:rFonts w:ascii="Times New Roman" w:cs="Times New Roman" w:eastAsia="Times New Roman" w:hAnsi="Times New Roman"/>
          <w:sz w:val="20"/>
          <w:szCs w:val="20"/>
          <w:color w:val="000000"/>
        </w:rPr>
        <w:t>.</w:t>
      </w:r>
    </w:p>
    <w:p>
      <w:pPr>
        <w:spacing w:after="0" w:line="345"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Applicable Commitment Fee Rate</w:t>
      </w:r>
      <w:r>
        <w:rPr>
          <w:rFonts w:ascii="Times New Roman" w:cs="Times New Roman" w:eastAsia="Times New Roman" w:hAnsi="Times New Roman"/>
          <w:sz w:val="20"/>
          <w:szCs w:val="20"/>
          <w:color w:val="auto"/>
        </w:rPr>
        <w:t xml:space="preserve"> shall mean the percentage rate per annum based on the Consolidated Leverage Ratio then in effect according to the pricing grid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below the heading "Commitment Fee."</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Applicable Letter of Credit Fee Rate</w:t>
      </w:r>
      <w:r>
        <w:rPr>
          <w:rFonts w:ascii="Times New Roman" w:cs="Times New Roman" w:eastAsia="Times New Roman" w:hAnsi="Times New Roman"/>
          <w:sz w:val="20"/>
          <w:szCs w:val="20"/>
          <w:color w:val="auto"/>
        </w:rPr>
        <w:t xml:space="preserve"> shall mean the percentage rate per annum based on the Consolidated Leverage Ratio then in effect according to the pricing grid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below the heading "Letter of Credit Fee."</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xml:space="preserve"> shall mean, as applicable:</w:t>
      </w:r>
    </w:p>
    <w:p>
      <w:pPr>
        <w:spacing w:after="0" w:line="173" w:lineRule="exact"/>
        <w:rPr>
          <w:sz w:val="20"/>
          <w:szCs w:val="20"/>
          <w:color w:val="auto"/>
        </w:rPr>
      </w:pPr>
    </w:p>
    <w:p>
      <w:pPr>
        <w:ind w:left="-200" w:firstLine="1208"/>
        <w:spacing w:after="0" w:line="242" w:lineRule="auto"/>
        <w:tabs>
          <w:tab w:leader="none" w:pos="160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percentage spread to be added to the Base Rate applicable to Loans under the Base Rate Option based on the Consolidated Leverage Ratio then in effect according to the pricing grid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below the heading "Base Rate Spread", or</w:t>
      </w:r>
    </w:p>
    <w:p>
      <w:pPr>
        <w:spacing w:after="0" w:line="140" w:lineRule="exact"/>
        <w:rPr>
          <w:rFonts w:ascii="Times New Roman" w:cs="Times New Roman" w:eastAsia="Times New Roman" w:hAnsi="Times New Roman"/>
          <w:sz w:val="20"/>
          <w:szCs w:val="20"/>
          <w:color w:val="auto"/>
        </w:rPr>
      </w:pPr>
    </w:p>
    <w:p>
      <w:pPr>
        <w:jc w:val="both"/>
        <w:ind w:left="-200" w:firstLine="1208"/>
        <w:spacing w:after="0" w:line="230" w:lineRule="auto"/>
        <w:tabs>
          <w:tab w:leader="none" w:pos="160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percentage spread to be added to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applicable to Loans under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based on the Consolidated Leverage Ratio then in effect according to the pricing grid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below the heading "LIBOR Rate Spread".</w:t>
      </w:r>
    </w:p>
    <w:p>
      <w:pPr>
        <w:spacing w:after="0" w:line="144"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xml:space="preserve"> shall mean any fund that is engaged in making, purchasing, holding or investing in commercial loans and similar extensions of credit in the ordinary course of business and that is administered or managed by (i) a Lender, (ii) an Affiliate of a Lender or (iii) an entity or an Affiliate of an entity that administers or manages a Lender.</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Assignment and Assumption Agreement</w:t>
      </w:r>
      <w:r>
        <w:rPr>
          <w:rFonts w:ascii="Times New Roman" w:cs="Times New Roman" w:eastAsia="Times New Roman" w:hAnsi="Times New Roman"/>
          <w:sz w:val="20"/>
          <w:szCs w:val="20"/>
          <w:color w:val="auto"/>
        </w:rPr>
        <w:t xml:space="preserve"> shall mean an assignment and assumption agreement entered into by a Lender and an assignee permitted under Section 11.8 [Successors and Assigns], in substantially the form of </w:t>
      </w:r>
      <w:r>
        <w:rPr>
          <w:rFonts w:ascii="Times New Roman" w:cs="Times New Roman" w:eastAsia="Times New Roman" w:hAnsi="Times New Roman"/>
          <w:sz w:val="20"/>
          <w:szCs w:val="20"/>
          <w:u w:val="single" w:color="auto"/>
          <w:color w:val="auto"/>
        </w:rPr>
        <w:t>Exhibit 1.1(A)</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xml:space="preserve"> shall mean, with respect to any Loan Party, the Chief Executive Officer, President, Chief Financial Officer, Treasurer or Assistant Treasurer of such Loan Party, any manager or the members (as applicable) in the case of any Loan Party which is a limited liability company, or such other individuals, designated by written notice to the Administrative Agent from the Borrower, authorized to execute notices, reports and other documents on behalf of such Loan Party required hereunder. The Borrower may amend such list of individuals from time to time by giving written notice of such amendment to the Administrative Agent.</w:t>
      </w:r>
    </w:p>
    <w:p>
      <w:pPr>
        <w:spacing w:after="0" w:line="144"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0000FF"/>
        </w:rPr>
        <w:t>Available Tenor means, as of any date of determination and with respect to the then-current Benchmark, as applicable, (x) if such Benchmark is a term rate or is based on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of such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40"/>
          </w:cols>
          <w:pgMar w:left="520" w:top="1440" w:right="339" w:bottom="1440" w:gutter="0" w:footer="0" w:header="0"/>
        </w:sectPr>
      </w:pPr>
    </w:p>
    <w:bookmarkStart w:id="95" w:name="page96"/>
    <w:bookmarkEnd w:id="95"/>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that is then-removed from the definition of "Interest Period" pursuant to clause (iv) of Section 4.4.4 [Benchmark Replacement Setting].</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xml:space="preserve"> means the exercise of any Write-Down and Conversion Powers by the applicable EEA Resolution Authority in respect of any liability of an </w:t>
      </w:r>
      <w:r>
        <w:rPr>
          <w:rFonts w:ascii="Times New Roman" w:cs="Times New Roman" w:eastAsia="Times New Roman" w:hAnsi="Times New Roman"/>
          <w:sz w:val="20"/>
          <w:szCs w:val="20"/>
          <w:color w:val="FF0000"/>
          <w:strike w:val="1"/>
        </w:rPr>
        <w:t>EEA</w:t>
      </w:r>
      <w:r>
        <w:rPr>
          <w:rFonts w:ascii="Times New Roman" w:cs="Times New Roman" w:eastAsia="Times New Roman" w:hAnsi="Times New Roman"/>
          <w:sz w:val="20"/>
          <w:szCs w:val="20"/>
          <w:u w:val="single" w:color="auto"/>
          <w:color w:val="0000FF"/>
        </w:rPr>
        <w:t>Affected</w:t>
      </w:r>
      <w:r>
        <w:rPr>
          <w:rFonts w:ascii="Times New Roman" w:cs="Times New Roman" w:eastAsia="Times New Roman" w:hAnsi="Times New Roman"/>
          <w:sz w:val="20"/>
          <w:szCs w:val="20"/>
          <w:color w:val="auto"/>
        </w:rPr>
        <w:t xml:space="preserve"> Financial Institution.</w:t>
      </w:r>
    </w:p>
    <w:p>
      <w:pPr>
        <w:spacing w:after="0" w:line="140"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with respect to any EEA Member Country implementing Article 55 of Directive 2014/59/EU of the European Parliament and of the Council of the European Union, the implementing law</w:t>
      </w:r>
      <w:r>
        <w:rPr>
          <w:rFonts w:ascii="Times New Roman" w:cs="Times New Roman" w:eastAsia="Times New Roman" w:hAnsi="Times New Roman"/>
          <w:sz w:val="20"/>
          <w:szCs w:val="20"/>
          <w:u w:val="single" w:color="auto"/>
          <w:color w:val="0000FF"/>
        </w:rPr>
        <w:t>, regulation, rule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requirement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for such EEA Member Country from time to time which is described in the EU Bail-In Legislation Schedule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Times New Roman" w:cs="Times New Roman" w:eastAsia="Times New Roman" w:hAnsi="Times New Roman"/>
          <w:sz w:val="20"/>
          <w:szCs w:val="20"/>
          <w:color w:val="000000"/>
        </w:rPr>
        <w:t>.</w:t>
      </w:r>
    </w:p>
    <w:p>
      <w:pPr>
        <w:spacing w:after="0" w:line="141"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shall mean, for any day, a fluctuating per annum rate of interest equal to the highest of (i) the Overnight Bank Funding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 (ii) the Prime Rate, or (iii) the Daily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Simple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basis points (1.0%)</w:t>
      </w:r>
      <w:r>
        <w:rPr>
          <w:rFonts w:ascii="Times New Roman" w:cs="Times New Roman" w:eastAsia="Times New Roman" w:hAnsi="Times New Roman"/>
          <w:sz w:val="20"/>
          <w:szCs w:val="20"/>
          <w:u w:val="single" w:color="auto"/>
          <w:color w:val="0000FF"/>
        </w:rPr>
        <w:t>, so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long as Daily Simple SOFR is offered, ascertainable and not unlawful; provided, however, if the Base Rate as determined above would be less than zero, then such rate shall be deemed to be zero</w:t>
      </w:r>
      <w:r>
        <w:rPr>
          <w:rFonts w:ascii="Times New Roman" w:cs="Times New Roman" w:eastAsia="Times New Roman" w:hAnsi="Times New Roman"/>
          <w:sz w:val="20"/>
          <w:szCs w:val="20"/>
          <w:color w:val="000000"/>
        </w:rPr>
        <w:t>. Any change in the Base Rate (or any component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thereof) shall take effect at the opening of business on the day such change occurs. </w:t>
      </w:r>
      <w:r>
        <w:rPr>
          <w:rFonts w:ascii="Times New Roman" w:cs="Times New Roman" w:eastAsia="Times New Roman" w:hAnsi="Times New Roman"/>
          <w:sz w:val="20"/>
          <w:szCs w:val="20"/>
          <w:u w:val="single" w:color="auto"/>
          <w:color w:val="00C000"/>
        </w:rPr>
        <w:t>Notwithstanding anything to the contrary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C000"/>
        </w:rPr>
        <w:t xml:space="preserve">contained herein, </w:t>
      </w:r>
      <w:r>
        <w:rPr>
          <w:rFonts w:ascii="Times New Roman" w:cs="Times New Roman" w:eastAsia="Times New Roman" w:hAnsi="Times New Roman"/>
          <w:sz w:val="20"/>
          <w:szCs w:val="20"/>
          <w:u w:val="single" w:color="auto"/>
          <w:color w:val="0000FF"/>
        </w:rPr>
        <w:t>in the case of any event specified in Section 4.4.1 [Unascertainable; Increased Costs] or Section 4.4.2</w:t>
      </w:r>
      <w:r>
        <w:rPr>
          <w:rFonts w:ascii="Times New Roman" w:cs="Times New Roman" w:eastAsia="Times New Roman" w:hAnsi="Times New Roman"/>
          <w:sz w:val="20"/>
          <w:szCs w:val="20"/>
          <w:u w:val="single" w:color="auto"/>
          <w:color w:val="00C000"/>
        </w:rPr>
        <w:t xml:space="preserve"> </w:t>
      </w:r>
      <w:r>
        <w:rPr>
          <w:rFonts w:ascii="Times New Roman" w:cs="Times New Roman" w:eastAsia="Times New Roman" w:hAnsi="Times New Roman"/>
          <w:sz w:val="20"/>
          <w:szCs w:val="20"/>
          <w:u w:val="single" w:color="auto"/>
          <w:color w:val="0000FF"/>
        </w:rPr>
        <w:t>[Illegality], to the extent any such determination affects the calculation of Base Rate, the definition hereof shall be calculated without reference to clause (iii) until the circumstances giving rise to such event no longer exist.</w:t>
      </w:r>
    </w:p>
    <w:p>
      <w:pPr>
        <w:spacing w:after="0" w:line="148"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Base Rate Option</w:t>
      </w:r>
      <w:r>
        <w:rPr>
          <w:rFonts w:ascii="Times New Roman" w:cs="Times New Roman" w:eastAsia="Times New Roman" w:hAnsi="Times New Roman"/>
          <w:sz w:val="20"/>
          <w:szCs w:val="20"/>
          <w:color w:val="auto"/>
        </w:rPr>
        <w:t xml:space="preserve"> shall mean the option of the Borrower to have Loans bear interest at the rate and under the terms set forth in Section 4.1.1(i) [Base Rate Option].</w:t>
      </w:r>
    </w:p>
    <w:p>
      <w:pPr>
        <w:spacing w:after="0" w:line="140"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0000FF"/>
        </w:rPr>
        <w:t>Benchmark means, initially, the Term SOFR Rate; provided that if a Benchmark Transition Event has occurred with respect to the Term SOFR Rate or the then-current Benchmark, then “Benchmark” means the applicable Benchmark Replacement to the extent that such Benchmark Replacement has replaced such prior benchmark rate pursuant to Section 4.4.4 [Benchmark Replacement Setting].</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Benchmark Replacement means, with respect to any Benchmark Transition Event, the first alternative set forth in the order below that can be reasonably determined by the Administrative Agent for the applicable Benchmark Replacement Date:</w:t>
      </w:r>
    </w:p>
    <w:p>
      <w:pPr>
        <w:spacing w:after="0" w:line="140" w:lineRule="exact"/>
        <w:rPr>
          <w:sz w:val="20"/>
          <w:szCs w:val="20"/>
          <w:color w:val="auto"/>
        </w:rPr>
      </w:pPr>
    </w:p>
    <w:p>
      <w:pPr>
        <w:ind w:left="1440" w:hanging="432"/>
        <w:spacing w:after="0"/>
        <w:tabs>
          <w:tab w:leader="none" w:pos="1440" w:val="left"/>
        </w:tabs>
        <w:numPr>
          <w:ilvl w:val="0"/>
          <w:numId w:val="5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sum of: (A) Daily Simple SOFR and (B) the SOFR Adjustment for a 1-month Interest Period;</w:t>
      </w:r>
    </w:p>
    <w:p>
      <w:pPr>
        <w:spacing w:after="0" w:line="172" w:lineRule="exact"/>
        <w:rPr>
          <w:rFonts w:ascii="Times New Roman" w:cs="Times New Roman" w:eastAsia="Times New Roman" w:hAnsi="Times New Roman"/>
          <w:sz w:val="20"/>
          <w:szCs w:val="20"/>
          <w:u w:val="single" w:color="auto"/>
          <w:color w:val="0000FF"/>
        </w:rPr>
      </w:pPr>
    </w:p>
    <w:p>
      <w:pPr>
        <w:jc w:val="both"/>
        <w:ind w:left="1000" w:firstLine="8"/>
        <w:spacing w:after="0" w:line="225" w:lineRule="auto"/>
        <w:tabs>
          <w:tab w:leader="none" w:pos="1505" w:val="left"/>
        </w:tabs>
        <w:numPr>
          <w:ilvl w:val="0"/>
          <w:numId w:val="5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sum of (A) the alternate benchmark rate that has been reasonably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40"/>
          </w:cols>
          <w:pgMar w:left="520" w:top="1440" w:right="339" w:bottom="1440" w:gutter="0" w:footer="0" w:header="0"/>
        </w:sectPr>
      </w:pPr>
    </w:p>
    <w:bookmarkStart w:id="96" w:name="page97"/>
    <w:bookmarkEnd w:id="96"/>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rate as a replacement to the then-current Benchmark for U.S. dollar-denominated syndicated credit facilities at such time and (B) the related Benchmark Replacement Adjustment;</w:t>
      </w:r>
    </w:p>
    <w:p>
      <w:pPr>
        <w:spacing w:after="0" w:line="140"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0000FF"/>
        </w:rPr>
        <w:t>provided that if the Benchmark Replacement as determined pursuant to clause (2) above would be less than the Floor, the Benchmark Replacement will be deemed to be the Floor for the purposes of this Agreement and the other Loan Documents; and provided further, that any Benchmark Replacement shall be administratively feasible as determined by the Administrative Agent in its sole discretion.</w:t>
      </w:r>
    </w:p>
    <w:p>
      <w:pPr>
        <w:spacing w:after="0" w:line="144"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u w:val="single" w:color="auto"/>
          <w:color w:val="0000FF"/>
        </w:rPr>
        <w:t>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reasonably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4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Benchmark Replacement Date means a date and time determined by the Administrative Agent, which date shall be no later than the earliest to occur of the following events with respect to the then-current Benchmark:</w:t>
      </w:r>
    </w:p>
    <w:p>
      <w:pPr>
        <w:spacing w:after="0" w:line="140"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0000FF"/>
        </w:rPr>
        <w:t>(1)in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(2)in the case of clause (3) of the definition of "Benchmark Transition Event," the date determined by the Administrative Agent, which date shall promptly follow the date of the public statement or publication of information referenced therein;</w:t>
      </w:r>
    </w:p>
    <w:p>
      <w:pPr>
        <w:spacing w:after="0" w:line="1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For the avoidance of doubt, the "Benchmark Replacement Date" will be deemed to have occurred in the case of clause (1) or</w:t>
      </w:r>
    </w:p>
    <w:p>
      <w:pPr>
        <w:ind w:left="1000" w:firstLine="8"/>
        <w:spacing w:after="0" w:line="229" w:lineRule="auto"/>
        <w:tabs>
          <w:tab w:leader="none" w:pos="1289" w:val="left"/>
        </w:tabs>
        <w:numPr>
          <w:ilvl w:val="0"/>
          <w:numId w:val="5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 respect to any Benchmark upon the occurrence of the applicable event or events set forth therein with respect to all then-current Available Tenors of such Benchmark (or the published component used in the calculation thereof).</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Benchmark Transition Event means, the occurrence of one or more of the following events, with respect to the then-current</w:t>
      </w:r>
    </w:p>
    <w:p>
      <w:pPr>
        <w:ind w:left="1000"/>
        <w:spacing w:after="0"/>
        <w:rPr>
          <w:sz w:val="20"/>
          <w:szCs w:val="20"/>
          <w:color w:val="auto"/>
        </w:rPr>
      </w:pPr>
      <w:r>
        <w:rPr>
          <w:rFonts w:ascii="Times New Roman" w:cs="Times New Roman" w:eastAsia="Times New Roman" w:hAnsi="Times New Roman"/>
          <w:sz w:val="20"/>
          <w:szCs w:val="20"/>
          <w:u w:val="single" w:color="auto"/>
          <w:color w:val="0000FF"/>
        </w:rPr>
        <w:t>Benchmark:</w:t>
      </w:r>
    </w:p>
    <w:p>
      <w:pPr>
        <w:spacing w:after="0" w:line="151" w:lineRule="exact"/>
        <w:rPr>
          <w:sz w:val="20"/>
          <w:szCs w:val="20"/>
          <w:color w:val="auto"/>
        </w:rPr>
      </w:pPr>
    </w:p>
    <w:p>
      <w:pPr>
        <w:jc w:val="both"/>
        <w:ind w:left="1000" w:firstLine="8"/>
        <w:spacing w:after="0" w:line="225" w:lineRule="auto"/>
        <w:tabs>
          <w:tab w:leader="none" w:pos="1550" w:val="left"/>
        </w:tabs>
        <w:numPr>
          <w:ilvl w:val="0"/>
          <w:numId w:val="5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40"/>
          </w:cols>
          <w:pgMar w:left="520" w:top="1440" w:right="339" w:bottom="1440" w:gutter="0" w:footer="0" w:header="0"/>
        </w:sectPr>
      </w:pPr>
    </w:p>
    <w:bookmarkStart w:id="97" w:name="page98"/>
    <w:bookmarkEnd w:id="97"/>
    <w:p>
      <w:pPr>
        <w:spacing w:after="0" w:line="71" w:lineRule="exact"/>
        <w:rPr>
          <w:sz w:val="20"/>
          <w:szCs w:val="20"/>
          <w:color w:val="auto"/>
        </w:rPr>
      </w:pPr>
    </w:p>
    <w:p>
      <w:pPr>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publication, there is no successor administrator that will continue to provide any Available Tenor of such Benchmark (or such component thereof);</w:t>
      </w:r>
    </w:p>
    <w:p>
      <w:pPr>
        <w:spacing w:after="0" w:line="140" w:lineRule="exact"/>
        <w:rPr>
          <w:sz w:val="20"/>
          <w:szCs w:val="20"/>
          <w:color w:val="auto"/>
        </w:rPr>
      </w:pPr>
    </w:p>
    <w:p>
      <w:pPr>
        <w:jc w:val="both"/>
        <w:ind w:left="1000" w:firstLine="8"/>
        <w:spacing w:after="0"/>
        <w:tabs>
          <w:tab w:leader="none" w:pos="1555" w:val="left"/>
        </w:tabs>
        <w:numPr>
          <w:ilvl w:val="0"/>
          <w:numId w:val="5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44" w:lineRule="exact"/>
        <w:rPr>
          <w:rFonts w:ascii="Times New Roman" w:cs="Times New Roman" w:eastAsia="Times New Roman" w:hAnsi="Times New Roman"/>
          <w:sz w:val="20"/>
          <w:szCs w:val="20"/>
          <w:u w:val="single" w:color="auto"/>
          <w:color w:val="0000FF"/>
        </w:rPr>
      </w:pPr>
    </w:p>
    <w:p>
      <w:pPr>
        <w:jc w:val="both"/>
        <w:ind w:left="1000" w:firstLine="8"/>
        <w:spacing w:after="0" w:line="225" w:lineRule="auto"/>
        <w:tabs>
          <w:tab w:leader="none" w:pos="1456" w:val="left"/>
        </w:tabs>
        <w:numPr>
          <w:ilvl w:val="0"/>
          <w:numId w:val="5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 public statement or publication of information by the regulatory supervisor for the administrator of such Benchmark (or the published component used in the calculation thereof) or an Official Body having jurisdiction over the Administrative Agent announcing that all Available Tenors of such Benchmark (or such component thereof) are not, or as of a specified future date will not be, representative.</w:t>
      </w:r>
    </w:p>
    <w:p>
      <w:pPr>
        <w:spacing w:after="0" w:line="1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For the avoidance of doubt, a "Benchmark Transition Event" will be deemed to have occurred with respect to any</w:t>
      </w:r>
    </w:p>
    <w:p>
      <w:pPr>
        <w:ind w:left="1000"/>
        <w:spacing w:after="0" w:line="210" w:lineRule="auto"/>
        <w:rPr>
          <w:sz w:val="20"/>
          <w:szCs w:val="20"/>
          <w:color w:val="auto"/>
        </w:rPr>
      </w:pPr>
      <w:r>
        <w:rPr>
          <w:rFonts w:ascii="Times New Roman" w:cs="Times New Roman" w:eastAsia="Times New Roman" w:hAnsi="Times New Roman"/>
          <w:sz w:val="20"/>
          <w:szCs w:val="20"/>
          <w:u w:val="single" w:color="auto"/>
          <w:color w:val="0000FF"/>
        </w:rPr>
        <w:t>Benchmark if a public statement or publication of information set forth above has occurred with respect to each then-current</w:t>
      </w:r>
    </w:p>
    <w:p>
      <w:pPr>
        <w:ind w:left="1000"/>
        <w:spacing w:after="0"/>
        <w:rPr>
          <w:sz w:val="20"/>
          <w:szCs w:val="20"/>
          <w:color w:val="auto"/>
        </w:rPr>
      </w:pPr>
      <w:r>
        <w:rPr>
          <w:rFonts w:ascii="Times New Roman" w:cs="Times New Roman" w:eastAsia="Times New Roman" w:hAnsi="Times New Roman"/>
          <w:sz w:val="20"/>
          <w:szCs w:val="20"/>
          <w:u w:val="single" w:color="auto"/>
          <w:color w:val="0000FF"/>
        </w:rPr>
        <w:t>Available Tenor of such Benchmark (or the published component used in the calculation thereof).</w:t>
      </w:r>
    </w:p>
    <w:p>
      <w:pPr>
        <w:spacing w:after="0" w:line="151"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0000FF"/>
        </w:rPr>
        <w:t>Benchmark Unavailability Period means the period (if any) (x) beginning at the time that a Benchmark Replacement Date has occurred if, at such time, no Benchmark Replacement has replaced the then-current Benchmark for all purposes hereunder and under any Loan Document in accordance with Section 4.4.4 [Benchmark Replacement Setting] and (y) ending at the time that a Benchmark Replacement has replaced the then-current Benchmark for all purposes hereunder and under any Loan Document in accordance with Section 4.4.4 [Benchmark Replacement Setting].</w:t>
      </w:r>
    </w:p>
    <w:p>
      <w:pPr>
        <w:spacing w:after="0" w:line="144"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xml:space="preserve"> shall mean each of the following: (a) each individual, if any, who, directly or indirectly, owns 25% or more of such Borrower’s equity interests; and (b) a single individual with significant responsibility to control, manage, or direct the Borrower.</w:t>
      </w:r>
    </w:p>
    <w:p>
      <w:pPr>
        <w:spacing w:after="0" w:line="144"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FF0000"/>
          <w:strike w:val="1"/>
        </w:rPr>
        <w:t xml:space="preserve">Benefit Plan </w:t>
      </w:r>
      <w:r>
        <w:rPr>
          <w:rFonts w:ascii="Times New Roman" w:cs="Times New Roman" w:eastAsia="Times New Roman" w:hAnsi="Times New Roman"/>
          <w:sz w:val="20"/>
          <w:szCs w:val="20"/>
          <w:color w:val="FF0000"/>
          <w:strike w:val="1"/>
        </w:rPr>
        <w:t>shall mean any of (a) an "employee benefit plan" (as defined in ERISA) that is subject to Title I of ERISA, (b)</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shall have the meaning specified in the introductory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40"/>
          </w:cols>
          <w:pgMar w:left="520" w:top="1440" w:right="339" w:bottom="1440" w:gutter="0" w:footer="0" w:header="0"/>
        </w:sectPr>
      </w:pPr>
    </w:p>
    <w:bookmarkStart w:id="98" w:name="page99"/>
    <w:bookmarkEnd w:id="98"/>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Borrowing Date</w:t>
      </w:r>
      <w:r>
        <w:rPr>
          <w:rFonts w:ascii="Times New Roman" w:cs="Times New Roman" w:eastAsia="Times New Roman" w:hAnsi="Times New Roman"/>
          <w:sz w:val="20"/>
          <w:szCs w:val="20"/>
          <w:color w:val="auto"/>
        </w:rPr>
        <w:t xml:space="preserve"> shall mean, with respect to any Loan, the date for the making thereof or the renewal or conversion thereof at or to the same or a different Interest Rate Option, which shall be a Business Day.</w:t>
      </w:r>
    </w:p>
    <w:p>
      <w:pPr>
        <w:spacing w:after="0" w:line="140"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Borrowing Tranche</w:t>
      </w:r>
      <w:r>
        <w:rPr>
          <w:rFonts w:ascii="Times New Roman" w:cs="Times New Roman" w:eastAsia="Times New Roman" w:hAnsi="Times New Roman"/>
          <w:sz w:val="20"/>
          <w:szCs w:val="20"/>
          <w:color w:val="auto"/>
        </w:rPr>
        <w:t xml:space="preserve"> shall mean specified portions of Loans outstanding as follows: (i) any Loans to which a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Option applies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which become subject to the same Interest Rate Option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under the same Loan Request by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Borrower and which have the same Interest Period shall constitute one Borrowing Tranche, and (ii) all Loans to which a Base Rate Option applies shall constitute one Borrowing Tranche.</w:t>
      </w:r>
    </w:p>
    <w:p>
      <w:pPr>
        <w:spacing w:after="0" w:line="144"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shall mean any day other than a Saturday or Sunday or a legal holiday on which commercial banks are authorized or required to be closed</w:t>
      </w:r>
      <w:r>
        <w:rPr>
          <w:rFonts w:ascii="Times New Roman" w:cs="Times New Roman" w:eastAsia="Times New Roman" w:hAnsi="Times New Roman"/>
          <w:sz w:val="20"/>
          <w:szCs w:val="20"/>
          <w:u w:val="single" w:color="auto"/>
          <w:color w:val="0000FF"/>
        </w:rPr>
        <w:t>, or are in fact closed,</w:t>
      </w:r>
      <w:r>
        <w:rPr>
          <w:rFonts w:ascii="Times New Roman" w:cs="Times New Roman" w:eastAsia="Times New Roman" w:hAnsi="Times New Roman"/>
          <w:sz w:val="20"/>
          <w:szCs w:val="20"/>
          <w:color w:val="auto"/>
        </w:rPr>
        <w:t xml:space="preserve"> for business in Pittsburgh, Pennsylvania </w:t>
      </w:r>
      <w:r>
        <w:rPr>
          <w:rFonts w:ascii="Times New Roman" w:cs="Times New Roman" w:eastAsia="Times New Roman" w:hAnsi="Times New Roman"/>
          <w:sz w:val="20"/>
          <w:szCs w:val="20"/>
          <w:color w:val="FF0000"/>
        </w:rPr>
        <w:t>and if</w:t>
      </w:r>
      <w:r>
        <w:rPr>
          <w:rFonts w:ascii="Times New Roman" w:cs="Times New Roman" w:eastAsia="Times New Roman" w:hAnsi="Times New Roman"/>
          <w:sz w:val="20"/>
          <w:szCs w:val="20"/>
          <w:u w:val="single" w:color="auto"/>
          <w:color w:val="0000FF"/>
        </w:rPr>
        <w:t>; provided that, when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used in connection with an amount that bears interest at a rate based on SOFR or any direct or indirect calculation or determination of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term “</w:t>
      </w:r>
      <w:r>
        <w:rPr>
          <w:rFonts w:ascii="Times New Roman" w:cs="Times New Roman" w:eastAsia="Times New Roman" w:hAnsi="Times New Roman"/>
          <w:sz w:val="20"/>
          <w:szCs w:val="20"/>
          <w:color w:val="000000"/>
        </w:rPr>
        <w:t>Business Day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relates to</w:t>
      </w:r>
      <w:r>
        <w:rPr>
          <w:rFonts w:ascii="Times New Roman" w:cs="Times New Roman" w:eastAsia="Times New Roman" w:hAnsi="Times New Roman"/>
          <w:sz w:val="20"/>
          <w:szCs w:val="20"/>
          <w:u w:val="single" w:color="auto"/>
          <w:color w:val="0000FF"/>
        </w:rPr>
        <w:t>” means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rPr>
        <w:t>Loan to which the LIBOR Rate Option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applies,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such day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must</w:t>
      </w:r>
      <w:r>
        <w:rPr>
          <w:rFonts w:ascii="Times New Roman" w:cs="Times New Roman" w:eastAsia="Times New Roman" w:hAnsi="Times New Roman"/>
          <w:sz w:val="20"/>
          <w:szCs w:val="20"/>
          <w:u w:val="single" w:color="auto"/>
          <w:color w:val="0000FF"/>
        </w:rPr>
        <w:t>that is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also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day on which dealings are carried on in the London interbank market</w:t>
      </w:r>
      <w:r>
        <w:rPr>
          <w:rFonts w:ascii="Times New Roman" w:cs="Times New Roman" w:eastAsia="Times New Roman" w:hAnsi="Times New Roman"/>
          <w:sz w:val="20"/>
          <w:szCs w:val="20"/>
          <w:u w:val="single" w:color="auto"/>
          <w:color w:val="0000FF"/>
        </w:rPr>
        <w:t>U.S.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Government Securities Business Day</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5600065</wp:posOffset>
            </wp:positionH>
            <wp:positionV relativeFrom="paragraph">
              <wp:posOffset>-586740</wp:posOffset>
            </wp:positionV>
            <wp:extent cx="3263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326390" cy="8255"/>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-331470</wp:posOffset>
            </wp:positionV>
            <wp:extent cx="21145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2114550" cy="8255"/>
                    </a:xfrm>
                    <a:prstGeom prst="rect">
                      <a:avLst/>
                    </a:prstGeom>
                    <a:noFill/>
                  </pic:spPr>
                </pic:pic>
              </a:graphicData>
            </a:graphic>
          </wp:anchor>
        </w:drawing>
      </w:r>
    </w:p>
    <w:p>
      <w:pPr>
        <w:spacing w:after="0" w:line="1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Business Material Adverse Effect</w:t>
      </w:r>
      <w:r>
        <w:rPr>
          <w:rFonts w:ascii="Times New Roman" w:cs="Times New Roman" w:eastAsia="Times New Roman" w:hAnsi="Times New Roman"/>
          <w:sz w:val="20"/>
          <w:szCs w:val="20"/>
          <w:color w:val="auto"/>
        </w:rPr>
        <w:t xml:space="preserve"> shall have the meaning specified in the Acquisition Agreement.</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xml:space="preserve"> shall mean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44"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u w:val="single" w:color="auto"/>
          <w:color w:val="0000FF"/>
        </w:rPr>
        <w:t>Cash Collateralize shall mean, to pledge and deposit with or deliver to the Administrative Agent, for the benefit of one or more of the Issuing Lender or the Lenders, as collateral for Letter of Credit Obligations or obligations of Lenders to fund participations in respect of Letter of Credit Obligations, cash or deposit account balances or, if the Administrative Agent and each applicable Issuing Lender shall agree in their sole discretion, other credit support, in each case pursuant to documentation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in form and substance satisfactory to</w:t>
      </w:r>
      <w:r>
        <w:rPr>
          <w:rFonts w:ascii="Times New Roman" w:cs="Times New Roman" w:eastAsia="Times New Roman" w:hAnsi="Times New Roman"/>
          <w:sz w:val="20"/>
          <w:szCs w:val="20"/>
          <w:color w:val="0000FF"/>
        </w:rPr>
        <w:t xml:space="preserve"> the Administrative Agent and each applicable Issuing Lender. “Cash </w:t>
      </w:r>
      <w:r>
        <w:rPr>
          <w:rFonts w:ascii="Times New Roman" w:cs="Times New Roman" w:eastAsia="Times New Roman" w:hAnsi="Times New Roman"/>
          <w:sz w:val="20"/>
          <w:szCs w:val="20"/>
          <w:u w:val="single" w:color="auto"/>
          <w:color w:val="0000FF"/>
        </w:rPr>
        <w:t>Collateral” shall have a meaning correlative to the foregoing and shall include the proceeds of such cash collateral and other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-285115</wp:posOffset>
            </wp:positionV>
            <wp:extent cx="56121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5612130" cy="8255"/>
                    </a:xfrm>
                    <a:prstGeom prst="rect">
                      <a:avLst/>
                    </a:prstGeom>
                    <a:noFill/>
                  </pic:spPr>
                </pic:pic>
              </a:graphicData>
            </a:graphic>
          </wp:anchor>
        </w:drawing>
      </w:r>
    </w:p>
    <w:p>
      <w:pPr>
        <w:spacing w:after="0" w:line="12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Cash Management Agreements</w:t>
      </w:r>
      <w:r>
        <w:rPr>
          <w:rFonts w:ascii="Times New Roman" w:cs="Times New Roman" w:eastAsia="Times New Roman" w:hAnsi="Times New Roman"/>
          <w:sz w:val="20"/>
          <w:szCs w:val="20"/>
          <w:color w:val="auto"/>
        </w:rPr>
        <w:t xml:space="preserve"> shall have the meaning specified in Section 2.6.6 [Swing Loans Under Cash Management Agreements].</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Casualty Event</w:t>
      </w:r>
      <w:r>
        <w:rPr>
          <w:rFonts w:ascii="Times New Roman" w:cs="Times New Roman" w:eastAsia="Times New Roman" w:hAnsi="Times New Roman"/>
          <w:sz w:val="20"/>
          <w:szCs w:val="20"/>
          <w:color w:val="auto"/>
        </w:rPr>
        <w:t xml:space="preserve"> shall mean an event that gives rise to the receipt by any of the Loan Parties or their Subsidiaries of any property or casualty insurance proceeds or condemnation awards in respect of any personal or real property.</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CEA</w:t>
      </w:r>
      <w:r>
        <w:rPr>
          <w:rFonts w:ascii="Times New Roman" w:cs="Times New Roman" w:eastAsia="Times New Roman" w:hAnsi="Times New Roman"/>
          <w:sz w:val="20"/>
          <w:szCs w:val="20"/>
          <w:color w:val="auto"/>
        </w:rPr>
        <w:t xml:space="preserve"> shall mean the Commodity Exchange Act (7 U.S.C.§1 et seq.), as amended from time to time, and any successor statute.</w:t>
      </w:r>
    </w:p>
    <w:p>
      <w:pPr>
        <w:spacing w:after="0" w:line="140"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Certificate of Beneficial Ownership</w:t>
      </w:r>
      <w:r>
        <w:rPr>
          <w:rFonts w:ascii="Times New Roman" w:cs="Times New Roman" w:eastAsia="Times New Roman" w:hAnsi="Times New Roman"/>
          <w:sz w:val="20"/>
          <w:szCs w:val="20"/>
          <w:color w:val="auto"/>
        </w:rPr>
        <w:t xml:space="preserve"> shall mean a certificate in form and substance acceptable to the Administrative Agent (as amended or modified by Administrative Agent from time to time in its sole discretion) certifying, among other things, the Beneficial Owner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40"/>
          </w:cols>
          <w:pgMar w:left="520" w:top="1440" w:right="339" w:bottom="1440" w:gutter="0" w:footer="0" w:header="0"/>
        </w:sectPr>
      </w:pPr>
    </w:p>
    <w:bookmarkStart w:id="99" w:name="page100"/>
    <w:bookmarkEnd w:id="99"/>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CFTC</w:t>
      </w:r>
      <w:r>
        <w:rPr>
          <w:rFonts w:ascii="Times New Roman" w:cs="Times New Roman" w:eastAsia="Times New Roman" w:hAnsi="Times New Roman"/>
          <w:sz w:val="20"/>
          <w:szCs w:val="20"/>
          <w:color w:val="auto"/>
        </w:rPr>
        <w:t xml:space="preserve"> shall mean the Commodity Futures Trading Commission.</w:t>
      </w:r>
    </w:p>
    <w:p>
      <w:pPr>
        <w:spacing w:after="0" w:line="173" w:lineRule="exact"/>
        <w:rPr>
          <w:sz w:val="20"/>
          <w:szCs w:val="20"/>
          <w:color w:val="auto"/>
        </w:rPr>
      </w:pPr>
    </w:p>
    <w:p>
      <w:pPr>
        <w:jc w:val="both"/>
        <w:ind w:left="1000"/>
        <w:spacing w:after="0" w:line="216" w:lineRule="auto"/>
        <w:rPr>
          <w:sz w:val="20"/>
          <w:szCs w:val="20"/>
          <w:color w:val="auto"/>
        </w:rPr>
      </w:pP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shall mean the occurrence, after the date of this Agreement, of any of the following: (i) the adoption or taking effect of any Law, (ii) any change in any Law or in the administration, interpretation, implementation or application thereof by any Official Body or (iii) the making or issuance of any request, rule, guideline or directive (whether or not having the force of Law) by any Official Body;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(a) the Dodd-Frank Wall Street Reform and Consumer Protection Act and all requests, rules, regulations, guidelines, interpretations or directives thereunder or issued in connection therewith (whether or not having the force of Law)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44"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xml:space="preserve"> shall mean (i) any "person" or "group" (as such terms are used in Section 13(d) of the Securities Exchange Act of 1934, as amended (the "Exchange Act")), shall have acquired "beneficial ownership" (as defined in Rule 13(d)-3 under the Exchange Act), directly or indirectly, of more than 30% of the Capital Stock of the Borrower, or (ii) the board of directors of the Borrower shall cease to consist of a majority of Continuing Directors.</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CIP Regulations</w:t>
      </w:r>
      <w:r>
        <w:rPr>
          <w:rFonts w:ascii="Times New Roman" w:cs="Times New Roman" w:eastAsia="Times New Roman" w:hAnsi="Times New Roman"/>
          <w:sz w:val="20"/>
          <w:szCs w:val="20"/>
          <w:color w:val="auto"/>
        </w:rPr>
        <w:t xml:space="preserve"> shall have the meaning specified in Section 10.11 [No Reliance on Administrative Agent's Customer Identification Program].</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shall mean the Business Day on which the first Loan shall be made, which shall be October 15, 2018.</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Closing Date Compliance Certificate</w:t>
      </w:r>
      <w:r>
        <w:rPr>
          <w:rFonts w:ascii="Times New Roman" w:cs="Times New Roman" w:eastAsia="Times New Roman" w:hAnsi="Times New Roman"/>
          <w:sz w:val="20"/>
          <w:szCs w:val="20"/>
          <w:color w:val="auto"/>
        </w:rPr>
        <w:t xml:space="preserve"> shall have the meaning specified in Section 7.1.1(vi) [Deliveries].</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xml:space="preserve"> shall mean the Internal Revenue Code of 1986, as the same may be amended or supplemented from time to time, and any successor statute of similar import, and the rules and regulations thereunder, as from time to time in effect.</w:t>
      </w:r>
    </w:p>
    <w:p>
      <w:pPr>
        <w:spacing w:after="0" w:line="140"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shall mean as to any Lender, its Revolving Credit Commitment and, in the case of PNC, its Swing Loan Commitment, and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xml:space="preserve"> shall mean the aggregate of the Revolving Credit Commitments and Swing Loan Commitment of all of the Lenders.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shall have the meaning specified in Section 2.3 [Commitment Fees].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FF0000"/>
          <w:strike w:val="1"/>
        </w:rPr>
        <w:t xml:space="preserve">Compliance Authority </w:t>
      </w:r>
      <w:r>
        <w:rPr>
          <w:rFonts w:ascii="Times New Roman" w:cs="Times New Roman" w:eastAsia="Times New Roman" w:hAnsi="Times New Roman"/>
          <w:sz w:val="20"/>
          <w:szCs w:val="20"/>
          <w:color w:val="FF0000"/>
          <w:strike w:val="1"/>
        </w:rPr>
        <w:t>shall mean each and all of (a) U.S. Treasury Department/</w:t>
      </w:r>
      <w:r>
        <w:rPr>
          <w:rFonts w:ascii="Times New Roman" w:cs="Times New Roman" w:eastAsia="Times New Roman" w:hAnsi="Times New Roman"/>
          <w:sz w:val="20"/>
          <w:szCs w:val="20"/>
          <w:color w:val="00C000"/>
          <w:strike w:val="1"/>
        </w:rPr>
        <w:t>Office of Foreign Assets Control</w:t>
      </w:r>
      <w:r>
        <w:rPr>
          <w:rFonts w:ascii="Times New Roman" w:cs="Times New Roman" w:eastAsia="Times New Roman" w:hAnsi="Times New Roman"/>
          <w:sz w:val="20"/>
          <w:szCs w:val="20"/>
          <w:color w:val="FF0000"/>
          <w:strike w:val="1"/>
        </w:rPr>
        <w:t>, (b) U.S.</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Treasury Department/Financial Crimes Enforcement Network, (c) U.S. State Department/Directorate of Defense Trade Controls, (d) U.S. Commerce Department/Bureau of Industry and Security, (e) U.S. Internal Revenue Service, (f) U.S. Justice Department and (g)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040"/>
          </w:cols>
          <w:pgMar w:left="520" w:top="1440" w:right="339" w:bottom="1440" w:gutter="0" w:footer="0" w:header="0"/>
        </w:sectPr>
      </w:pPr>
    </w:p>
    <w:bookmarkStart w:id="100" w:name="page101"/>
    <w:bookmarkEnd w:id="100"/>
    <w:p>
      <w:pPr>
        <w:spacing w:after="0" w:line="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shall have the meaning specified in Section 8.3.3 [Certificate of the Borrower].</w:t>
      </w:r>
    </w:p>
    <w:p>
      <w:pPr>
        <w:spacing w:after="0" w:line="173" w:lineRule="exact"/>
        <w:rPr>
          <w:sz w:val="20"/>
          <w:szCs w:val="20"/>
          <w:color w:val="auto"/>
        </w:rPr>
      </w:pPr>
    </w:p>
    <w:p>
      <w:pPr>
        <w:jc w:val="both"/>
        <w:ind w:left="1200"/>
        <w:spacing w:after="0" w:line="215" w:lineRule="auto"/>
        <w:rPr>
          <w:sz w:val="20"/>
          <w:szCs w:val="20"/>
          <w:color w:val="auto"/>
        </w:rPr>
      </w:pPr>
      <w:r>
        <w:rPr>
          <w:rFonts w:ascii="Times New Roman" w:cs="Times New Roman" w:eastAsia="Times New Roman" w:hAnsi="Times New Roman"/>
          <w:sz w:val="20"/>
          <w:szCs w:val="20"/>
          <w:u w:val="single" w:color="auto"/>
          <w:color w:val="0000FF"/>
        </w:rPr>
        <w:t>Conforming Changes shall mean, with respect to the Term SOFR Rate or any Benchmark Replacement,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is reasonably appropriate to reflect the adoption and implementation of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or the Benchmark Replacement exists, in such other manner of administration as the Administrative Agent decides is reasonably necessary in connection with the administration of this Agreement and the other Loan Documents).</w:t>
      </w:r>
    </w:p>
    <w:p>
      <w:pPr>
        <w:spacing w:after="0" w:line="144"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xml:space="preserve"> shall mean Other Connection Taxes that are imposed on or measured by net income (however denominated) or that are franchise Taxes or branch profits Taxes.</w:t>
      </w:r>
    </w:p>
    <w:p>
      <w:pPr>
        <w:spacing w:after="0" w:line="140" w:lineRule="exact"/>
        <w:rPr>
          <w:sz w:val="20"/>
          <w:szCs w:val="20"/>
          <w:color w:val="auto"/>
        </w:rPr>
      </w:pPr>
    </w:p>
    <w:p>
      <w:pPr>
        <w:ind w:right="20" w:firstLine="1208"/>
        <w:spacing w:after="0" w:line="230" w:lineRule="auto"/>
        <w:rPr>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xml:space="preserve"> shall mean with respect to any Permitted Acquisition, the aggregate of (i) the cash paid by any of the Loan Parties, directly or indirectly, to the seller in connection therewith and (ii) the Indebtedness incurred or assumed by any of the Loan Parties, whether in favor of the seller or otherwise and whether fixed or contingent.</w:t>
      </w:r>
    </w:p>
    <w:p>
      <w:pPr>
        <w:spacing w:after="0" w:line="1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shall mean, for any period of determination, (i) the sum of net income, depreciation, amortization,</w:t>
      </w:r>
    </w:p>
    <w:p>
      <w:pPr>
        <w:spacing w:after="0" w:line="210" w:lineRule="auto"/>
        <w:rPr>
          <w:sz w:val="20"/>
          <w:szCs w:val="20"/>
          <w:color w:val="auto"/>
        </w:rPr>
      </w:pPr>
      <w:r>
        <w:rPr>
          <w:rFonts w:ascii="Times New Roman" w:cs="Times New Roman" w:eastAsia="Times New Roman" w:hAnsi="Times New Roman"/>
          <w:sz w:val="20"/>
          <w:szCs w:val="20"/>
          <w:color w:val="auto"/>
        </w:rPr>
        <w:t>other non-cash charges to net income, interest expense, income tax expense, unusual and non-recurring losses, charges or expenses</w:t>
      </w:r>
    </w:p>
    <w:p>
      <w:pPr>
        <w:spacing w:after="0" w:line="210" w:lineRule="auto"/>
        <w:rPr>
          <w:sz w:val="20"/>
          <w:szCs w:val="20"/>
          <w:color w:val="auto"/>
        </w:rPr>
      </w:pPr>
      <w:r>
        <w:rPr>
          <w:rFonts w:ascii="Times New Roman" w:cs="Times New Roman" w:eastAsia="Times New Roman" w:hAnsi="Times New Roman"/>
          <w:sz w:val="20"/>
          <w:szCs w:val="20"/>
          <w:color w:val="auto"/>
        </w:rPr>
        <w:t>(including in connection with this Agreement and the Acquisition which are expensed and not capitalized in an amount not to exceed</w:t>
      </w:r>
    </w:p>
    <w:p>
      <w:pPr>
        <w:spacing w:after="0" w:line="210" w:lineRule="auto"/>
        <w:rPr>
          <w:sz w:val="20"/>
          <w:szCs w:val="20"/>
          <w:color w:val="auto"/>
        </w:rPr>
      </w:pPr>
      <w:r>
        <w:rPr>
          <w:rFonts w:ascii="Times New Roman" w:cs="Times New Roman" w:eastAsia="Times New Roman" w:hAnsi="Times New Roman"/>
          <w:sz w:val="20"/>
          <w:szCs w:val="20"/>
          <w:color w:val="auto"/>
        </w:rPr>
        <w:t>$7,500,000) and extraordinary losses, minus (ii) non-cash credits to net income and extraordinary gains, in each case of the Borrower and</w:t>
      </w:r>
    </w:p>
    <w:p>
      <w:pPr>
        <w:spacing w:after="0" w:line="210" w:lineRule="auto"/>
        <w:rPr>
          <w:sz w:val="20"/>
          <w:szCs w:val="20"/>
          <w:color w:val="auto"/>
        </w:rPr>
      </w:pPr>
      <w:r>
        <w:rPr>
          <w:rFonts w:ascii="Times New Roman" w:cs="Times New Roman" w:eastAsia="Times New Roman" w:hAnsi="Times New Roman"/>
          <w:sz w:val="20"/>
          <w:szCs w:val="20"/>
          <w:color w:val="auto"/>
        </w:rPr>
        <w:t>its Subsidiaries for such period determined and consolidated in accordance with GAAP, provided, however that for the purposes of this</w:t>
      </w:r>
    </w:p>
    <w:p>
      <w:pPr>
        <w:spacing w:after="0" w:line="210" w:lineRule="auto"/>
        <w:rPr>
          <w:sz w:val="20"/>
          <w:szCs w:val="20"/>
          <w:color w:val="auto"/>
        </w:rPr>
      </w:pPr>
      <w:r>
        <w:rPr>
          <w:rFonts w:ascii="Times New Roman" w:cs="Times New Roman" w:eastAsia="Times New Roman" w:hAnsi="Times New Roman"/>
          <w:sz w:val="20"/>
          <w:szCs w:val="20"/>
          <w:color w:val="auto"/>
        </w:rPr>
        <w:t>definition, if at any time during such period, (1) the Borrower or any of its Subsidiaries purchases or acquires all or substantially all of the</w:t>
      </w:r>
    </w:p>
    <w:p>
      <w:pPr>
        <w:spacing w:after="0" w:line="210" w:lineRule="auto"/>
        <w:rPr>
          <w:sz w:val="20"/>
          <w:szCs w:val="20"/>
          <w:color w:val="auto"/>
        </w:rPr>
      </w:pPr>
      <w:r>
        <w:rPr>
          <w:rFonts w:ascii="Times New Roman" w:cs="Times New Roman" w:eastAsia="Times New Roman" w:hAnsi="Times New Roman"/>
          <w:sz w:val="20"/>
          <w:szCs w:val="20"/>
          <w:color w:val="auto"/>
        </w:rPr>
        <w:t>ownership interests of another Person, or purchases or acquires (in one transaction or a series of transactions) assets of another Person that</w:t>
      </w:r>
    </w:p>
    <w:p>
      <w:pPr>
        <w:spacing w:after="0" w:line="210" w:lineRule="auto"/>
        <w:rPr>
          <w:sz w:val="20"/>
          <w:szCs w:val="20"/>
          <w:color w:val="auto"/>
        </w:rPr>
      </w:pPr>
      <w:r>
        <w:rPr>
          <w:rFonts w:ascii="Times New Roman" w:cs="Times New Roman" w:eastAsia="Times New Roman" w:hAnsi="Times New Roman"/>
          <w:sz w:val="20"/>
          <w:szCs w:val="20"/>
          <w:color w:val="auto"/>
        </w:rPr>
        <w:t>constitute a business unit or all or a substantial part of the business of, such Person (each, an "</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Consolidated EBITDA shall</w:t>
      </w:r>
    </w:p>
    <w:p>
      <w:pPr>
        <w:spacing w:after="0" w:line="210" w:lineRule="auto"/>
        <w:rPr>
          <w:sz w:val="20"/>
          <w:szCs w:val="20"/>
          <w:color w:val="auto"/>
        </w:rPr>
      </w:pPr>
      <w:r>
        <w:rPr>
          <w:rFonts w:ascii="Times New Roman" w:cs="Times New Roman" w:eastAsia="Times New Roman" w:hAnsi="Times New Roman"/>
          <w:sz w:val="20"/>
          <w:szCs w:val="20"/>
          <w:color w:val="auto"/>
        </w:rPr>
        <w:t>be calculated after giving pro forma effect thereto as if such Acquisition occurred on the first day of such period and after giving pro forma</w:t>
      </w:r>
    </w:p>
    <w:p>
      <w:pPr>
        <w:spacing w:after="0" w:line="210" w:lineRule="auto"/>
        <w:rPr>
          <w:sz w:val="20"/>
          <w:szCs w:val="20"/>
          <w:color w:val="auto"/>
        </w:rPr>
      </w:pPr>
      <w:r>
        <w:rPr>
          <w:rFonts w:ascii="Times New Roman" w:cs="Times New Roman" w:eastAsia="Times New Roman" w:hAnsi="Times New Roman"/>
          <w:sz w:val="20"/>
          <w:szCs w:val="20"/>
          <w:color w:val="auto"/>
        </w:rPr>
        <w:t>effect to any adjustments (including, without limitation, operating and expense reductions) as would be permitted to be reflected in pro</w:t>
      </w:r>
    </w:p>
    <w:p>
      <w:pPr>
        <w:spacing w:after="0" w:line="210" w:lineRule="auto"/>
        <w:rPr>
          <w:sz w:val="20"/>
          <w:szCs w:val="20"/>
          <w:color w:val="auto"/>
        </w:rPr>
      </w:pPr>
      <w:r>
        <w:rPr>
          <w:rFonts w:ascii="Times New Roman" w:cs="Times New Roman" w:eastAsia="Times New Roman" w:hAnsi="Times New Roman"/>
          <w:sz w:val="20"/>
          <w:szCs w:val="20"/>
          <w:color w:val="auto"/>
        </w:rPr>
        <w:t>forma financial information complying with the requirements of Article 11 of Regulation S-X under the Securities Act of 1933, as</w:t>
      </w:r>
    </w:p>
    <w:p>
      <w:pPr>
        <w:spacing w:after="0" w:line="210" w:lineRule="auto"/>
        <w:rPr>
          <w:sz w:val="20"/>
          <w:szCs w:val="20"/>
          <w:color w:val="auto"/>
        </w:rPr>
      </w:pPr>
      <w:r>
        <w:rPr>
          <w:rFonts w:ascii="Times New Roman" w:cs="Times New Roman" w:eastAsia="Times New Roman" w:hAnsi="Times New Roman"/>
          <w:sz w:val="20"/>
          <w:szCs w:val="20"/>
          <w:color w:val="auto"/>
        </w:rPr>
        <w:t>amended (and the interpretations of the SEC thereunder) and (2) the Borrower or any of its Subsidiaries disposes of a Subsidiary or assets</w:t>
      </w:r>
    </w:p>
    <w:p>
      <w:pPr>
        <w:spacing w:after="0" w:line="210" w:lineRule="auto"/>
        <w:rPr>
          <w:sz w:val="20"/>
          <w:szCs w:val="20"/>
          <w:color w:val="auto"/>
        </w:rPr>
      </w:pPr>
      <w:r>
        <w:rPr>
          <w:rFonts w:ascii="Times New Roman" w:cs="Times New Roman" w:eastAsia="Times New Roman" w:hAnsi="Times New Roman"/>
          <w:sz w:val="20"/>
          <w:szCs w:val="20"/>
          <w:color w:val="auto"/>
        </w:rPr>
        <w:t>that constitute a business unit or all or a substantial part of the business of a Subsidiary of the Borrower, Consolidated EBITDA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calculated in accordance with GAAP as if such disposition had been consummated at the beginning of such period.</w:t>
      </w:r>
    </w:p>
    <w:p>
      <w:pPr>
        <w:spacing w:after="0" w:line="151" w:lineRule="exact"/>
        <w:rPr>
          <w:sz w:val="20"/>
          <w:szCs w:val="20"/>
          <w:color w:val="auto"/>
        </w:rPr>
      </w:pPr>
    </w:p>
    <w:p>
      <w:pPr>
        <w:ind w:right="640" w:firstLine="1208"/>
        <w:spacing w:after="0" w:line="242" w:lineRule="auto"/>
        <w:rPr>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xml:space="preserve"> shall mean, for any period, the ratio of Consolidated EBITDA to Consolidated Interest Expense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71" w:lineRule="exact"/>
        <w:rPr>
          <w:sz w:val="20"/>
          <w:szCs w:val="20"/>
          <w:color w:val="auto"/>
        </w:rPr>
      </w:pPr>
    </w:p>
    <w:p>
      <w:pPr>
        <w:ind w:right="160" w:firstLine="1208"/>
        <w:spacing w:after="0" w:line="222" w:lineRule="auto"/>
        <w:rPr>
          <w:sz w:val="20"/>
          <w:szCs w:val="20"/>
          <w:color w:val="auto"/>
        </w:rPr>
      </w:pP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shall mean, for any period, total cash interest expense (including the interest component of capitalized leases) of the Borrower and its Subsidiaries for such period determined on a consolidated basis in accordance with GAAP. For purposes of the foregoing, gross interest expense shall be determined after giving effect to any net payments received or paid by the Borrower or its Subsidiaries under interest rate protection agreements, the effect of which is required to be reflected in the Borrower's income statement under "Interest Expense".</w:t>
      </w:r>
    </w:p>
    <w:p>
      <w:pPr>
        <w:spacing w:after="0" w:line="144" w:lineRule="exact"/>
        <w:rPr>
          <w:sz w:val="20"/>
          <w:szCs w:val="20"/>
          <w:color w:val="auto"/>
        </w:rPr>
      </w:pPr>
    </w:p>
    <w:p>
      <w:pPr>
        <w:ind w:right="220" w:firstLine="1208"/>
        <w:spacing w:after="0" w:line="242" w:lineRule="auto"/>
        <w:rPr>
          <w:sz w:val="20"/>
          <w:szCs w:val="20"/>
          <w:color w:val="auto"/>
        </w:rPr>
      </w:pP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xml:space="preserve"> shall mean, for any date of determination, the ratio of Consolidated Total Indebtedness as of such date to Consolidated EBITDA for the most recent period of four (4) fiscal quarters then ended.</w:t>
      </w:r>
    </w:p>
    <w:p>
      <w:pPr>
        <w:spacing w:after="0" w:line="140" w:lineRule="exact"/>
        <w:rPr>
          <w:sz w:val="20"/>
          <w:szCs w:val="20"/>
          <w:color w:val="auto"/>
        </w:rPr>
      </w:pPr>
    </w:p>
    <w:p>
      <w:pPr>
        <w:ind w:firstLine="1208"/>
        <w:spacing w:after="0" w:line="220" w:lineRule="auto"/>
        <w:rPr>
          <w:sz w:val="20"/>
          <w:szCs w:val="20"/>
          <w:color w:val="auto"/>
        </w:rPr>
      </w:pP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shall mean the total assets of the Borrower and its Subsidiaries, as determined and consolidated in accordance with GAAP, as shown on the most recent balance sheet of the Borrower delivered pursuant to Section 8.3.1 [Quarterly Financial Statements] or Section 8.3.2 [Annual Financial Statements]; provided that for purposes of determining compliance of a transaction with any restriction set forth in Section 8.2 [Negative Covenants] that is based on a specified percentage of Consolidated Total Assets, compliance of such transaction with the applicable restriction shall be determined solely with reference to Consolidated Total Assets as determined in this definition as of the date of such transaction.</w:t>
      </w:r>
    </w:p>
    <w:p>
      <w:pPr>
        <w:spacing w:after="0" w:line="144" w:lineRule="exact"/>
        <w:rPr>
          <w:sz w:val="20"/>
          <w:szCs w:val="20"/>
          <w:color w:val="auto"/>
        </w:rPr>
      </w:pPr>
    </w:p>
    <w:p>
      <w:pPr>
        <w:ind w:right="120" w:firstLine="1208"/>
        <w:spacing w:after="0" w:line="230" w:lineRule="auto"/>
        <w:rPr>
          <w:sz w:val="20"/>
          <w:szCs w:val="20"/>
          <w:color w:val="auto"/>
        </w:rPr>
      </w:pP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xml:space="preserve"> shall mean, for any date of determination, the consolidated Indebtedness as of such day; provided, however that Consolidated Total Indebtedness shall exclude net obligations under a Hedge Agreement (inclusive of any mark to market adjustment not requiring any actual cash payment or settlement).</w:t>
      </w:r>
    </w:p>
    <w:p>
      <w:pPr>
        <w:spacing w:after="0" w:line="144" w:lineRule="exact"/>
        <w:rPr>
          <w:sz w:val="20"/>
          <w:szCs w:val="20"/>
          <w:color w:val="auto"/>
        </w:rPr>
      </w:pPr>
    </w:p>
    <w:p>
      <w:pPr>
        <w:ind w:firstLine="1208"/>
        <w:spacing w:after="0" w:line="220" w:lineRule="auto"/>
        <w:rPr>
          <w:sz w:val="20"/>
          <w:szCs w:val="20"/>
          <w:color w:val="auto"/>
        </w:rPr>
      </w:pP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xml:space="preserve"> shall mean (a) the Borrower, each of Borrower's Subsidiaries, all Guarantors and all pledgors of collateral (if any),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44" w:lineRule="exact"/>
        <w:rPr>
          <w:sz w:val="20"/>
          <w:szCs w:val="20"/>
          <w:color w:val="auto"/>
        </w:rPr>
      </w:pPr>
    </w:p>
    <w:p>
      <w:pPr>
        <w:ind w:right="120" w:firstLine="1208"/>
        <w:spacing w:after="0" w:line="230" w:lineRule="auto"/>
        <w:rPr>
          <w:sz w:val="20"/>
          <w:szCs w:val="20"/>
          <w:color w:val="auto"/>
        </w:rPr>
      </w:pPr>
      <w:r>
        <w:rPr>
          <w:rFonts w:ascii="Times New Roman" w:cs="Times New Roman" w:eastAsia="Times New Roman" w:hAnsi="Times New Roman"/>
          <w:sz w:val="20"/>
          <w:szCs w:val="20"/>
          <w:u w:val="single" w:color="auto"/>
          <w:color w:val="auto"/>
        </w:rPr>
        <w:t>Continuing Directors</w:t>
      </w:r>
      <w:r>
        <w:rPr>
          <w:rFonts w:ascii="Times New Roman" w:cs="Times New Roman" w:eastAsia="Times New Roman" w:hAnsi="Times New Roman"/>
          <w:sz w:val="20"/>
          <w:szCs w:val="20"/>
          <w:color w:val="auto"/>
        </w:rPr>
        <w:t xml:space="preserve"> shall mean the directors of the Borrower on the Closing Date and each other director, if, in each case, such other director's nomination for election to the board of directors of the Borrower is recommended by at least a majority of the then Continuing Directors.</w:t>
      </w:r>
    </w:p>
    <w:p>
      <w:pPr>
        <w:spacing w:after="0" w:line="144" w:lineRule="exact"/>
        <w:rPr>
          <w:sz w:val="20"/>
          <w:szCs w:val="20"/>
          <w:color w:val="auto"/>
        </w:rPr>
      </w:pPr>
    </w:p>
    <w:p>
      <w:pPr>
        <w:jc w:val="both"/>
        <w:ind w:left="1200"/>
        <w:spacing w:after="0"/>
        <w:rPr>
          <w:sz w:val="20"/>
          <w:szCs w:val="20"/>
          <w:color w:val="auto"/>
        </w:rPr>
      </w:pPr>
      <w:r>
        <w:rPr>
          <w:rFonts w:ascii="Times New Roman" w:cs="Times New Roman" w:eastAsia="Times New Roman" w:hAnsi="Times New Roman"/>
          <w:sz w:val="20"/>
          <w:szCs w:val="20"/>
          <w:u w:val="single" w:color="auto"/>
          <w:color w:val="auto"/>
        </w:rPr>
        <w:t>Daily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LIBOR Rate</w:t>
      </w:r>
      <w:r>
        <w:rPr>
          <w:rFonts w:ascii="Times New Roman" w:cs="Times New Roman" w:eastAsia="Times New Roman" w:hAnsi="Times New Roman"/>
          <w:sz w:val="20"/>
          <w:szCs w:val="20"/>
          <w:u w:val="single" w:color="auto"/>
          <w:color w:val="0000FF"/>
        </w:rPr>
        <w:t>Simple SOFR</w:t>
      </w:r>
      <w:r>
        <w:rPr>
          <w:rFonts w:ascii="Times New Roman" w:cs="Times New Roman" w:eastAsia="Times New Roman" w:hAnsi="Times New Roman"/>
          <w:sz w:val="20"/>
          <w:szCs w:val="20"/>
          <w:color w:val="auto"/>
        </w:rPr>
        <w:t xml:space="preserve"> shall mean, for any day </w:t>
      </w:r>
      <w:r>
        <w:rPr>
          <w:rFonts w:ascii="Times New Roman" w:cs="Times New Roman" w:eastAsia="Times New Roman" w:hAnsi="Times New Roman"/>
          <w:sz w:val="20"/>
          <w:szCs w:val="20"/>
          <w:color w:val="0000FF"/>
        </w:rPr>
        <w:t>(a “SOFR Rate Day”)</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0000FF"/>
        </w:rPr>
        <w:t>interest</w:t>
      </w:r>
      <w:r>
        <w:rPr>
          <w:rFonts w:ascii="Times New Roman" w:cs="Times New Roman" w:eastAsia="Times New Roman" w:hAnsi="Times New Roman"/>
          <w:sz w:val="20"/>
          <w:szCs w:val="20"/>
          <w:color w:val="auto"/>
        </w:rPr>
        <w:t xml:space="preserve"> rate per annum determined by the Administrative Agent by dividing (</w:t>
      </w:r>
      <w:r>
        <w:rPr>
          <w:rFonts w:ascii="Times New Roman" w:cs="Times New Roman" w:eastAsia="Times New Roman" w:hAnsi="Times New Roman"/>
          <w:sz w:val="20"/>
          <w:szCs w:val="20"/>
          <w:color w:val="FF0000"/>
          <w:strike w:val="1"/>
        </w:rPr>
        <w:t>x)</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Published Rate</w:t>
      </w:r>
      <w:r>
        <w:rPr>
          <w:rFonts w:ascii="Times New Roman" w:cs="Times New Roman" w:eastAsia="Times New Roman" w:hAnsi="Times New Roman"/>
          <w:sz w:val="20"/>
          <w:szCs w:val="20"/>
          <w:u w:val="single" w:color="auto"/>
          <w:color w:val="0000FF"/>
        </w:rPr>
        <w:t>resulting quotient rounded upwards, at the 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Agent’s discretion, to the nearest 1/100th of 1%) (A) SOFR for the day (the “SOFR Determination Date”) that is 2 Business Days prior to (i) such SOFR Rate Day if such SOFR Rate Day is a Business Day or (ii) the Business Day immediately preceding such SOFR Rate Day if such SOFR Rate Day is not a Business Day,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by (</w:t>
      </w:r>
      <w:r>
        <w:rPr>
          <w:rFonts w:ascii="Times New Roman" w:cs="Times New Roman" w:eastAsia="Times New Roman" w:hAnsi="Times New Roman"/>
          <w:sz w:val="20"/>
          <w:szCs w:val="20"/>
          <w:color w:val="FF0000"/>
          <w:strike w:val="1"/>
        </w:rPr>
        <w:t>y</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000000"/>
        </w:rPr>
        <w:t>) a number equal to 1.00 minus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Reserve Percentage</w:t>
      </w:r>
      <w:r>
        <w:rPr>
          <w:rFonts w:ascii="Times New Roman" w:cs="Times New Roman" w:eastAsia="Times New Roman" w:hAnsi="Times New Roman"/>
          <w:sz w:val="20"/>
          <w:szCs w:val="20"/>
          <w:color w:val="FF0000"/>
        </w:rPr>
        <w:t xml:space="preserve"> on</w:t>
      </w:r>
      <w:r>
        <w:rPr>
          <w:rFonts w:ascii="Times New Roman" w:cs="Times New Roman" w:eastAsia="Times New Roman" w:hAnsi="Times New Roman"/>
          <w:sz w:val="20"/>
          <w:szCs w:val="20"/>
          <w:u w:val="single" w:color="auto"/>
          <w:color w:val="0000FF"/>
        </w:rPr>
        <w:t>, in each case, as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day. Notwithstanding the foregoing, if the</w:t>
      </w:r>
      <w:r>
        <w:rPr>
          <w:rFonts w:ascii="Times New Roman" w:cs="Times New Roman" w:eastAsia="Times New Roman" w:hAnsi="Times New Roman"/>
          <w:sz w:val="20"/>
          <w:szCs w:val="20"/>
          <w:u w:val="single" w:color="auto"/>
          <w:color w:val="0000FF"/>
        </w:rPr>
        <w:t>SOFR is published 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-1177925</wp:posOffset>
            </wp:positionV>
            <wp:extent cx="11817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1181735" cy="8255"/>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-586740</wp:posOffset>
            </wp:positionV>
            <wp:extent cx="1600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71"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u w:val="single" w:color="auto"/>
          <w:color w:val="0000FF"/>
        </w:rPr>
        <w:t>If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Daily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LIBOR Rate</w:t>
      </w:r>
      <w:r>
        <w:rPr>
          <w:rFonts w:ascii="Times New Roman" w:cs="Times New Roman" w:eastAsia="Times New Roman" w:hAnsi="Times New Roman"/>
          <w:sz w:val="20"/>
          <w:szCs w:val="20"/>
          <w:u w:val="single" w:color="auto"/>
          <w:color w:val="0000FF"/>
        </w:rPr>
        <w:t>Simple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 determined above would be less than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zero (0.00), such rate</w:t>
      </w:r>
      <w:r>
        <w:rPr>
          <w:rFonts w:ascii="Times New Roman" w:cs="Times New Roman" w:eastAsia="Times New Roman" w:hAnsi="Times New Roman"/>
          <w:sz w:val="20"/>
          <w:szCs w:val="20"/>
          <w:u w:val="single" w:color="auto"/>
          <w:color w:val="0000FF"/>
        </w:rPr>
        <w:t>the SOFR Floor, then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Daily Simple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be deemed to be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zero (0.00) for purposes of this Agreement</w:t>
      </w:r>
      <w:r>
        <w:rPr>
          <w:rFonts w:ascii="Times New Roman" w:cs="Times New Roman" w:eastAsia="Times New Roman" w:hAnsi="Times New Roman"/>
          <w:sz w:val="20"/>
          <w:szCs w:val="20"/>
          <w:u w:val="single" w:color="auto"/>
          <w:color w:val="0000FF"/>
        </w:rPr>
        <w:t>the SOFR Floor. If SOFR for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r>
        <w:rPr>
          <w:rFonts w:ascii="Times New Roman" w:cs="Times New Roman" w:eastAsia="Times New Roman" w:hAnsi="Times New Roman"/>
          <w:sz w:val="20"/>
          <w:szCs w:val="20"/>
          <w:color w:val="000000"/>
        </w:rPr>
        <w:t>.</w:t>
      </w:r>
    </w:p>
    <w:p>
      <w:pPr>
        <w:spacing w:after="0" w:line="141"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xml:space="preserve">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4" w:lineRule="exact"/>
        <w:rPr>
          <w:sz w:val="20"/>
          <w:szCs w:val="20"/>
          <w:color w:val="auto"/>
        </w:rPr>
      </w:pPr>
    </w:p>
    <w:p>
      <w:pPr>
        <w:jc w:val="both"/>
        <w:ind w:left="1000"/>
        <w:spacing w:after="0" w:line="212" w:lineRule="auto"/>
        <w:rPr>
          <w:sz w:val="20"/>
          <w:szCs w:val="20"/>
          <w:color w:val="auto"/>
        </w:rPr>
      </w:pP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u w:val="single" w:color="auto"/>
          <w:color w:val="0000FF"/>
        </w:rPr>
        <w:t>subject to Section 2.11.2 [Defaulting Lender Cure],</w:t>
      </w:r>
      <w:r>
        <w:rPr>
          <w:rFonts w:ascii="Times New Roman" w:cs="Times New Roman" w:eastAsia="Times New Roman" w:hAnsi="Times New Roman"/>
          <w:sz w:val="20"/>
          <w:szCs w:val="20"/>
          <w:color w:val="auto"/>
        </w:rPr>
        <w:t xml:space="preserve"> any Lender that (a) has failed</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rPr>
        <w:t>to (i) fund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all or any portion of its Loans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within two Business Days of the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such Loans were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required to be funded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or paid, to (i)</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 xml:space="preserve">fund any portion of its Loans, (ii) fund any portion of its participations in Letters of Credit or Swing Loans or (iii) pay over </w:t>
      </w:r>
      <w:r>
        <w:rPr>
          <w:rFonts w:ascii="Times New Roman" w:cs="Times New Roman" w:eastAsia="Times New Roman" w:hAnsi="Times New Roman"/>
          <w:sz w:val="20"/>
          <w:szCs w:val="20"/>
          <w:color w:val="00C000"/>
          <w:strike w:val="1"/>
        </w:rPr>
        <w:t xml:space="preserve">to the Administrative Agent, the Issuing Lender, </w:t>
      </w:r>
      <w:r>
        <w:rPr>
          <w:rFonts w:ascii="Times New Roman" w:cs="Times New Roman" w:eastAsia="Times New Roman" w:hAnsi="Times New Roman"/>
          <w:sz w:val="20"/>
          <w:szCs w:val="20"/>
          <w:color w:val="FF0000"/>
          <w:strike w:val="1"/>
        </w:rPr>
        <w:t>PNC (as the Swing Loan Lender) or any</w:t>
      </w:r>
      <w:r>
        <w:rPr>
          <w:rFonts w:ascii="Times New Roman" w:cs="Times New Roman" w:eastAsia="Times New Roman" w:hAnsi="Times New Roman"/>
          <w:sz w:val="20"/>
          <w:szCs w:val="20"/>
          <w:color w:val="00C000"/>
          <w:strike w:val="1"/>
        </w:rPr>
        <w:t xml:space="preserve"> Lender any other amount required to be paid by it hereunder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strike w:val="1"/>
        </w:rPr>
        <w:t>hereunder</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000000"/>
          <w:strike w:val="1"/>
        </w:rPr>
        <w:t>unless</w:t>
      </w:r>
      <w:r>
        <w:rPr>
          <w:rFonts w:ascii="Times New Roman" w:cs="Times New Roman" w:eastAsia="Times New Roman" w:hAnsi="Times New Roman"/>
          <w:sz w:val="20"/>
          <w:szCs w:val="20"/>
          <w:color w:val="FF0000"/>
          <w:strike w:val="1"/>
        </w:rPr>
        <w:t>, in the case of clause (i) above,</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000000"/>
          <w:strike w:val="1"/>
        </w:rPr>
        <w:t>such Lender notifies the Administrative Agent</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u w:val="single" w:color="auto"/>
          <w:color w:val="0000FF"/>
          <w:strike w:val="1"/>
        </w:rPr>
        <w:t>and the Borrower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in writing that such failure is the result of such Lender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0000"/>
          <w:strike w:val="1"/>
        </w:rPr>
        <w:t>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good faith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determination that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a condition</w:t>
      </w:r>
      <w:r>
        <w:rPr>
          <w:rFonts w:ascii="Times New Roman" w:cs="Times New Roman" w:eastAsia="Times New Roman" w:hAnsi="Times New Roman"/>
          <w:sz w:val="20"/>
          <w:szCs w:val="20"/>
          <w:u w:val="single" w:color="auto"/>
          <w:color w:val="0000FF"/>
          <w:strike w:val="1"/>
        </w:rPr>
        <w:t>one or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more conditions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precedent to funding (</w:t>
      </w:r>
      <w:r>
        <w:rPr>
          <w:rFonts w:ascii="Times New Roman" w:cs="Times New Roman" w:eastAsia="Times New Roman" w:hAnsi="Times New Roman"/>
          <w:sz w:val="20"/>
          <w:szCs w:val="20"/>
          <w:u w:val="single" w:color="auto"/>
          <w:color w:val="0000FF"/>
          <w:strike w:val="1"/>
        </w:rPr>
        <w:t>each of which conditions precedent, together with any applicable default, shall be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specifically identified </w:t>
      </w:r>
      <w:r>
        <w:rPr>
          <w:rFonts w:ascii="Times New Roman" w:cs="Times New Roman" w:eastAsia="Times New Roman" w:hAnsi="Times New Roman"/>
          <w:sz w:val="20"/>
          <w:szCs w:val="20"/>
          <w:color w:val="FF0000"/>
          <w:strike w:val="1"/>
        </w:rPr>
        <w:t>and including the particular default, if any</w:t>
      </w:r>
      <w:r>
        <w:rPr>
          <w:rFonts w:ascii="Times New Roman" w:cs="Times New Roman" w:eastAsia="Times New Roman" w:hAnsi="Times New Roman"/>
          <w:sz w:val="20"/>
          <w:szCs w:val="20"/>
          <w:u w:val="single" w:color="auto"/>
          <w:color w:val="0000FF"/>
          <w:strike w:val="1"/>
        </w:rPr>
        <w:t>in such writing</w:t>
      </w:r>
      <w:r>
        <w:rPr>
          <w:rFonts w:ascii="Times New Roman" w:cs="Times New Roman" w:eastAsia="Times New Roman" w:hAnsi="Times New Roman"/>
          <w:sz w:val="20"/>
          <w:szCs w:val="20"/>
          <w:color w:val="000000"/>
          <w:strike w:val="1"/>
        </w:rPr>
        <w:t>) has not been satisfied</w:t>
      </w:r>
      <w:r>
        <w:rPr>
          <w:rFonts w:ascii="Times New Roman" w:cs="Times New Roman" w:eastAsia="Times New Roman" w:hAnsi="Times New Roman"/>
          <w:sz w:val="20"/>
          <w:szCs w:val="20"/>
          <w:u w:val="single" w:color="auto"/>
          <w:color w:val="0000FF"/>
          <w:strike w:val="1"/>
        </w:rPr>
        <w:t>, or (ii) pay</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00C000"/>
          <w:strike w:val="1"/>
        </w:rPr>
        <w:t>to the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C000"/>
          <w:strike w:val="1"/>
        </w:rPr>
        <w:t xml:space="preserve">Administrative Agent, the Issuing Lender, </w:t>
      </w:r>
      <w:r>
        <w:rPr>
          <w:rFonts w:ascii="Times New Roman" w:cs="Times New Roman" w:eastAsia="Times New Roman" w:hAnsi="Times New Roman"/>
          <w:sz w:val="20"/>
          <w:szCs w:val="20"/>
          <w:u w:val="single" w:color="auto"/>
          <w:color w:val="0000FF"/>
          <w:strike w:val="1"/>
        </w:rPr>
        <w:t>the Swing Loan Lender or any other</w:t>
      </w:r>
      <w:r>
        <w:rPr>
          <w:rFonts w:ascii="Times New Roman" w:cs="Times New Roman" w:eastAsia="Times New Roman" w:hAnsi="Times New Roman"/>
          <w:sz w:val="20"/>
          <w:szCs w:val="20"/>
          <w:u w:val="single" w:color="auto"/>
          <w:color w:val="00C000"/>
          <w:strike w:val="1"/>
        </w:rPr>
        <w:t xml:space="preserve"> Lender any other amount required to be paid by it hereunder </w:t>
      </w:r>
      <w:r>
        <w:rPr>
          <w:rFonts w:ascii="Times New Roman" w:cs="Times New Roman" w:eastAsia="Times New Roman" w:hAnsi="Times New Roman"/>
          <w:sz w:val="20"/>
          <w:szCs w:val="20"/>
          <w:u w:val="single" w:color="auto"/>
          <w:color w:val="0000FF"/>
          <w:strike w:val="1"/>
        </w:rPr>
        <w:t>(including in respect of its participation in Letters of Credit or Swing Loans) within two Business Days of</w:t>
      </w:r>
      <w:r>
        <w:rPr>
          <w:rFonts w:ascii="Times New Roman" w:cs="Times New Roman" w:eastAsia="Times New Roman" w:hAnsi="Times New Roman"/>
          <w:sz w:val="20"/>
          <w:szCs w:val="20"/>
          <w:u w:val="single" w:color="auto"/>
          <w:color w:val="00C000"/>
          <w:strike w:val="1"/>
        </w:rPr>
        <w:t xml:space="preserve"> </w:t>
      </w:r>
      <w:r>
        <w:rPr>
          <w:rFonts w:ascii="Times New Roman" w:cs="Times New Roman" w:eastAsia="Times New Roman" w:hAnsi="Times New Roman"/>
          <w:sz w:val="20"/>
          <w:szCs w:val="20"/>
          <w:u w:val="single" w:color="auto"/>
          <w:color w:val="0000FF"/>
          <w:strike w:val="1"/>
        </w:rPr>
        <w:t>the date when due</w:t>
      </w:r>
      <w:r>
        <w:rPr>
          <w:rFonts w:ascii="Times New Roman" w:cs="Times New Roman" w:eastAsia="Times New Roman" w:hAnsi="Times New Roman"/>
          <w:sz w:val="20"/>
          <w:szCs w:val="20"/>
          <w:color w:val="000000"/>
          <w:strike w:val="1"/>
        </w:rPr>
        <w:t>, (b) has notified the Borrower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the Administrative Agent</w:t>
      </w:r>
      <w:r>
        <w:rPr>
          <w:rFonts w:ascii="Times New Roman" w:cs="Times New Roman" w:eastAsia="Times New Roman" w:hAnsi="Times New Roman"/>
          <w:sz w:val="20"/>
          <w:szCs w:val="20"/>
          <w:u w:val="single" w:color="auto"/>
          <w:color w:val="0000FF"/>
          <w:strike w:val="1"/>
        </w:rPr>
        <w:t>, the Issuing Lender or the Swing Loan Lender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in writing</w:t>
      </w:r>
      <w:r>
        <w:rPr>
          <w:rFonts w:ascii="Times New Roman" w:cs="Times New Roman" w:eastAsia="Times New Roman" w:hAnsi="Times New Roman"/>
          <w:sz w:val="20"/>
          <w:szCs w:val="20"/>
          <w:color w:val="00C000"/>
          <w:strike w:val="1"/>
        </w:rPr>
        <w:t>, or has made a public statement to</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the effect,</w:t>
      </w:r>
      <w:r>
        <w:rPr>
          <w:rFonts w:ascii="Times New Roman" w:cs="Times New Roman" w:eastAsia="Times New Roman" w:hAnsi="Times New Roman"/>
          <w:sz w:val="20"/>
          <w:szCs w:val="20"/>
          <w:color w:val="000000"/>
          <w:strike w:val="1"/>
        </w:rPr>
        <w:t xml:space="preserve"> that it does not intend </w:t>
      </w:r>
      <w:r>
        <w:rPr>
          <w:rFonts w:ascii="Times New Roman" w:cs="Times New Roman" w:eastAsia="Times New Roman" w:hAnsi="Times New Roman"/>
          <w:sz w:val="20"/>
          <w:szCs w:val="20"/>
          <w:color w:val="FF0000"/>
          <w:strike w:val="1"/>
        </w:rPr>
        <w:t>or expect</w:t>
      </w:r>
      <w:r>
        <w:rPr>
          <w:rFonts w:ascii="Times New Roman" w:cs="Times New Roman" w:eastAsia="Times New Roman" w:hAnsi="Times New Roman"/>
          <w:sz w:val="20"/>
          <w:szCs w:val="20"/>
          <w:color w:val="000000"/>
          <w:strike w:val="1"/>
        </w:rPr>
        <w:t xml:space="preserve"> to comply with </w:t>
      </w:r>
      <w:r>
        <w:rPr>
          <w:rFonts w:ascii="Times New Roman" w:cs="Times New Roman" w:eastAsia="Times New Roman" w:hAnsi="Times New Roman"/>
          <w:sz w:val="20"/>
          <w:szCs w:val="20"/>
          <w:color w:val="FF0000"/>
          <w:strike w:val="1"/>
        </w:rPr>
        <w:t>any of</w:t>
      </w:r>
      <w:r>
        <w:rPr>
          <w:rFonts w:ascii="Times New Roman" w:cs="Times New Roman" w:eastAsia="Times New Roman" w:hAnsi="Times New Roman"/>
          <w:sz w:val="20"/>
          <w:szCs w:val="20"/>
          <w:color w:val="000000"/>
          <w:strike w:val="1"/>
        </w:rPr>
        <w:t xml:space="preserve"> its funding obligations </w:t>
      </w:r>
      <w:r>
        <w:rPr>
          <w:rFonts w:ascii="Times New Roman" w:cs="Times New Roman" w:eastAsia="Times New Roman" w:hAnsi="Times New Roman"/>
          <w:sz w:val="20"/>
          <w:szCs w:val="20"/>
          <w:color w:val="FF0000"/>
          <w:strike w:val="1"/>
        </w:rPr>
        <w:t>under this Agreement</w:t>
      </w:r>
      <w:r>
        <w:rPr>
          <w:rFonts w:ascii="Times New Roman" w:cs="Times New Roman" w:eastAsia="Times New Roman" w:hAnsi="Times New Roman"/>
          <w:sz w:val="20"/>
          <w:szCs w:val="20"/>
          <w:u w:val="single" w:color="auto"/>
          <w:color w:val="0000FF"/>
          <w:strike w:val="1"/>
        </w:rPr>
        <w:t>hereunder</w:t>
      </w:r>
      <w:r>
        <w:rPr>
          <w:rFonts w:ascii="Times New Roman" w:cs="Times New Roman" w:eastAsia="Times New Roman" w:hAnsi="Times New Roman"/>
          <w:sz w:val="20"/>
          <w:szCs w:val="20"/>
          <w:u w:val="single" w:color="auto"/>
          <w:color w:val="00C000"/>
          <w:strike w:val="1"/>
        </w:rPr>
        <w:t>, or has made a public statement to</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that effect</w:t>
      </w:r>
      <w:r>
        <w:rPr>
          <w:rFonts w:ascii="Times New Roman" w:cs="Times New Roman" w:eastAsia="Times New Roman" w:hAnsi="Times New Roman"/>
          <w:sz w:val="20"/>
          <w:szCs w:val="20"/>
          <w:color w:val="000000"/>
          <w:strike w:val="1"/>
        </w:rPr>
        <w:t xml:space="preserve"> (unless such writing or public statement </w:t>
      </w:r>
      <w:r>
        <w:rPr>
          <w:rFonts w:ascii="Times New Roman" w:cs="Times New Roman" w:eastAsia="Times New Roman" w:hAnsi="Times New Roman"/>
          <w:sz w:val="20"/>
          <w:szCs w:val="20"/>
          <w:color w:val="FF0000"/>
          <w:strike w:val="1"/>
        </w:rPr>
        <w:t>indicates</w:t>
      </w:r>
      <w:r>
        <w:rPr>
          <w:rFonts w:ascii="Times New Roman" w:cs="Times New Roman" w:eastAsia="Times New Roman" w:hAnsi="Times New Roman"/>
          <w:sz w:val="20"/>
          <w:szCs w:val="20"/>
          <w:u w:val="single" w:color="auto"/>
          <w:color w:val="0000FF"/>
          <w:strike w:val="1"/>
        </w:rPr>
        <w:t>relates to such Lender’s obligation to fund a Loan hereunder and states</w:t>
      </w:r>
      <w:r>
        <w:rPr>
          <w:rFonts w:ascii="Times New Roman" w:cs="Times New Roman" w:eastAsia="Times New Roman" w:hAnsi="Times New Roman"/>
          <w:sz w:val="20"/>
          <w:szCs w:val="20"/>
          <w:color w:val="000000"/>
          <w:strike w:val="1"/>
        </w:rPr>
        <w:t xml:space="preserve"> that such position is based on such Lender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0000"/>
          <w:strike w:val="1"/>
        </w:rPr>
        <w:t xml:space="preserve">s </w:t>
      </w:r>
      <w:r>
        <w:rPr>
          <w:rFonts w:ascii="Times New Roman" w:cs="Times New Roman" w:eastAsia="Times New Roman" w:hAnsi="Times New Roman"/>
          <w:sz w:val="20"/>
          <w:szCs w:val="20"/>
          <w:color w:val="FF0000"/>
          <w:strike w:val="1"/>
        </w:rPr>
        <w:t>good faith</w:t>
      </w:r>
      <w:r>
        <w:rPr>
          <w:rFonts w:ascii="Times New Roman" w:cs="Times New Roman" w:eastAsia="Times New Roman" w:hAnsi="Times New Roman"/>
          <w:sz w:val="20"/>
          <w:szCs w:val="20"/>
          <w:color w:val="000000"/>
          <w:strike w:val="1"/>
        </w:rPr>
        <w:t xml:space="preserve"> determination that a condition precedent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strike w:val="1"/>
        </w:rPr>
        <w:t>to funding (which condition precedent, together with</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any applicable default, shall be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specifically identified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and including the particular default, if any) to funding a loan under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this Agreement</w:t>
      </w:r>
      <w:r>
        <w:rPr>
          <w:rFonts w:ascii="Times New Roman" w:cs="Times New Roman" w:eastAsia="Times New Roman" w:hAnsi="Times New Roman"/>
          <w:sz w:val="20"/>
          <w:szCs w:val="20"/>
          <w:u w:val="single" w:color="auto"/>
          <w:color w:val="0000FF"/>
          <w:strike w:val="1"/>
        </w:rPr>
        <w:t>in such writing or public statement)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cannot be satisfied)</w:t>
      </w:r>
      <w:r>
        <w:rPr>
          <w:rFonts w:ascii="Times New Roman" w:cs="Times New Roman" w:eastAsia="Times New Roman" w:hAnsi="Times New Roman"/>
          <w:sz w:val="20"/>
          <w:szCs w:val="20"/>
          <w:color w:val="FF0000"/>
          <w:strike w:val="1"/>
        </w:rPr>
        <w:t xml:space="preserve"> or generally under other agreements in which it commits to extend credit</w:t>
      </w:r>
      <w:r>
        <w:rPr>
          <w:rFonts w:ascii="Times New Roman" w:cs="Times New Roman" w:eastAsia="Times New Roman" w:hAnsi="Times New Roman"/>
          <w:sz w:val="20"/>
          <w:szCs w:val="20"/>
          <w:color w:val="000000"/>
          <w:strike w:val="1"/>
        </w:rPr>
        <w:t>, (c) has failed, within</w:t>
      </w:r>
      <w:r>
        <w:rPr>
          <w:rFonts w:ascii="Times New Roman" w:cs="Times New Roman" w:eastAsia="Times New Roman" w:hAnsi="Times New Roman"/>
          <w:sz w:val="20"/>
          <w:szCs w:val="20"/>
          <w:color w:val="FF0000"/>
          <w:strike w:val="1"/>
        </w:rPr>
        <w:t xml:space="preserve"> two</w:t>
      </w:r>
      <w:r>
        <w:rPr>
          <w:rFonts w:ascii="Times New Roman" w:cs="Times New Roman" w:eastAsia="Times New Roman" w:hAnsi="Times New Roman"/>
          <w:sz w:val="20"/>
          <w:szCs w:val="20"/>
          <w:u w:val="single" w:color="auto"/>
          <w:color w:val="0000FF"/>
          <w:strike w:val="1"/>
        </w:rPr>
        <w:t>three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Business Days after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written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request by the Administrative Agent or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the Borrower, </w:t>
      </w:r>
      <w:r>
        <w:rPr>
          <w:rFonts w:ascii="Times New Roman" w:cs="Times New Roman" w:eastAsia="Times New Roman" w:hAnsi="Times New Roman"/>
          <w:sz w:val="20"/>
          <w:szCs w:val="20"/>
          <w:color w:val="FF0000"/>
          <w:strike w:val="1"/>
        </w:rPr>
        <w:t>acting in good faith, to provide a certification</w:t>
      </w:r>
      <w:r>
        <w:rPr>
          <w:rFonts w:ascii="Times New Roman" w:cs="Times New Roman" w:eastAsia="Times New Roman" w:hAnsi="Times New Roman"/>
          <w:sz w:val="20"/>
          <w:szCs w:val="20"/>
          <w:u w:val="single" w:color="auto"/>
          <w:color w:val="0000FF"/>
          <w:strike w:val="1"/>
        </w:rPr>
        <w:t>to confirm</w:t>
      </w:r>
      <w:r>
        <w:rPr>
          <w:rFonts w:ascii="Times New Roman" w:cs="Times New Roman" w:eastAsia="Times New Roman" w:hAnsi="Times New Roman"/>
          <w:sz w:val="20"/>
          <w:szCs w:val="20"/>
          <w:color w:val="000000"/>
          <w:strike w:val="1"/>
        </w:rPr>
        <w:t xml:space="preserve"> in writing </w:t>
      </w:r>
      <w:r>
        <w:rPr>
          <w:rFonts w:ascii="Times New Roman" w:cs="Times New Roman" w:eastAsia="Times New Roman" w:hAnsi="Times New Roman"/>
          <w:sz w:val="20"/>
          <w:szCs w:val="20"/>
          <w:color w:val="FF0000"/>
          <w:strike w:val="1"/>
        </w:rPr>
        <w:t>from an authorized officer of such</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Lender</w:t>
      </w:r>
      <w:r>
        <w:rPr>
          <w:rFonts w:ascii="Times New Roman" w:cs="Times New Roman" w:eastAsia="Times New Roman" w:hAnsi="Times New Roman"/>
          <w:sz w:val="20"/>
          <w:szCs w:val="20"/>
          <w:u w:val="single" w:color="auto"/>
          <w:color w:val="0000FF"/>
          <w:strike w:val="1"/>
        </w:rPr>
        <w:t>to the Administrative Agent and the Borrower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that it will comply with its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prospective funding</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obligations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hereunder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w:t>
      </w:r>
      <w:r>
        <w:rPr>
          <w:rFonts w:ascii="Times New Roman" w:cs="Times New Roman" w:eastAsia="Times New Roman" w:hAnsi="Times New Roman"/>
          <w:sz w:val="20"/>
          <w:szCs w:val="20"/>
          <w:color w:val="FF0000"/>
          <w:strike w:val="1"/>
        </w:rPr>
        <w:t>and is financially able to meet such obligations) to fund prospective Loans and participations in then outstanding Letters of</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Credit and Swing Loans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-2701290</wp:posOffset>
            </wp:positionV>
            <wp:extent cx="5664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566420" cy="825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-1806575</wp:posOffset>
            </wp:positionV>
            <wp:extent cx="3511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-1471295</wp:posOffset>
            </wp:positionV>
            <wp:extent cx="1384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138430" cy="825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-704215</wp:posOffset>
            </wp:positionV>
            <wp:extent cx="259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040"/>
          </w:cols>
          <w:pgMar w:left="520" w:top="1440" w:right="339" w:bottom="1440" w:gutter="0" w:footer="0" w:header="0"/>
        </w:sectPr>
      </w:pPr>
    </w:p>
    <w:bookmarkStart w:id="103" w:name="page104"/>
    <w:bookmarkEnd w:id="103"/>
    <w:p>
      <w:pPr>
        <w:spacing w:after="0" w:line="71"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color w:val="FF0000"/>
          <w:strike w:val="1"/>
        </w:rPr>
        <w:t>Agreement,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that such Lender shall cease to be a Defaulting Lender pursuant to this clause (c) upon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Administrative Agent's or the Borrower's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receipt of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certification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C000"/>
        </w:rPr>
        <w:t>in form and substance satisfactory to</w:t>
      </w:r>
      <w:r>
        <w:rPr>
          <w:rFonts w:ascii="Times New Roman" w:cs="Times New Roman" w:eastAsia="Times New Roman" w:hAnsi="Times New Roman"/>
          <w:sz w:val="20"/>
          <w:szCs w:val="20"/>
          <w:u w:val="single" w:color="auto"/>
          <w:color w:val="0000FF"/>
        </w:rPr>
        <w:t>written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confirmation by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Borrower</w:t>
      </w:r>
      <w:r>
        <w:rPr>
          <w:rFonts w:ascii="Times New Roman" w:cs="Times New Roman" w:eastAsia="Times New Roman" w:hAnsi="Times New Roman"/>
          <w:sz w:val="20"/>
          <w:szCs w:val="20"/>
          <w:color w:val="FF0000"/>
          <w:strike w:val="1"/>
        </w:rPr>
        <w:t>, as the case may be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or </w:t>
      </w:r>
      <w:r>
        <w:rPr>
          <w:rFonts w:ascii="Times New Roman" w:cs="Times New Roman" w:eastAsia="Times New Roman" w:hAnsi="Times New Roman"/>
          <w:sz w:val="20"/>
          <w:szCs w:val="20"/>
          <w:color w:val="000000"/>
        </w:rPr>
        <w:t>(d) has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strike w:val="1"/>
        </w:rPr>
        <w:t>become the subject of 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Bankruptcy Event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color w:val="FF0000"/>
        </w:rPr>
        <w:t xml:space="preserve"> (e) </w:t>
      </w:r>
      <w:r>
        <w:rPr>
          <w:rFonts w:ascii="Times New Roman" w:cs="Times New Roman" w:eastAsia="Times New Roman" w:hAnsi="Times New Roman"/>
          <w:sz w:val="20"/>
          <w:szCs w:val="20"/>
          <w:color w:val="000000"/>
        </w:rPr>
        <w:t>has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failed at any time to comply with the provisions of Section 5.3 [Sharing of Payments 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Lenders] with respect to purchasing participations from the other Lenders, whereby such Lender's share of any payment received, whether by setoff or otherwise, is in excess of its Ratable Share of such payments due and payable to all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-716280</wp:posOffset>
            </wp:positionV>
            <wp:extent cx="21494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2149475"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-540385</wp:posOffset>
            </wp:positionV>
            <wp:extent cx="154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-461010</wp:posOffset>
            </wp:positionV>
            <wp:extent cx="189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117"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color w:val="FF0000"/>
          <w:strike w:val="1"/>
        </w:rPr>
        <w:t>As used in this definition and in Section 2.11 [Defaulting Lenders], the term "</w:t>
      </w:r>
      <w:r>
        <w:rPr>
          <w:rFonts w:ascii="Times New Roman" w:cs="Times New Roman" w:eastAsia="Times New Roman" w:hAnsi="Times New Roman"/>
          <w:sz w:val="20"/>
          <w:szCs w:val="20"/>
          <w:b w:val="1"/>
          <w:bCs w:val="1"/>
          <w:color w:val="FF0000"/>
          <w:strike w:val="1"/>
        </w:rPr>
        <w:t>Bankruptcy Event</w:t>
      </w:r>
      <w:r>
        <w:rPr>
          <w:rFonts w:ascii="Times New Roman" w:cs="Times New Roman" w:eastAsia="Times New Roman" w:hAnsi="Times New Roman"/>
          <w:sz w:val="20"/>
          <w:szCs w:val="20"/>
          <w:color w:val="FF0000"/>
          <w:strike w:val="1"/>
        </w:rPr>
        <w:t>" means, with respect to any Person, such Person or such Person's</w:t>
      </w:r>
      <w:r>
        <w:rPr>
          <w:rFonts w:ascii="Times New Roman" w:cs="Times New Roman" w:eastAsia="Times New Roman" w:hAnsi="Times New Roman"/>
          <w:sz w:val="20"/>
          <w:szCs w:val="20"/>
          <w:u w:val="single" w:color="auto"/>
          <w:color w:val="0000FF"/>
          <w:strike w:val="1"/>
        </w:rPr>
        <w:t>a</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direct or indirect parent company</w:t>
      </w:r>
      <w:r>
        <w:rPr>
          <w:rFonts w:ascii="Times New Roman" w:cs="Times New Roman" w:eastAsia="Times New Roman" w:hAnsi="Times New Roman"/>
          <w:sz w:val="20"/>
          <w:szCs w:val="20"/>
          <w:color w:val="FF0000"/>
          <w:strike w:val="1"/>
        </w:rPr>
        <w:t xml:space="preserve"> becoming</w:t>
      </w:r>
      <w:r>
        <w:rPr>
          <w:rFonts w:ascii="Times New Roman" w:cs="Times New Roman" w:eastAsia="Times New Roman" w:hAnsi="Times New Roman"/>
          <w:sz w:val="20"/>
          <w:szCs w:val="20"/>
          <w:u w:val="single" w:color="auto"/>
          <w:color w:val="0000FF"/>
          <w:strike w:val="1"/>
        </w:rPr>
        <w:t>that has, (i) become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the subject of a</w:t>
      </w:r>
      <w:r>
        <w:rPr>
          <w:rFonts w:ascii="Times New Roman" w:cs="Times New Roman" w:eastAsia="Times New Roman" w:hAnsi="Times New Roman"/>
          <w:sz w:val="20"/>
          <w:szCs w:val="20"/>
          <w:color w:val="FF0000"/>
          <w:strike w:val="1"/>
        </w:rPr>
        <w:t xml:space="preserve"> bankruptcy or insolvency </w:t>
      </w:r>
      <w:r>
        <w:rPr>
          <w:rFonts w:ascii="Times New Roman" w:cs="Times New Roman" w:eastAsia="Times New Roman" w:hAnsi="Times New Roman"/>
          <w:sz w:val="20"/>
          <w:szCs w:val="20"/>
          <w:color w:val="000000"/>
          <w:strike w:val="1"/>
        </w:rPr>
        <w:t>proceeding</w:t>
      </w:r>
      <w:r>
        <w:rPr>
          <w:rFonts w:ascii="Times New Roman" w:cs="Times New Roman" w:eastAsia="Times New Roman" w:hAnsi="Times New Roman"/>
          <w:sz w:val="20"/>
          <w:szCs w:val="20"/>
          <w:color w:val="FF0000"/>
          <w:strike w:val="1"/>
        </w:rPr>
        <w:t xml:space="preserve">, or having </w:t>
      </w:r>
      <w:r>
        <w:rPr>
          <w:rFonts w:ascii="Times New Roman" w:cs="Times New Roman" w:eastAsia="Times New Roman" w:hAnsi="Times New Roman"/>
          <w:sz w:val="20"/>
          <w:szCs w:val="20"/>
          <w:u w:val="single" w:color="auto"/>
          <w:color w:val="0000FF"/>
          <w:strike w:val="1"/>
        </w:rPr>
        <w:t>under any Debtor Relief Law, (ii)</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had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appointed for it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a receiver</w:t>
      </w:r>
      <w:r>
        <w:rPr>
          <w:rFonts w:ascii="Times New Roman" w:cs="Times New Roman" w:eastAsia="Times New Roman" w:hAnsi="Times New Roman"/>
          <w:sz w:val="20"/>
          <w:szCs w:val="20"/>
          <w:u w:val="single" w:color="auto"/>
          <w:color w:val="0000FF"/>
          <w:strike w:val="1"/>
        </w:rPr>
        <w:t>, custodian</w:t>
      </w:r>
      <w:r>
        <w:rPr>
          <w:rFonts w:ascii="Times New Roman" w:cs="Times New Roman" w:eastAsia="Times New Roman" w:hAnsi="Times New Roman"/>
          <w:sz w:val="20"/>
          <w:szCs w:val="20"/>
          <w:color w:val="000000"/>
          <w:strike w:val="1"/>
        </w:rPr>
        <w: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conservator, trustee, administrator, </w:t>
      </w:r>
      <w:r>
        <w:rPr>
          <w:rFonts w:ascii="Times New Roman" w:cs="Times New Roman" w:eastAsia="Times New Roman" w:hAnsi="Times New Roman"/>
          <w:sz w:val="20"/>
          <w:szCs w:val="20"/>
          <w:color w:val="FF0000"/>
          <w:strike w:val="1"/>
        </w:rPr>
        <w:t>custodian,</w:t>
      </w:r>
      <w:r>
        <w:rPr>
          <w:rFonts w:ascii="Times New Roman" w:cs="Times New Roman" w:eastAsia="Times New Roman" w:hAnsi="Times New Roman"/>
          <w:sz w:val="20"/>
          <w:szCs w:val="20"/>
          <w:color w:val="000000"/>
          <w:strike w:val="1"/>
        </w:rPr>
        <w:t xml:space="preserve"> assignee for the benefit of creditors or similar Person charged with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color w:val="000000"/>
          <w:strike w:val="1"/>
        </w:rPr>
        <w:t xml:space="preserve"> reorganization or liquidation of its business </w:t>
      </w:r>
      <w:r>
        <w:rPr>
          <w:rFonts w:ascii="Times New Roman" w:cs="Times New Roman" w:eastAsia="Times New Roman" w:hAnsi="Times New Roman"/>
          <w:sz w:val="20"/>
          <w:szCs w:val="20"/>
          <w:color w:val="FF0000"/>
          <w:strike w:val="1"/>
        </w:rPr>
        <w:t>appointed for it,</w:t>
      </w:r>
      <w:r>
        <w:rPr>
          <w:rFonts w:ascii="Times New Roman" w:cs="Times New Roman" w:eastAsia="Times New Roman" w:hAnsi="Times New Roman"/>
          <w:sz w:val="20"/>
          <w:szCs w:val="20"/>
          <w:color w:val="000000"/>
          <w:strike w:val="1"/>
        </w:rPr>
        <w:t xml:space="preserve"> or </w:t>
      </w:r>
      <w:r>
        <w:rPr>
          <w:rFonts w:ascii="Times New Roman" w:cs="Times New Roman" w:eastAsia="Times New Roman" w:hAnsi="Times New Roman"/>
          <w:sz w:val="20"/>
          <w:szCs w:val="20"/>
          <w:u w:val="single" w:color="auto"/>
          <w:color w:val="0000FF"/>
          <w:strike w:val="1"/>
        </w:rPr>
        <w:t>assets</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in the good faith determination of the Administrative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Agent, has taken any action in furtherance of, or indicating its consent to, approval of, or acquiescence</w:t>
      </w:r>
      <w:r>
        <w:rPr>
          <w:rFonts w:ascii="Times New Roman" w:cs="Times New Roman" w:eastAsia="Times New Roman" w:hAnsi="Times New Roman"/>
          <w:sz w:val="20"/>
          <w:szCs w:val="20"/>
          <w:u w:val="single" w:color="auto"/>
          <w:color w:val="0000FF"/>
          <w:strike w:val="1"/>
        </w:rPr>
        <w:t>including the Federal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Deposit Insurance Corporation or any other state or federal regulatory authority acting</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in</w:t>
      </w:r>
      <w:r>
        <w:rPr>
          <w:rFonts w:ascii="Times New Roman" w:cs="Times New Roman" w:eastAsia="Times New Roman" w:hAnsi="Times New Roman"/>
          <w:sz w:val="20"/>
          <w:szCs w:val="20"/>
          <w:color w:val="FF0000"/>
          <w:strike w:val="1"/>
        </w:rPr>
        <w:t>, any</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such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proceeding or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appointment,</w:t>
      </w:r>
      <w:r>
        <w:rPr>
          <w:rFonts w:ascii="Times New Roman" w:cs="Times New Roman" w:eastAsia="Times New Roman" w:hAnsi="Times New Roman"/>
          <w:sz w:val="20"/>
          <w:szCs w:val="20"/>
          <w:u w:val="single" w:color="auto"/>
          <w:color w:val="0000FF"/>
          <w:strike w:val="1"/>
        </w:rPr>
        <w:t>a capacity, or (iii)</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C000"/>
          <w:strike w:val="1"/>
        </w:rPr>
        <w:t>become the subject of a</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Bail-in Action;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00"/>
          <w:strike w:val="1"/>
        </w:rPr>
        <w:t>provided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that a</w:t>
      </w:r>
      <w:r>
        <w:rPr>
          <w:rFonts w:ascii="Times New Roman" w:cs="Times New Roman" w:eastAsia="Times New Roman" w:hAnsi="Times New Roman"/>
          <w:sz w:val="20"/>
          <w:szCs w:val="20"/>
          <w:color w:val="FF0000"/>
          <w:strike w:val="1"/>
        </w:rPr>
        <w:t xml:space="preserve"> Bankruptcy Event</w:t>
      </w:r>
      <w:r>
        <w:rPr>
          <w:rFonts w:ascii="Times New Roman" w:cs="Times New Roman" w:eastAsia="Times New Roman" w:hAnsi="Times New Roman"/>
          <w:sz w:val="20"/>
          <w:szCs w:val="20"/>
          <w:u w:val="single" w:color="auto"/>
          <w:color w:val="0000FF"/>
          <w:strike w:val="1"/>
        </w:rPr>
        <w:t>Lender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shall not</w:t>
      </w:r>
      <w:r>
        <w:rPr>
          <w:rFonts w:ascii="Times New Roman" w:cs="Times New Roman" w:eastAsia="Times New Roman" w:hAnsi="Times New Roman"/>
          <w:sz w:val="20"/>
          <w:szCs w:val="20"/>
          <w:color w:val="FF0000"/>
          <w:strike w:val="1"/>
        </w:rPr>
        <w:t xml:space="preserve"> result</w:t>
      </w:r>
      <w:r>
        <w:rPr>
          <w:rFonts w:ascii="Times New Roman" w:cs="Times New Roman" w:eastAsia="Times New Roman" w:hAnsi="Times New Roman"/>
          <w:sz w:val="20"/>
          <w:szCs w:val="20"/>
          <w:u w:val="single" w:color="auto"/>
          <w:color w:val="0000FF"/>
          <w:strike w:val="1"/>
        </w:rPr>
        <w:t>be a Defaulting Lender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solely by virtue of</w:t>
      </w:r>
      <w:r>
        <w:rPr>
          <w:rFonts w:ascii="Times New Roman" w:cs="Times New Roman" w:eastAsia="Times New Roman" w:hAnsi="Times New Roman"/>
          <w:sz w:val="20"/>
          <w:szCs w:val="20"/>
          <w:color w:val="FF0000"/>
          <w:strike w:val="1"/>
        </w:rPr>
        <w:t xml:space="preserve"> any</w:t>
      </w:r>
      <w:r>
        <w:rPr>
          <w:rFonts w:ascii="Times New Roman" w:cs="Times New Roman" w:eastAsia="Times New Roman" w:hAnsi="Times New Roman"/>
          <w:sz w:val="20"/>
          <w:szCs w:val="20"/>
          <w:u w:val="single" w:color="auto"/>
          <w:color w:val="0000FF"/>
          <w:strike w:val="1"/>
        </w:rPr>
        <w:t>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ownership</w:t>
      </w:r>
      <w:r>
        <w:rPr>
          <w:rFonts w:ascii="Times New Roman" w:cs="Times New Roman" w:eastAsia="Times New Roman" w:hAnsi="Times New Roman"/>
          <w:sz w:val="20"/>
          <w:szCs w:val="20"/>
          <w:color w:val="FF0000"/>
          <w:strike w:val="1"/>
        </w:rPr>
        <w:t xml:space="preserve"> interest, </w:t>
      </w:r>
      <w:r>
        <w:rPr>
          <w:rFonts w:ascii="Times New Roman" w:cs="Times New Roman" w:eastAsia="Times New Roman" w:hAnsi="Times New Roman"/>
          <w:sz w:val="20"/>
          <w:szCs w:val="20"/>
          <w:color w:val="000000"/>
          <w:strike w:val="1"/>
        </w:rPr>
        <w:t>or</w:t>
      </w:r>
      <w:r>
        <w:rPr>
          <w:rFonts w:ascii="Times New Roman" w:cs="Times New Roman" w:eastAsia="Times New Roman" w:hAnsi="Times New Roman"/>
          <w:sz w:val="20"/>
          <w:szCs w:val="20"/>
          <w:color w:val="FF0000"/>
          <w:strike w:val="1"/>
        </w:rPr>
        <w:t xml:space="preserve"> the </w:t>
      </w:r>
      <w:r>
        <w:rPr>
          <w:rFonts w:ascii="Times New Roman" w:cs="Times New Roman" w:eastAsia="Times New Roman" w:hAnsi="Times New Roman"/>
          <w:sz w:val="20"/>
          <w:szCs w:val="20"/>
          <w:color w:val="000000"/>
          <w:strike w:val="1"/>
        </w:rPr>
        <w:t>acquisition of any</w:t>
      </w:r>
      <w:r>
        <w:rPr>
          <w:rFonts w:ascii="Times New Roman" w:cs="Times New Roman" w:eastAsia="Times New Roman" w:hAnsi="Times New Roman"/>
          <w:sz w:val="20"/>
          <w:szCs w:val="20"/>
          <w:color w:val="FF0000"/>
          <w:strike w:val="1"/>
        </w:rPr>
        <w:t xml:space="preserve"> ownership</w:t>
      </w:r>
      <w:r>
        <w:rPr>
          <w:rFonts w:ascii="Times New Roman" w:cs="Times New Roman" w:eastAsia="Times New Roman" w:hAnsi="Times New Roman"/>
          <w:sz w:val="20"/>
          <w:szCs w:val="20"/>
          <w:u w:val="single" w:color="auto"/>
          <w:color w:val="0000FF"/>
          <w:strike w:val="1"/>
        </w:rPr>
        <w:t>equity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interest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strike w:val="1"/>
        </w:rPr>
        <w:t xml:space="preserve"> in </w:t>
      </w:r>
      <w:r>
        <w:rPr>
          <w:rFonts w:ascii="Times New Roman" w:cs="Times New Roman" w:eastAsia="Times New Roman" w:hAnsi="Times New Roman"/>
          <w:sz w:val="20"/>
          <w:szCs w:val="20"/>
          <w:color w:val="FF0000"/>
          <w:strike w:val="1"/>
        </w:rPr>
        <w:t>such Person</w:t>
      </w:r>
      <w:r>
        <w:rPr>
          <w:rFonts w:ascii="Times New Roman" w:cs="Times New Roman" w:eastAsia="Times New Roman" w:hAnsi="Times New Roman"/>
          <w:sz w:val="20"/>
          <w:szCs w:val="20"/>
          <w:u w:val="single" w:color="auto"/>
          <w:color w:val="0000FF"/>
          <w:strike w:val="1"/>
        </w:rPr>
        <w:t>that Lender</w:t>
      </w:r>
      <w:r>
        <w:rPr>
          <w:rFonts w:ascii="Times New Roman" w:cs="Times New Roman" w:eastAsia="Times New Roman" w:hAnsi="Times New Roman"/>
          <w:sz w:val="20"/>
          <w:szCs w:val="20"/>
          <w:color w:val="000000"/>
          <w:strike w:val="1"/>
        </w:rPr>
        <w:t xml:space="preserve"> or </w:t>
      </w:r>
      <w:r>
        <w:rPr>
          <w:rFonts w:ascii="Times New Roman" w:cs="Times New Roman" w:eastAsia="Times New Roman" w:hAnsi="Times New Roman"/>
          <w:sz w:val="20"/>
          <w:szCs w:val="20"/>
          <w:color w:val="FF0000"/>
          <w:strike w:val="1"/>
        </w:rPr>
        <w:t>such Person's</w:t>
      </w:r>
      <w:r>
        <w:rPr>
          <w:rFonts w:ascii="Times New Roman" w:cs="Times New Roman" w:eastAsia="Times New Roman" w:hAnsi="Times New Roman"/>
          <w:sz w:val="20"/>
          <w:szCs w:val="20"/>
          <w:u w:val="single" w:color="auto"/>
          <w:color w:val="0000FF"/>
          <w:strike w:val="1"/>
        </w:rPr>
        <w:t>any</w:t>
      </w:r>
      <w:r>
        <w:rPr>
          <w:rFonts w:ascii="Times New Roman" w:cs="Times New Roman" w:eastAsia="Times New Roman" w:hAnsi="Times New Roman"/>
          <w:sz w:val="20"/>
          <w:szCs w:val="20"/>
          <w:color w:val="000000"/>
          <w:strike w:val="1"/>
        </w:rPr>
        <w:t xml:space="preserve"> direct or indirect parent company </w:t>
      </w:r>
      <w:r>
        <w:rPr>
          <w:rFonts w:ascii="Times New Roman" w:cs="Times New Roman" w:eastAsia="Times New Roman" w:hAnsi="Times New Roman"/>
          <w:sz w:val="20"/>
          <w:szCs w:val="20"/>
          <w:u w:val="single" w:color="auto"/>
          <w:color w:val="0000FF"/>
          <w:strike w:val="1"/>
        </w:rPr>
        <w:t>thereof</w:t>
      </w:r>
      <w:r>
        <w:rPr>
          <w:rFonts w:ascii="Times New Roman" w:cs="Times New Roman" w:eastAsia="Times New Roman" w:hAnsi="Times New Roman"/>
          <w:sz w:val="20"/>
          <w:szCs w:val="20"/>
          <w:color w:val="000000"/>
          <w:strike w:val="1"/>
        </w:rPr>
        <w:t xml:space="preserve"> by an Official Body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instrumentality thereof if, and only if,</w:t>
      </w:r>
      <w:r>
        <w:rPr>
          <w:rFonts w:ascii="Times New Roman" w:cs="Times New Roman" w:eastAsia="Times New Roman" w:hAnsi="Times New Roman"/>
          <w:sz w:val="20"/>
          <w:szCs w:val="20"/>
          <w:u w:val="single" w:color="auto"/>
          <w:color w:val="0000FF"/>
          <w:strike w:val="1"/>
        </w:rPr>
        <w:t>so long as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such ownership interest does not result in or provide such</w:t>
      </w:r>
      <w:r>
        <w:rPr>
          <w:rFonts w:ascii="Times New Roman" w:cs="Times New Roman" w:eastAsia="Times New Roman" w:hAnsi="Times New Roman"/>
          <w:sz w:val="20"/>
          <w:szCs w:val="20"/>
          <w:color w:val="FF0000"/>
          <w:strike w:val="1"/>
        </w:rPr>
        <w:t xml:space="preserve"> Person</w:t>
      </w:r>
      <w:r>
        <w:rPr>
          <w:rFonts w:ascii="Times New Roman" w:cs="Times New Roman" w:eastAsia="Times New Roman" w:hAnsi="Times New Roman"/>
          <w:sz w:val="20"/>
          <w:szCs w:val="20"/>
          <w:u w:val="single" w:color="auto"/>
          <w:color w:val="0000FF"/>
          <w:strike w:val="1"/>
        </w:rPr>
        <w:t>Lender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with immunity from the jurisdiction of courts within the United States or from the enforcement of judgments or writs of attachment on its assets or permit such </w:t>
      </w:r>
      <w:r>
        <w:rPr>
          <w:rFonts w:ascii="Times New Roman" w:cs="Times New Roman" w:eastAsia="Times New Roman" w:hAnsi="Times New Roman"/>
          <w:sz w:val="20"/>
          <w:szCs w:val="20"/>
          <w:color w:val="FF0000"/>
          <w:strike w:val="1"/>
        </w:rPr>
        <w:t>Person</w:t>
      </w:r>
      <w:r>
        <w:rPr>
          <w:rFonts w:ascii="Times New Roman" w:cs="Times New Roman" w:eastAsia="Times New Roman" w:hAnsi="Times New Roman"/>
          <w:sz w:val="20"/>
          <w:szCs w:val="20"/>
          <w:u w:val="single" w:color="auto"/>
          <w:color w:val="0000FF"/>
          <w:strike w:val="1"/>
        </w:rPr>
        <w:t>Lender</w:t>
      </w:r>
      <w:r>
        <w:rPr>
          <w:rFonts w:ascii="Times New Roman" w:cs="Times New Roman" w:eastAsia="Times New Roman" w:hAnsi="Times New Roman"/>
          <w:sz w:val="20"/>
          <w:szCs w:val="20"/>
          <w:color w:val="000000"/>
          <w:strike w:val="1"/>
        </w:rPr>
        <w:t xml:space="preserve"> (or such Official Body </w:t>
      </w:r>
      <w:r>
        <w:rPr>
          <w:rFonts w:ascii="Times New Roman" w:cs="Times New Roman" w:eastAsia="Times New Roman" w:hAnsi="Times New Roman"/>
          <w:sz w:val="20"/>
          <w:szCs w:val="20"/>
          <w:color w:val="FF0000"/>
          <w:strike w:val="1"/>
        </w:rPr>
        <w:t>or instrumentality</w:t>
      </w:r>
      <w:r>
        <w:rPr>
          <w:rFonts w:ascii="Times New Roman" w:cs="Times New Roman" w:eastAsia="Times New Roman" w:hAnsi="Times New Roman"/>
          <w:sz w:val="20"/>
          <w:szCs w:val="20"/>
          <w:color w:val="000000"/>
          <w:strike w:val="1"/>
        </w:rPr>
        <w:t xml:space="preserve">) to reject, repudiate, disavow or disaffirm any contracts or agreements made </w:t>
      </w:r>
      <w:r>
        <w:rPr>
          <w:rFonts w:ascii="Times New Roman" w:cs="Times New Roman" w:eastAsia="Times New Roman" w:hAnsi="Times New Roman"/>
          <w:sz w:val="20"/>
          <w:szCs w:val="20"/>
          <w:color w:val="FF0000"/>
          <w:strike w:val="1"/>
        </w:rPr>
        <w:t>by such Person</w:t>
      </w:r>
      <w:r>
        <w:rPr>
          <w:rFonts w:ascii="Times New Roman" w:cs="Times New Roman" w:eastAsia="Times New Roman" w:hAnsi="Times New Roman"/>
          <w:sz w:val="20"/>
          <w:szCs w:val="20"/>
          <w:u w:val="single" w:color="auto"/>
          <w:color w:val="0000FF"/>
          <w:strike w:val="1"/>
        </w:rPr>
        <w:t>with such Lender. Any determination by the Administrative</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Agent that a Lender is a Defaulting Lender under any one or more of clauses (a) through (d) above shall be conclusive and binding absent manifest error, and such Lender shall be deemed to be a Defaulting Lender (subject to Section 2.11.2 [Defaulting Lender Cure]) upon delivery of written notice of such determination to the Borrower, the Issuing Lender, the Swing Loan Lender and each Lender.</w:t>
      </w:r>
      <w:r>
        <w:rPr>
          <w:rFonts w:ascii="Times New Roman" w:cs="Times New Roman" w:eastAsia="Times New Roman" w:hAnsi="Times New Roman"/>
          <w:sz w:val="20"/>
          <w:szCs w:val="20"/>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-1219200</wp:posOffset>
            </wp:positionV>
            <wp:extent cx="2120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2120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-708025</wp:posOffset>
            </wp:positionV>
            <wp:extent cx="944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Dollar, Dollars, U.S. Dollars</w:t>
      </w:r>
      <w:r>
        <w:rPr>
          <w:rFonts w:ascii="Times New Roman" w:cs="Times New Roman" w:eastAsia="Times New Roman" w:hAnsi="Times New Roman"/>
          <w:sz w:val="20"/>
          <w:szCs w:val="20"/>
          <w:color w:val="auto"/>
        </w:rPr>
        <w:t xml:space="preserve"> and the symbol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shall mean lawful money of the United States of America.</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xml:space="preserve"> shall mean any Subsidiary that is organized under the Laws of the United States, any state thereof or the District of Columbia.</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Drawing Date</w:t>
      </w:r>
      <w:r>
        <w:rPr>
          <w:rFonts w:ascii="Times New Roman" w:cs="Times New Roman" w:eastAsia="Times New Roman" w:hAnsi="Times New Roman"/>
          <w:sz w:val="20"/>
          <w:szCs w:val="20"/>
          <w:color w:val="auto"/>
        </w:rPr>
        <w:t xml:space="preserve"> shall have the meaning specified in Section 2.9.3 [Disbursements, Reimbursement].</w:t>
      </w:r>
    </w:p>
    <w:p>
      <w:pPr>
        <w:spacing w:after="0" w:line="168" w:lineRule="exact"/>
        <w:rPr>
          <w:sz w:val="20"/>
          <w:szCs w:val="20"/>
          <w:color w:val="auto"/>
        </w:rPr>
      </w:pPr>
    </w:p>
    <w:p>
      <w:pPr>
        <w:jc w:val="both"/>
        <w:ind w:left="1000"/>
        <w:spacing w:after="0" w:line="212" w:lineRule="auto"/>
        <w:rPr>
          <w:sz w:val="20"/>
          <w:szCs w:val="20"/>
          <w:color w:val="auto"/>
        </w:rPr>
      </w:pPr>
      <w:r>
        <w:rPr>
          <w:rFonts w:ascii="Times New Roman" w:cs="Times New Roman" w:eastAsia="Times New Roman" w:hAnsi="Times New Roman"/>
          <w:sz w:val="20"/>
          <w:szCs w:val="20"/>
          <w:u w:val="single" w:color="auto"/>
          <w:color w:val="auto"/>
        </w:rPr>
        <w:t>Eastern Time</w:t>
      </w:r>
      <w:r>
        <w:rPr>
          <w:rFonts w:ascii="Times New Roman" w:cs="Times New Roman" w:eastAsia="Times New Roman" w:hAnsi="Times New Roman"/>
          <w:sz w:val="20"/>
          <w:szCs w:val="20"/>
          <w:color w:val="auto"/>
        </w:rPr>
        <w:t xml:space="preserve"> shall mean standard time in the fifth time zone west of Greenwich, reckoned at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meridian, used in the eastern United States.</w:t>
      </w:r>
    </w:p>
    <w:p>
      <w:pPr>
        <w:spacing w:after="0" w:line="14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040"/>
          </w:cols>
          <w:pgMar w:left="520" w:top="1440" w:right="339" w:bottom="1440" w:gutter="0" w:footer="0" w:header="0"/>
        </w:sectPr>
      </w:pPr>
    </w:p>
    <w:bookmarkStart w:id="104" w:name="page105"/>
    <w:bookmarkEnd w:id="104"/>
    <w:p>
      <w:pPr>
        <w:spacing w:after="0" w:line="71"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xml:space="preserve"> means any of the member states of the European Union, Iceland, Liechtenstein, and Norway.</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xml:space="preserve"> means any public administrative authority or any person entrusted with public administrative authority of any EEA Member Country (including any delegee) having responsibility for the resolution of any EEA Financial Institution.</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shall mean the date indicated in a document or agreement to be the date on which such document or agreement becomes effective, or, if there is no such indication, the date of execution of such document or agreement.</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Eligible Contract Participant</w:t>
      </w:r>
      <w:r>
        <w:rPr>
          <w:rFonts w:ascii="Times New Roman" w:cs="Times New Roman" w:eastAsia="Times New Roman" w:hAnsi="Times New Roman"/>
          <w:sz w:val="20"/>
          <w:szCs w:val="20"/>
          <w:color w:val="auto"/>
        </w:rPr>
        <w:t xml:space="preserve"> shall mean an "eligible contract participant" as defined in the CEA and regulations thereunder.</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auto"/>
        </w:rPr>
        <w:t>Eligibility Date</w:t>
      </w:r>
      <w:r>
        <w:rPr>
          <w:rFonts w:ascii="Times New Roman" w:cs="Times New Roman" w:eastAsia="Times New Roman" w:hAnsi="Times New Roman"/>
          <w:sz w:val="20"/>
          <w:szCs w:val="20"/>
          <w:color w:val="auto"/>
        </w:rPr>
        <w:t xml:space="preserve"> shall mean,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spacing w:after="0" w:line="144"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0000FF"/>
        </w:rPr>
        <w:t>Embargoed Property shall mean any property; (a) beneficially owned, directly or indirectly, by a Sanctioned Person; (b) that is due to or from a Sanctioned Person; (c) in which a Sanctioned Person otherwise holds any interest; (d) that is located in a Sanctioned Jurisdiction; or (e) that otherwise would cause any actual or possible violation by the Lenders, Administrative Agent, or Collateral Agent of any applicable Anti-Terrorism Law if the Lenders were to obtain an encumbrance on, lien on, pledge of, or security interest in such property, or provide services in consideration of such property.</w:t>
      </w:r>
    </w:p>
    <w:p>
      <w:pPr>
        <w:spacing w:after="0" w:line="144"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xml:space="preserve"> shall mean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(i) pollution or pollution control; (ii) protection of human health from exposure to regulated substances; (iii) protection of the environment and/or natural resources; (iv) employee safety in the workplace; (v) the presence, use, management, generation, manufacture, processing, extraction, treatment, recycling, refining, reclamation, labeling, packaging, sale, transport, storage, collection, distribution, disposal or release or threat of release of regulated substances;</w:t>
      </w:r>
    </w:p>
    <w:p>
      <w:pPr>
        <w:spacing w:after="0" w:line="2" w:lineRule="exact"/>
        <w:rPr>
          <w:sz w:val="20"/>
          <w:szCs w:val="20"/>
          <w:color w:val="auto"/>
        </w:rPr>
      </w:pPr>
    </w:p>
    <w:p>
      <w:pPr>
        <w:ind w:left="1000" w:firstLine="8"/>
        <w:spacing w:after="0" w:line="229" w:lineRule="auto"/>
        <w:tabs>
          <w:tab w:leader="none" w:pos="137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presence of contamination; (vii) the protection of endangered or threatened species; and (viii) the protection of environmentally sensitive areas.</w:t>
      </w:r>
    </w:p>
    <w:p>
      <w:pPr>
        <w:spacing w:after="0" w:line="143" w:lineRule="exact"/>
        <w:rPr>
          <w:sz w:val="20"/>
          <w:szCs w:val="20"/>
          <w:color w:val="auto"/>
        </w:rPr>
      </w:pPr>
    </w:p>
    <w:p>
      <w:pPr>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xml:space="preserve"> shall mean the Employee Retirement Income Security Act of 1974, as the same may be amended or supplemented from time to time, and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040"/>
          </w:cols>
          <w:pgMar w:left="520" w:top="1440" w:right="339" w:bottom="1440" w:gutter="0" w:footer="0" w:header="0"/>
        </w:sectPr>
      </w:pPr>
    </w:p>
    <w:bookmarkStart w:id="105" w:name="page106"/>
    <w:bookmarkEnd w:id="105"/>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statute of similar import, and the rules and regulations thereunder, as from time to time in effect.</w:t>
      </w:r>
    </w:p>
    <w:p>
      <w:pPr>
        <w:spacing w:after="0" w:line="173" w:lineRule="exact"/>
        <w:rPr>
          <w:sz w:val="20"/>
          <w:szCs w:val="20"/>
          <w:color w:val="auto"/>
        </w:rPr>
      </w:pPr>
    </w:p>
    <w:p>
      <w:pPr>
        <w:jc w:val="both"/>
        <w:ind w:left="1000"/>
        <w:spacing w:after="0" w:line="221" w:lineRule="auto"/>
        <w:rPr>
          <w:sz w:val="20"/>
          <w:szCs w:val="20"/>
          <w:color w:val="auto"/>
        </w:rPr>
      </w:pP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xml:space="preserve"> shall mean (a) with respect to a Pension Plan, a reportable event under Section 4043 of ERISA as to which event (after taking into account notice waivers provided for in the regulations) there is a duty to give notice to the PBGC;</w:t>
      </w:r>
    </w:p>
    <w:p>
      <w:pPr>
        <w:spacing w:after="0" w:line="1" w:lineRule="exact"/>
        <w:rPr>
          <w:sz w:val="20"/>
          <w:szCs w:val="20"/>
          <w:color w:val="auto"/>
        </w:rPr>
      </w:pPr>
    </w:p>
    <w:p>
      <w:pPr>
        <w:jc w:val="both"/>
        <w:ind w:left="1000" w:firstLine="8"/>
        <w:spacing w:after="0" w:line="213" w:lineRule="auto"/>
        <w:tabs>
          <w:tab w:leader="none" w:pos="129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withdrawal by Borrower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Borrower or any member of the ERISA Group from a Multiemployer Plan, notification that a Multiemployer Plan is in reorganization,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or </w:t>
      </w:r>
      <w:r>
        <w:rPr>
          <w:rFonts w:ascii="Times New Roman" w:cs="Times New Roman" w:eastAsia="Times New Roman" w:hAnsi="Times New Roman"/>
          <w:sz w:val="20"/>
          <w:szCs w:val="20"/>
          <w:color w:val="FF0000"/>
          <w:strike w:val="1"/>
        </w:rPr>
        <w:t>(f</w:t>
      </w:r>
      <w:r>
        <w:rPr>
          <w:rFonts w:ascii="Times New Roman" w:cs="Times New Roman" w:eastAsia="Times New Roman" w:hAnsi="Times New Roman"/>
          <w:sz w:val="20"/>
          <w:szCs w:val="20"/>
          <w:u w:val="single" w:color="auto"/>
          <w:color w:val="0000FF"/>
        </w:rPr>
        <w:t>Multiemployer Plan; (f)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determination that any Pension Plan or Multiemployer Plan is considered an at-risk plan or a plan in endangered or critical status within the meaning of Sections 430.431 and 432 of the Code or Sections 303, 304 and 305 of ERISA; or (g</w:t>
      </w:r>
      <w:r>
        <w:rPr>
          <w:rFonts w:ascii="Times New Roman" w:cs="Times New Roman" w:eastAsia="Times New Roman" w:hAnsi="Times New Roman"/>
          <w:sz w:val="20"/>
          <w:szCs w:val="20"/>
          <w:color w:val="000000"/>
        </w:rPr>
        <w:t>)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imposition of any liability under Title IV of ERISA, other than for PBGC premiums due but not delinquent under Section 4007 of ERISA, upon Borrower or any member of the ERISA Group.</w:t>
      </w:r>
    </w:p>
    <w:p>
      <w:pPr>
        <w:spacing w:after="0" w:line="14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ERISA Group</w:t>
      </w:r>
      <w:r>
        <w:rPr>
          <w:rFonts w:ascii="Times New Roman" w:cs="Times New Roman" w:eastAsia="Times New Roman" w:hAnsi="Times New Roman"/>
          <w:sz w:val="20"/>
          <w:szCs w:val="20"/>
          <w:color w:val="auto"/>
        </w:rPr>
        <w:t xml:space="preserve"> shall mean, at any time, the Borrower and all members of a controlled group of corporations and all trades or businesses (whether or not incorporated) under common control and all other entities which, together with the Borrower, are treated as a single employer under Section 414 of the Code or Section 4001(b)(1) of ERISA.</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Erroneous Payment shall have the meaning assigned to it in Section 10.13(a).</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Erroneous Payment Deficiency Assignment shall have the meaning assigned to it in Section 10.13(d).</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Erroneous Payment Impacted Class shall have the meaning assigned to it in Section 10.13(d).</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Erroneous Payment Return Deficiency shall have the meaning assigned to it in Section 10.13(d).</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Erroneous Payment Subrogation Rights shall have the meaning assigned to it in Section 10.13(d).</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EU Bail-In Legislation Schedule shall mean the EU Bail-In Legislation Schedule published by the Loan Market Association (or any successor person), as in effect from time to time.</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shall mean any of the events described in Section 9.1 [Events of Default] and referred to therein as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40"/>
          </w:cols>
          <w:pgMar w:left="520" w:top="1440" w:right="339" w:bottom="1440" w:gutter="0" w:footer="0" w:header="0"/>
        </w:sectPr>
      </w:pPr>
    </w:p>
    <w:bookmarkStart w:id="106" w:name="page107"/>
    <w:bookmarkEnd w:id="106"/>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xml:space="preserve"> shall have the meaning assigned to that term in the definition of Change of Control.</w:t>
      </w:r>
    </w:p>
    <w:p>
      <w:pPr>
        <w:spacing w:after="0" w:line="173"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20"/>
          <w:szCs w:val="20"/>
          <w:u w:val="single" w:color="auto"/>
          <w:color w:val="auto"/>
        </w:rPr>
        <w:t>Excluded Hedge Liability</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xml:space="preserve"> shall mean,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and (b)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48"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auto"/>
        </w:rPr>
        <w:t>Excluded Subsidiaries</w:t>
      </w:r>
      <w:r>
        <w:rPr>
          <w:rFonts w:ascii="Times New Roman" w:cs="Times New Roman" w:eastAsia="Times New Roman" w:hAnsi="Times New Roman"/>
          <w:sz w:val="20"/>
          <w:szCs w:val="20"/>
          <w:color w:val="auto"/>
        </w:rPr>
        <w:t xml:space="preserve"> shall mean (i) Immaterial Subsidiaries, (ii) any Foreign Subsidiary of the Borrower, (iii) any direct or indirect Subsidiary of a Foreign Subsidiary, if such Foreign Subsidiary is a "controlled foreign corporation" within the meaning of Section 957(a) of the Code (a, "CFC") and (iv) any direct or indirect Subsidiary that is treated as a disregarded entity or as a partnership for United States Federal income tax purposes and substantially all of whose assets consist directly or indirectly of Equity Interests and/or Indebtedness of one or more Foreign Subsidiaries that are CFCs. The Excluded Subsidiaries are not required to join this Agreement as Guarantors.</w:t>
      </w:r>
    </w:p>
    <w:p>
      <w:pPr>
        <w:spacing w:after="0" w:line="144" w:lineRule="exact"/>
        <w:rPr>
          <w:sz w:val="20"/>
          <w:szCs w:val="20"/>
          <w:color w:val="auto"/>
        </w:rPr>
      </w:pPr>
    </w:p>
    <w:p>
      <w:pPr>
        <w:jc w:val="both"/>
        <w:ind w:left="1000"/>
        <w:spacing w:after="0" w:line="215" w:lineRule="auto"/>
        <w:rPr>
          <w:sz w:val="20"/>
          <w:szCs w:val="20"/>
          <w:color w:val="auto"/>
        </w:rPr>
      </w:pP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shall mean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Commitment pursuant to a law in effect on the date on which (a) such Lender acquires such interest in such Loan or Commitment (other than pursuant to an assignment request by the Borrower under Section 5.6.2 [Replacement of a Lender]) or (b) such Lender changes its lending office, except in each case to the extent that, pursuant to Section 5.9.7 [Status of Lenders], amounts with respect to such Taxes were payable either to such Lender's assignor immediately before such Lender became a party hereto or to such Lender immediately before it changed its lending office, (iii) Taxes attributable to such Recipient's failure to comply with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040"/>
          </w:cols>
          <w:pgMar w:left="520" w:top="1440" w:right="339" w:bottom="1440" w:gutter="0" w:footer="0" w:header="0"/>
        </w:sectPr>
      </w:pPr>
    </w:p>
    <w:bookmarkStart w:id="107" w:name="page108"/>
    <w:bookmarkEnd w:id="107"/>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5.9.7 [Status of Lenders], and (iv) any U.S. federal withholding Taxes imposed under FATCA</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(except to the extent imposed due to the failure of the Borrower to provide documentation or information to the IRS</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Executive Order No. 13224</w:t>
      </w:r>
      <w:r>
        <w:rPr>
          <w:rFonts w:ascii="Times New Roman" w:cs="Times New Roman" w:eastAsia="Times New Roman" w:hAnsi="Times New Roman"/>
          <w:sz w:val="20"/>
          <w:szCs w:val="20"/>
          <w:color w:val="auto"/>
        </w:rPr>
        <w:t xml:space="preserve"> shall mean the Executive Order No. 13224 on Terrorist Financing, effective September 24, 2001, as the same has been, or shall hereafter be, renewed, extended, amended or replaced.</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shall mean the letters of credit set forth on Schedule 1.1(E).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shall mean, with respect to the Revolving Credit Commitments, </w:t>
      </w:r>
      <w:r>
        <w:rPr>
          <w:rFonts w:ascii="Times New Roman" w:cs="Times New Roman" w:eastAsia="Times New Roman" w:hAnsi="Times New Roman"/>
          <w:sz w:val="20"/>
          <w:szCs w:val="20"/>
          <w:color w:val="FF0000"/>
          <w:strike w:val="1"/>
        </w:rPr>
        <w:t>October 15</w:t>
      </w:r>
      <w:r>
        <w:rPr>
          <w:rFonts w:ascii="Times New Roman" w:cs="Times New Roman" w:eastAsia="Times New Roman" w:hAnsi="Times New Roman"/>
          <w:sz w:val="20"/>
          <w:szCs w:val="20"/>
          <w:u w:val="single" w:color="auto"/>
          <w:color w:val="0000FF"/>
        </w:rPr>
        <w:t>February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2023</w:t>
      </w:r>
      <w:r>
        <w:rPr>
          <w:rFonts w:ascii="Times New Roman" w:cs="Times New Roman" w:eastAsia="Times New Roman" w:hAnsi="Times New Roman"/>
          <w:sz w:val="20"/>
          <w:szCs w:val="20"/>
          <w:u w:val="single" w:color="auto"/>
          <w:color w:val="0000FF"/>
        </w:rPr>
        <w:t>2026</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xml:space="preserve">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44"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for any day shall mean the rate per annum (based on a year of 360 days and actual days elapsed and rounded upward to the nearest 1/100 of 1%) announced by the NYFRB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such Federal Reserve Bank (or its successor) does not announce such rate on any day, the "Federal Funds Effective Rate" for such day shall be the Federal Funds Effective Rate for the last day on which such rate was announced.</w:t>
      </w:r>
    </w:p>
    <w:p>
      <w:pPr>
        <w:spacing w:after="0" w:line="148"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Financial Service Product</w:t>
      </w:r>
      <w:r>
        <w:rPr>
          <w:rFonts w:ascii="Times New Roman" w:cs="Times New Roman" w:eastAsia="Times New Roman" w:hAnsi="Times New Roman"/>
          <w:sz w:val="20"/>
          <w:szCs w:val="20"/>
          <w:color w:val="auto"/>
        </w:rPr>
        <w:t xml:space="preserve"> shall mean agreements or other arrangements to provide any of the following products or services to any of the Loan Parties and their Subsidiaries: (a) credit cards, (b) credit card processing services, (c) debit cards, (d) purchase cards, (e) ACH transactions or (f) cash management, including controlled disbursement, accounts or services.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First Amendment Effective Date shall mean February 21, 2023.</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0000FF"/>
        </w:rPr>
        <w:t>Floor means the benchmark rate floor, if any, provided in this Agreement initially (as of the execution of this Agreement, the modification, amendment or renewal of this Agreement or otherwise) with respect to the Term SOFR Rate or, if no floor is specified, zero.</w:t>
      </w:r>
    </w:p>
    <w:p>
      <w:pPr>
        <w:spacing w:after="0" w:line="144"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Foreign Currency Hedge</w:t>
      </w:r>
      <w:r>
        <w:rPr>
          <w:rFonts w:ascii="Times New Roman" w:cs="Times New Roman" w:eastAsia="Times New Roman" w:hAnsi="Times New Roman"/>
          <w:sz w:val="20"/>
          <w:szCs w:val="20"/>
          <w:color w:val="auto"/>
        </w:rPr>
        <w:t xml:space="preserve"> shall mean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040"/>
          </w:cols>
          <w:pgMar w:left="520" w:top="1440" w:right="339" w:bottom="1440" w:gutter="0" w:footer="0" w:header="0"/>
        </w:sectPr>
      </w:pPr>
    </w:p>
    <w:bookmarkStart w:id="108" w:name="page109"/>
    <w:bookmarkEnd w:id="108"/>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Foreign Currency Hedge Liabilities</w:t>
      </w:r>
      <w:r>
        <w:rPr>
          <w:rFonts w:ascii="Times New Roman" w:cs="Times New Roman" w:eastAsia="Times New Roman" w:hAnsi="Times New Roman"/>
          <w:sz w:val="20"/>
          <w:szCs w:val="20"/>
          <w:color w:val="auto"/>
        </w:rPr>
        <w:t xml:space="preserve"> shall have the meaning assigned in the definition of Lender Provided Foreign Currency Hedge.</w:t>
      </w:r>
    </w:p>
    <w:p>
      <w:pPr>
        <w:spacing w:after="0" w:line="140"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xml:space="preserve"> shall mean (i) if the Borrower is a U.S. Person, a Lender that is not a U.S. Person, and (ii) if the Borrower is not a U.S. Person, a Lender that is resident or organized under the Laws of a jurisdiction other than that in which the Borrower is resident for tax purposes.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xml:space="preserve"> shall mean any direct or indirect Subsidiary which is not a Domestic Subsidiary.</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0000FF"/>
        </w:rPr>
        <w:t>Fronting Exposure shall mean, at any time there is a Defaulting Lender, (a) with respect to the Issuing Lender, such Defaulting Lender’s Ratable Share of the outstanding Letter of Credit Obligations with respect to Letters of Credit issued by such Issuing Lender other than Letter of Credit Obligations as to which such Defaulting Lender’s participation obligation has been reallocated to other Lenders or Cash Collateralized in accordance with the terms hereof, and (b) with respect to any Swing Loan Lender, such Defaulting Lender’s Ratable Share of outstanding Swing Loans made by such Swing Loan Lender other than Swing Loans as to which such Defaulting Lender’s participation obligation has been reallocated to other Lenders.</w:t>
      </w:r>
    </w:p>
    <w:p>
      <w:pPr>
        <w:spacing w:after="0" w:line="144"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shall mean generally accepted accounting principles as are in effect from time to time, subject to the provisions of Section 1.3 [Accounting Principles; Changes in GAAP], and applied on a consistent basis both as to classification of items and amounts.</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xml:space="preserve"> shall mean each Person which joins this Agreement as a Guarantor after the date hereof, provided, in no event shall a Guarantor be an Excluded Subsidiary.</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Guarantor Joinder</w:t>
      </w:r>
      <w:r>
        <w:rPr>
          <w:rFonts w:ascii="Times New Roman" w:cs="Times New Roman" w:eastAsia="Times New Roman" w:hAnsi="Times New Roman"/>
          <w:sz w:val="20"/>
          <w:szCs w:val="20"/>
          <w:color w:val="auto"/>
        </w:rPr>
        <w:t xml:space="preserve"> shall mean a joinder by a Person as a Guarantor under the Loan Documents in form and substance reasonably satisfactory to the Administrative Agent.</w:t>
      </w:r>
    </w:p>
    <w:p>
      <w:pPr>
        <w:spacing w:after="0" w:line="140"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of any Person shall mean any obligation of such Person guaranteeing or in effect guaranteeing any liability or obligation of any other Person in any manner, whether directly or indirectly,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spacing w:after="0" w:line="144"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Guaranty Agreement</w:t>
      </w:r>
      <w:r>
        <w:rPr>
          <w:rFonts w:ascii="Times New Roman" w:cs="Times New Roman" w:eastAsia="Times New Roman" w:hAnsi="Times New Roman"/>
          <w:sz w:val="20"/>
          <w:szCs w:val="20"/>
          <w:color w:val="auto"/>
        </w:rPr>
        <w:t xml:space="preserve"> shall mean a Continuing Agreement of Guaranty and Suretyship in form and substance reasonably satisfactory to the Administrative Agent executed and delivered by each of the Guarantors to the Administrative Agent for the benefit of the Lenders.</w:t>
      </w:r>
    </w:p>
    <w:p>
      <w:pPr>
        <w:spacing w:after="0" w:line="144"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xml:space="preserve"> shall mean foreign exchange agreements, currency swap agreements, interest rate exchange, collar, cap, swap, adjustable strike cap, adjustable strike corridor agreements or similar hedging agreements entered into by the Loan Parties or their Subsidiaries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040"/>
          </w:cols>
          <w:pgMar w:left="520" w:top="1440" w:right="339" w:bottom="1440" w:gutter="0" w:footer="0" w:header="0"/>
        </w:sectPr>
      </w:pPr>
    </w:p>
    <w:bookmarkStart w:id="109" w:name="page110"/>
    <w:bookmarkEnd w:id="109"/>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Hedge Liabilities</w:t>
      </w:r>
      <w:r>
        <w:rPr>
          <w:rFonts w:ascii="Times New Roman" w:cs="Times New Roman" w:eastAsia="Times New Roman" w:hAnsi="Times New Roman"/>
          <w:sz w:val="20"/>
          <w:szCs w:val="20"/>
          <w:color w:val="auto"/>
        </w:rPr>
        <w:t xml:space="preserve"> shall mean collectively, the Foreign Currency Hedge Liabilities and the Interest Rate Hedge Liabilities.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xml:space="preserve"> shall have the meaning specified in Section 11.11.1 [Governing Law].</w:t>
      </w:r>
    </w:p>
    <w:p>
      <w:pPr>
        <w:spacing w:after="0" w:line="173" w:lineRule="exact"/>
        <w:rPr>
          <w:sz w:val="20"/>
          <w:szCs w:val="20"/>
          <w:color w:val="auto"/>
        </w:rPr>
      </w:pPr>
    </w:p>
    <w:p>
      <w:pPr>
        <w:jc w:val="both"/>
        <w:ind w:left="1000"/>
        <w:spacing w:after="0" w:line="228" w:lineRule="auto"/>
        <w:rPr>
          <w:sz w:val="20"/>
          <w:szCs w:val="20"/>
          <w:color w:val="auto"/>
        </w:rPr>
      </w:pPr>
      <w:r>
        <w:rPr>
          <w:rFonts w:ascii="Times New Roman" w:cs="Times New Roman" w:eastAsia="Times New Roman" w:hAnsi="Times New Roman"/>
          <w:sz w:val="20"/>
          <w:szCs w:val="20"/>
          <w:u w:val="single" w:color="auto"/>
          <w:color w:val="auto"/>
        </w:rPr>
        <w:t>Immaterial Subsidiaries</w:t>
      </w:r>
      <w:r>
        <w:rPr>
          <w:rFonts w:ascii="Times New Roman" w:cs="Times New Roman" w:eastAsia="Times New Roman" w:hAnsi="Times New Roman"/>
          <w:sz w:val="20"/>
          <w:szCs w:val="20"/>
          <w:color w:val="auto"/>
        </w:rPr>
        <w:t xml:space="preserve"> shall mean (i) Subsidiaries listed on </w:t>
      </w:r>
      <w:r>
        <w:rPr>
          <w:rFonts w:ascii="Times New Roman" w:cs="Times New Roman" w:eastAsia="Times New Roman" w:hAnsi="Times New Roman"/>
          <w:sz w:val="20"/>
          <w:szCs w:val="20"/>
          <w:u w:val="single" w:color="auto"/>
          <w:color w:val="auto"/>
        </w:rPr>
        <w:t>Schedule 1.1(S)</w:t>
      </w:r>
      <w:r>
        <w:rPr>
          <w:rFonts w:ascii="Times New Roman" w:cs="Times New Roman" w:eastAsia="Times New Roman" w:hAnsi="Times New Roman"/>
          <w:sz w:val="20"/>
          <w:szCs w:val="20"/>
          <w:color w:val="auto"/>
        </w:rPr>
        <w:t xml:space="preserve"> and (ii) any Subsidiary that does not, as of the last day of the most recently completed fiscal quarter of the Borrower, (A) have assets with a value in excess of 5.0% of the Consolidated Total Assets of the Borrower and its Subsidiaries; provided that if the aggregate assets then owned by all Subsidiaries of the Borrower that would otherwise constitute Immaterial Subsidiaries shall have a value in excess of 10.0% of the Consolidated Total Assets of the Borrower and its Subsidiaries as of the last day of such fiscal quarter, the Borrower shall redesignate one or more of such Subsidiaries to not be Immaterial Subsidiaries within ten (10) Business Days after delivery of the Compliance Certificate for such fiscal quarter such that only those such Subsidiaries as shall then have aggregate assets of less than 10.0% of the Consolidated Total Assets of the Borrower and its Subsidiaries shall constitute Immaterial Subsidiaries, or (B) represent more than 5.0% of the Consolidated EBITDA of the Borrower and its Subsidiaries; provided that if the aggregate amount of Consolidated EBITDA represented by all Subsidiaries of the Borrower that would otherwise constitute Immaterial Subsidiaries shall have a value in excess of 10.0% of Consolidated EBITDA of the Borrower and its Subsidiaries as of the last day of such fiscal quarter, the Borrower shall redesignate one or more of such Subsidiaries to not be Immaterial Subsidiaries within ten (10) Business Days after delivery of the Compliance Certificate for such fiscal quarter such that only those such Subsidiaries as shall represent aggregate Consolidated EBITDA of less than 10.0% of the Consolidated EBITDA of the Borrower and its Subsidiaries shall constitute Immaterial Subsidiaries.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shall have the meaning assigned to that term in Section 2.10 [Additional Commitment].</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Incremental Facility Closing Date</w:t>
      </w:r>
      <w:r>
        <w:rPr>
          <w:rFonts w:ascii="Times New Roman" w:cs="Times New Roman" w:eastAsia="Times New Roman" w:hAnsi="Times New Roman"/>
          <w:sz w:val="20"/>
          <w:szCs w:val="20"/>
          <w:color w:val="auto"/>
        </w:rPr>
        <w:t xml:space="preserve"> shall have the meaning assigned to that term in Section 2.10 [Additional Commitment].</w:t>
      </w:r>
    </w:p>
    <w:p>
      <w:pPr>
        <w:spacing w:after="0" w:line="173" w:lineRule="exact"/>
        <w:rPr>
          <w:sz w:val="20"/>
          <w:szCs w:val="20"/>
          <w:color w:val="auto"/>
        </w:rPr>
      </w:pPr>
    </w:p>
    <w:p>
      <w:pPr>
        <w:jc w:val="both"/>
        <w:ind w:left="1000"/>
        <w:spacing w:after="0" w:line="232" w:lineRule="auto"/>
        <w:rPr>
          <w:sz w:val="20"/>
          <w:szCs w:val="20"/>
          <w:color w:val="auto"/>
        </w:rPr>
      </w:pP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shall mean, as to any Person at any time,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note purchase or acceptance credit facility, (iii) reimbursement obligations (contingent or otherwise) under any letter of credit or Hedge Agreement: (A) in the case of a Hedge Agreement that has been closed out, in an amount equal to the termination value thereof and (B) in the case of a Hedge Agreement that has not been closed out, in an amount equal to the mark to market value thereof determined on the basis of readily available quotations provided by any recognized dealer in such Hedge Agreements, (iv) any other transaction (including forward sale or purchase agreements, capitalized leases and conditional sales agreements) having the commercial effect of a borrowing of money entered into by such Person to finance its operations or capital requirements (but not including to the extent not more than thirty (30) days past due (x) trade payables and accrued expenses incurred in the ordinary course of business which are not represented by a promissory note or other evidence of indebtedness and (y) earn-out obligations and purchase price adjustments), or (v) any Guaranty of Indebtedness for 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040"/>
          </w:cols>
          <w:pgMar w:left="520" w:top="1440" w:right="339" w:bottom="1440" w:gutter="0" w:footer="0" w:header="0"/>
        </w:sectPr>
      </w:pPr>
    </w:p>
    <w:bookmarkStart w:id="110" w:name="page111"/>
    <w:bookmarkEnd w:id="110"/>
    <w:p>
      <w:pPr>
        <w:spacing w:after="0" w:line="71"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shall mean (i) Taxes, other than Excluded Taxes, imposed on or with respect to any payment made by or on account of any obligation of any Loan Party under any Loan Document, and (ii) to the extent not otherwise described in the preceding clause (i), Other Taxes.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shall have the meaning specified in Section 11.3.2 [Indemnification by the Loan Parties].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shall mean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non-confidential basis prior to disclosure by the Loan Parties or any of their Subsidiaries.</w:t>
      </w:r>
    </w:p>
    <w:p>
      <w:pPr>
        <w:spacing w:after="0" w:line="1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xml:space="preserve"> shall mean, with respect to any Person, (a) a case, action or proceeding with respect to such Person</w:t>
      </w:r>
    </w:p>
    <w:p>
      <w:pPr>
        <w:jc w:val="both"/>
        <w:ind w:left="1000" w:firstLine="8"/>
        <w:spacing w:after="0" w:line="216" w:lineRule="auto"/>
        <w:tabs>
          <w:tab w:leader="none" w:pos="125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any court or any other Official Body under any bankruptcy, insolvency, reorganization or other similar Law now or hereafter in effect, or (ii) for the appointment of a receiver, liquidator, assignee, custodian, trustee, sequestrator, conservator (or similar official) of any Loan Party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145"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shall mean the period of time selected by the Borrower in connection with (and to apply to) any election permitted hereunder by the Borrower to have Revolving Credit Loans bear interest under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Subject to the last sentence of this definition, such period shall be</w:t>
      </w:r>
      <w:r>
        <w:rPr>
          <w:rFonts w:ascii="Times New Roman" w:cs="Times New Roman" w:eastAsia="Times New Roman" w:hAnsi="Times New Roman"/>
          <w:sz w:val="20"/>
          <w:szCs w:val="20"/>
          <w:u w:val="single" w:color="auto"/>
          <w:color w:val="0000FF"/>
        </w:rPr>
        <w:t>, in each case, subject to the availability thereof,</w:t>
      </w:r>
      <w:r>
        <w:rPr>
          <w:rFonts w:ascii="Times New Roman" w:cs="Times New Roman" w:eastAsia="Times New Roman" w:hAnsi="Times New Roman"/>
          <w:sz w:val="20"/>
          <w:szCs w:val="20"/>
          <w:color w:val="auto"/>
        </w:rPr>
        <w:t xml:space="preserve"> one, </w:t>
      </w:r>
      <w:r>
        <w:rPr>
          <w:rFonts w:ascii="Times New Roman" w:cs="Times New Roman" w:eastAsia="Times New Roman" w:hAnsi="Times New Roman"/>
          <w:sz w:val="20"/>
          <w:szCs w:val="20"/>
          <w:color w:val="FF0000"/>
          <w:strike w:val="1"/>
        </w:rPr>
        <w:t>two,</w:t>
      </w:r>
      <w:r>
        <w:rPr>
          <w:rFonts w:ascii="Times New Roman" w:cs="Times New Roman" w:eastAsia="Times New Roman" w:hAnsi="Times New Roman"/>
          <w:sz w:val="20"/>
          <w:szCs w:val="20"/>
          <w:color w:val="auto"/>
        </w:rPr>
        <w:t xml:space="preserve"> three or six </w:t>
      </w:r>
      <w:r>
        <w:rPr>
          <w:rFonts w:ascii="Times New Roman" w:cs="Times New Roman" w:eastAsia="Times New Roman" w:hAnsi="Times New Roman"/>
          <w:sz w:val="20"/>
          <w:szCs w:val="20"/>
          <w:color w:val="FF0000"/>
          <w:strike w:val="1"/>
        </w:rPr>
        <w:t>Months</w:t>
      </w:r>
      <w:r>
        <w:rPr>
          <w:rFonts w:ascii="Times New Roman" w:cs="Times New Roman" w:eastAsia="Times New Roman" w:hAnsi="Times New Roman"/>
          <w:sz w:val="20"/>
          <w:szCs w:val="20"/>
          <w:u w:val="single" w:color="auto"/>
          <w:color w:val="0000FF"/>
        </w:rPr>
        <w:t>months</w:t>
      </w:r>
      <w:r>
        <w:rPr>
          <w:rFonts w:ascii="Times New Roman" w:cs="Times New Roman" w:eastAsia="Times New Roman" w:hAnsi="Times New Roman"/>
          <w:sz w:val="20"/>
          <w:szCs w:val="20"/>
          <w:color w:val="auto"/>
        </w:rPr>
        <w:t xml:space="preserve">. Such Interest Period shall commence on the effective date of such </w:t>
      </w:r>
      <w:r>
        <w:rPr>
          <w:rFonts w:ascii="Times New Roman" w:cs="Times New Roman" w:eastAsia="Times New Roman" w:hAnsi="Times New Roman"/>
          <w:sz w:val="20"/>
          <w:szCs w:val="20"/>
          <w:color w:val="FF0000"/>
          <w:strike w:val="1"/>
        </w:rPr>
        <w:t>Interest</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which shall be (i) the Borrowing Date if the Borrower is requesting new Loans, or (ii) the date of renewal of or conversion to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if the Borrower is renewing or converting to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auto"/>
        </w:rPr>
        <w:t xml:space="preserve"> (B) the Borrower shall not select, convert to or renew an Interest Period for any portion of the Loans that would end after the Expiration Date </w:t>
      </w:r>
      <w:r>
        <w:rPr>
          <w:rFonts w:ascii="Times New Roman" w:cs="Times New Roman" w:eastAsia="Times New Roman" w:hAnsi="Times New Roman"/>
          <w:sz w:val="20"/>
          <w:szCs w:val="20"/>
          <w:color w:val="0000FF"/>
        </w:rPr>
        <w:t>and (C) any Interest Period that commences on the last Business Day of a calendar month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on a day for which there is no numerically corresponding day in the last calendar month of such Interest Period) shall end on the last Business Day of the last calendar month of such Interest Period</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-278130</wp:posOffset>
            </wp:positionV>
            <wp:extent cx="4874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4874895" cy="8255"/>
                    </a:xfrm>
                    <a:prstGeom prst="rect">
                      <a:avLst/>
                    </a:prstGeom>
                    <a:noFill/>
                  </pic:spPr>
                </pic:pic>
              </a:graphicData>
            </a:graphic>
          </wp:anchor>
        </w:drawing>
      </w:r>
    </w:p>
    <w:p>
      <w:pPr>
        <w:spacing w:after="0" w:line="132"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Interest Rate Hedge</w:t>
      </w:r>
      <w:r>
        <w:rPr>
          <w:rFonts w:ascii="Times New Roman" w:cs="Times New Roman" w:eastAsia="Times New Roman" w:hAnsi="Times New Roman"/>
          <w:sz w:val="20"/>
          <w:szCs w:val="20"/>
          <w:color w:val="auto"/>
        </w:rPr>
        <w:t xml:space="preserve"> shall mean an interest rate exchange, collar, cap, swap, floor, adjustable strike cap, adjustable strike corridor, cross-currency swap or similar agreements entered into by any Loan Party in order to provide protection to, or minimize the impact upon, such Loan Party of increasing floating rates of interest applicable to Indebtedness.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Interest Rate Hedge Liabilities</w:t>
      </w:r>
      <w:r>
        <w:rPr>
          <w:rFonts w:ascii="Times New Roman" w:cs="Times New Roman" w:eastAsia="Times New Roman" w:hAnsi="Times New Roman"/>
          <w:sz w:val="20"/>
          <w:szCs w:val="20"/>
          <w:color w:val="auto"/>
        </w:rPr>
        <w:t xml:space="preserve"> shall have the meaning assigned in the definition of Lender Provided Interest Rate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040"/>
          </w:cols>
          <w:pgMar w:left="520" w:top="1440" w:right="339" w:bottom="1440" w:gutter="0" w:footer="0" w:header="0"/>
        </w:sectPr>
      </w:pPr>
    </w:p>
    <w:bookmarkStart w:id="111" w:name="page112"/>
    <w:bookmarkEnd w:id="111"/>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Interest Rate Option</w:t>
      </w:r>
      <w:r>
        <w:rPr>
          <w:rFonts w:ascii="Times New Roman" w:cs="Times New Roman" w:eastAsia="Times New Roman" w:hAnsi="Times New Roman"/>
          <w:sz w:val="20"/>
          <w:szCs w:val="20"/>
          <w:color w:val="auto"/>
        </w:rPr>
        <w:t xml:space="preserve"> shall mean any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or Base Rate Option.</w:t>
      </w:r>
    </w:p>
    <w:p>
      <w:pPr>
        <w:spacing w:after="0" w:line="173" w:lineRule="exact"/>
        <w:rPr>
          <w:sz w:val="20"/>
          <w:szCs w:val="20"/>
          <w:color w:val="auto"/>
        </w:rPr>
      </w:pPr>
    </w:p>
    <w:p>
      <w:pPr>
        <w:jc w:val="both"/>
        <w:ind w:left="1000"/>
        <w:spacing w:after="0" w:line="216" w:lineRule="auto"/>
        <w:rPr>
          <w:sz w:val="20"/>
          <w:szCs w:val="20"/>
          <w:color w:val="auto"/>
        </w:rPr>
      </w:pP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shall mean, as to any Person, any direct or indirect acquisition or investment, loan or capital contribution by such Person, whether by means of (a) the purchase or other acquisition of Capital Stock of another Person, (b) a loan, advance or capital contribution to, Guaranty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 less an amount equal to the aggregate repayments, interest, returns, profits, distributions, proceeds, fees and similar amounts actually received in cash or Permitted Investments (or actually converted into cash or Permitted Investments) by the Borrower or any of its Subsidiaries with respect to such Investment; provided that such amount shall not exceed the original amount of such Investment.</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xml:space="preserve"> shall mean the United States Internal Revenue Service.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ISP98</w:t>
      </w:r>
      <w:r>
        <w:rPr>
          <w:rFonts w:ascii="Times New Roman" w:cs="Times New Roman" w:eastAsia="Times New Roman" w:hAnsi="Times New Roman"/>
          <w:sz w:val="20"/>
          <w:szCs w:val="20"/>
          <w:color w:val="auto"/>
        </w:rPr>
        <w:t xml:space="preserve"> shall have the meaning specified in Section 11.11.1 [Governing Law].</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xml:space="preserve"> shall mean PNC, in its individual capacity as issuer of Letters of Credit hereunder, and any other Lender that Borrower, Administrative Agent and such other Lender may agree may from time to time issue Letters of Credit hereunder.</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xml:space="preserve"> shall mean a corporation, partnership, limited liability company or other entity in which any Person other than the Loan Parties and their Subsidiaries holds, directly or indirectly, an equity interest.</w:t>
      </w:r>
    </w:p>
    <w:p>
      <w:pPr>
        <w:spacing w:after="0" w:line="140"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xml:space="preserve"> shall mean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Official Body, foreign or domestic.</w:t>
      </w:r>
    </w:p>
    <w:p>
      <w:pPr>
        <w:spacing w:after="0" w:line="144" w:lineRule="exact"/>
        <w:rPr>
          <w:sz w:val="20"/>
          <w:szCs w:val="20"/>
          <w:color w:val="auto"/>
        </w:rPr>
      </w:pPr>
    </w:p>
    <w:p>
      <w:pPr>
        <w:jc w:val="both"/>
        <w:ind w:left="1000"/>
        <w:spacing w:after="0" w:line="216" w:lineRule="auto"/>
        <w:rPr>
          <w:sz w:val="20"/>
          <w:szCs w:val="20"/>
          <w:color w:val="auto"/>
        </w:rPr>
      </w:pPr>
      <w:r>
        <w:rPr>
          <w:rFonts w:ascii="Times New Roman" w:cs="Times New Roman" w:eastAsia="Times New Roman" w:hAnsi="Times New Roman"/>
          <w:sz w:val="20"/>
          <w:szCs w:val="20"/>
          <w:u w:val="single" w:color="auto"/>
          <w:color w:val="auto"/>
        </w:rPr>
        <w:t>Lender Provided Foreign Currency Hedge</w:t>
      </w:r>
      <w:r>
        <w:rPr>
          <w:rFonts w:ascii="Times New Roman" w:cs="Times New Roman" w:eastAsia="Times New Roman" w:hAnsi="Times New Roman"/>
          <w:sz w:val="20"/>
          <w:szCs w:val="20"/>
          <w:color w:val="auto"/>
        </w:rPr>
        <w:t xml:space="preserve"> shall mean a Foreign Currency Hedge which is provided by any Lender or its Affiliate at the time such Foreign Currency Hedge is entered into and that: (a) is documented in a standard International Swaps and Derivatives Association Master Agreement or another reasonable and customary manner, (b) provides for the method of calculating the reimbursable amount of the provider's credit exposure in a reasonable and customary manner, (c) is entered into for hedging (rather than speculative) purposes, and (d) such Lender or such Affiliate promptly notifies the Administrative Agent of the same. The liabilities owing to the provider of any Lender Provided Foreign Currency Hedge (the "</w:t>
      </w:r>
      <w:r>
        <w:rPr>
          <w:rFonts w:ascii="Times New Roman" w:cs="Times New Roman" w:eastAsia="Times New Roman" w:hAnsi="Times New Roman"/>
          <w:sz w:val="20"/>
          <w:szCs w:val="20"/>
          <w:u w:val="single" w:color="auto"/>
          <w:color w:val="auto"/>
        </w:rPr>
        <w:t>Foreign Currency Hedge Liabilities</w:t>
      </w:r>
      <w:r>
        <w:rPr>
          <w:rFonts w:ascii="Times New Roman" w:cs="Times New Roman" w:eastAsia="Times New Roman" w:hAnsi="Times New Roman"/>
          <w:sz w:val="20"/>
          <w:szCs w:val="20"/>
          <w:color w:val="auto"/>
        </w:rPr>
        <w:t>") by any Loan Party that is party to such Lender Provided Foreign Currency Hedge shall, for purposes of this Agreement and all other Loan Documents be "Obligations" of such Person and of each other Loan Party, be guaranteed obligations under the Guaranty Agreement and otherwise treated as Obligations for purposes of the other Loan Documents, except to the extent constituting Excluded Hedge Liabilities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040"/>
          </w:cols>
          <w:pgMar w:left="520" w:top="1440" w:right="339" w:bottom="1440" w:gutter="0" w:footer="0" w:header="0"/>
        </w:sectPr>
      </w:pPr>
    </w:p>
    <w:bookmarkStart w:id="112" w:name="page113"/>
    <w:bookmarkEnd w:id="112"/>
    <w:p>
      <w:pPr>
        <w:spacing w:after="0" w:line="71" w:lineRule="exact"/>
        <w:rPr>
          <w:sz w:val="20"/>
          <w:szCs w:val="20"/>
          <w:color w:val="auto"/>
        </w:rPr>
      </w:pPr>
    </w:p>
    <w:p>
      <w:pPr>
        <w:jc w:val="both"/>
        <w:ind w:left="1000"/>
        <w:spacing w:after="0" w:line="216" w:lineRule="auto"/>
        <w:rPr>
          <w:sz w:val="20"/>
          <w:szCs w:val="20"/>
          <w:color w:val="auto"/>
        </w:rPr>
      </w:pPr>
      <w:r>
        <w:rPr>
          <w:rFonts w:ascii="Times New Roman" w:cs="Times New Roman" w:eastAsia="Times New Roman" w:hAnsi="Times New Roman"/>
          <w:sz w:val="20"/>
          <w:szCs w:val="20"/>
          <w:u w:val="single" w:color="auto"/>
          <w:color w:val="auto"/>
        </w:rPr>
        <w:t>Lender Provided Interest Rate Hedge</w:t>
      </w:r>
      <w:r>
        <w:rPr>
          <w:rFonts w:ascii="Times New Roman" w:cs="Times New Roman" w:eastAsia="Times New Roman" w:hAnsi="Times New Roman"/>
          <w:sz w:val="20"/>
          <w:szCs w:val="20"/>
          <w:color w:val="auto"/>
        </w:rPr>
        <w:t xml:space="preserve"> shall mean an Interest Rate Hedge which is provided by any Lender or its Affiliate at the time such Interest Rate Hedge is entered into and that: (a) is documented in a standard International Swaps and Derivatives Association Master Agreement, or another reasonable and customary manner, (b) provides for the method of calculating the reimbursable amount of the provider's credit exposure in a reasonable and customary manner, (c) is entered into for hedging (rather than speculative) purposes, and (d) such Lender or such Affiliate promptly notifies the Administrative Agent of the same. The liabilities owing to the provider of any Lender Provided Interest Rate Hedge (the "</w:t>
      </w:r>
      <w:r>
        <w:rPr>
          <w:rFonts w:ascii="Times New Roman" w:cs="Times New Roman" w:eastAsia="Times New Roman" w:hAnsi="Times New Roman"/>
          <w:sz w:val="20"/>
          <w:szCs w:val="20"/>
          <w:b w:val="1"/>
          <w:bCs w:val="1"/>
          <w:color w:val="auto"/>
        </w:rPr>
        <w:t>Interest Rate Hedge Liabilities</w:t>
      </w:r>
      <w:r>
        <w:rPr>
          <w:rFonts w:ascii="Times New Roman" w:cs="Times New Roman" w:eastAsia="Times New Roman" w:hAnsi="Times New Roman"/>
          <w:sz w:val="20"/>
          <w:szCs w:val="20"/>
          <w:color w:val="auto"/>
        </w:rPr>
        <w:t>") by any Loan Party that is party to such Lender Provided Interest Rate Hedge shall, for purposes of this Agreement and all other Loan Documents be "Obligations" of such Person and of each other Loan Party, be guaranteed obligations under any Guaranty Agreement and otherwise treated as Obligations for purposes of the other Loan Documents, except to the extent constituting Excluded Hedge Liabilities of such Person.</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shall mean the financial institutions named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and their respective successors and assigns as permitted hereunder, each of which is referred to herein as a Lender.</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shall have the meaning specified in Section 2.9.1 [Issuance of Letters of Credit].</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Letter of Credit Borrowing</w:t>
      </w:r>
      <w:r>
        <w:rPr>
          <w:rFonts w:ascii="Times New Roman" w:cs="Times New Roman" w:eastAsia="Times New Roman" w:hAnsi="Times New Roman"/>
          <w:sz w:val="20"/>
          <w:szCs w:val="20"/>
          <w:color w:val="auto"/>
        </w:rPr>
        <w:t xml:space="preserve"> shall have the meaning specified in Section 2.9.3 [Disbursements, Reimbursement].</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shall have the meaning specified in Section 2.9.2 [Letter of Credit Fees].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Letter of Credit Obligation</w:t>
      </w:r>
      <w:r>
        <w:rPr>
          <w:rFonts w:ascii="Times New Roman" w:cs="Times New Roman" w:eastAsia="Times New Roman" w:hAnsi="Times New Roman"/>
          <w:sz w:val="20"/>
          <w:szCs w:val="20"/>
          <w:color w:val="auto"/>
        </w:rPr>
        <w:t xml:space="preserve"> shall mean, as of any date of determination,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amount of Reimbursement Obligations and Letter of Credit Borrowings on such date.</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xml:space="preserve"> shall have the meaning specified in Section 2.9.1 [Issuance of Letters of Credit].</w:t>
      </w:r>
    </w:p>
    <w:p>
      <w:pPr>
        <w:spacing w:after="0" w:line="173" w:lineRule="exact"/>
        <w:rPr>
          <w:sz w:val="20"/>
          <w:szCs w:val="20"/>
          <w:color w:val="auto"/>
        </w:rPr>
      </w:pPr>
    </w:p>
    <w:p>
      <w:pPr>
        <w:jc w:val="both"/>
        <w:ind w:left="1000"/>
        <w:spacing w:after="0" w:line="216" w:lineRule="auto"/>
        <w:rPr>
          <w:sz w:val="20"/>
          <w:szCs w:val="20"/>
          <w:color w:val="auto"/>
        </w:rPr>
      </w:pPr>
      <w:r>
        <w:rPr>
          <w:rFonts w:ascii="Times New Roman" w:cs="Times New Roman" w:eastAsia="Times New Roman" w:hAnsi="Times New Roman"/>
          <w:sz w:val="20"/>
          <w:szCs w:val="20"/>
          <w:u w:val="single" w:color="auto"/>
          <w:color w:val="FF0000"/>
          <w:strike w:val="1"/>
        </w:rPr>
        <w:t xml:space="preserve">LIBOR Rate </w:t>
      </w:r>
      <w:r>
        <w:rPr>
          <w:rFonts w:ascii="Times New Roman" w:cs="Times New Roman" w:eastAsia="Times New Roman" w:hAnsi="Times New Roman"/>
          <w:sz w:val="20"/>
          <w:szCs w:val="20"/>
          <w:color w:val="FF0000"/>
          <w:strike w:val="1"/>
        </w:rPr>
        <w:t>shall mean, with respect to the Loans comprising any Borrowing Tranche to which the LIBOR Rate Option</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applies </w:t>
      </w:r>
      <w:r>
        <w:rPr>
          <w:rFonts w:ascii="Times New Roman" w:cs="Times New Roman" w:eastAsia="Times New Roman" w:hAnsi="Times New Roman"/>
          <w:sz w:val="20"/>
          <w:szCs w:val="20"/>
          <w:color w:val="00C000"/>
          <w:strike w:val="1"/>
        </w:rPr>
        <w:t>for any Interest Period, the interest rate per annum determined by the Administrative Agent by dividing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 xml:space="preserve">resulting quotient rounded upwards, </w:t>
      </w:r>
      <w:r>
        <w:rPr>
          <w:rFonts w:ascii="Times New Roman" w:cs="Times New Roman" w:eastAsia="Times New Roman" w:hAnsi="Times New Roman"/>
          <w:sz w:val="20"/>
          <w:szCs w:val="20"/>
          <w:color w:val="FF0000"/>
          <w:strike w:val="1"/>
        </w:rPr>
        <w:t>if necessary, to the nearest 1/100th of 1% per annum) (i) the rate which appears on the</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Bloomberg Page BBAM1 (or on such other substitute Bloomberg page that displays rates at which US dollar deposits are offered by leading banks in the London interbank deposit market), or the rate which is quoted by another source selected by the Administrative Agent as an authorized information vendor for the purpose of displaying rates at which US dollar deposits are offered by leading banks in the London interbank deposit market (for purposes of this definition, an "</w:t>
      </w:r>
      <w:r>
        <w:rPr>
          <w:rFonts w:ascii="Times New Roman" w:cs="Times New Roman" w:eastAsia="Times New Roman" w:hAnsi="Times New Roman"/>
          <w:sz w:val="20"/>
          <w:szCs w:val="20"/>
          <w:b w:val="1"/>
          <w:bCs w:val="1"/>
          <w:color w:val="FF0000"/>
          <w:strike w:val="1"/>
        </w:rPr>
        <w:t>Alternate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b w:val="1"/>
          <w:bCs w:val="1"/>
          <w:color w:val="FF0000"/>
          <w:strike w:val="1"/>
        </w:rPr>
        <w:t>Source</w:t>
      </w:r>
      <w:r>
        <w:rPr>
          <w:rFonts w:ascii="Times New Roman" w:cs="Times New Roman" w:eastAsia="Times New Roman" w:hAnsi="Times New Roman"/>
          <w:sz w:val="20"/>
          <w:szCs w:val="20"/>
          <w:color w:val="FF0000"/>
          <w:strike w:val="1"/>
        </w:rPr>
        <w:t>"), at approximately 11:00 a.m., London time, two (2) Business Days prior to the commencement of such Interest</w:t>
      </w:r>
      <w:r>
        <w:rPr>
          <w:rFonts w:ascii="Times New Roman" w:cs="Times New Roman" w:eastAsia="Times New Roman" w:hAnsi="Times New Roman"/>
          <w:sz w:val="20"/>
          <w:szCs w:val="20"/>
          <w:b w:val="1"/>
          <w:bCs w:val="1"/>
          <w:color w:val="FF0000"/>
          <w:strike w:val="1"/>
        </w:rPr>
        <w:t xml:space="preserve"> </w:t>
      </w:r>
      <w:r>
        <w:rPr>
          <w:rFonts w:ascii="Times New Roman" w:cs="Times New Roman" w:eastAsia="Times New Roman" w:hAnsi="Times New Roman"/>
          <w:sz w:val="20"/>
          <w:szCs w:val="20"/>
          <w:color w:val="FF0000"/>
          <w:strike w:val="1"/>
        </w:rPr>
        <w:t>Period as the London interbank offered rate for U.S. Dollars for an amount comparable to such Borrowing Tranche and having a borrowing date and a maturity comparable to such Interest Period (or if there shall at any time,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-1097915</wp:posOffset>
            </wp:positionV>
            <wp:extent cx="6006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6006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040"/>
          </w:cols>
          <w:pgMar w:left="520" w:top="1440" w:right="339" w:bottom="1440" w:gutter="0" w:footer="0" w:header="0"/>
        </w:sectPr>
      </w:pPr>
    </w:p>
    <w:bookmarkStart w:id="113" w:name="page114"/>
    <w:bookmarkEnd w:id="113"/>
    <w:p>
      <w:pPr>
        <w:spacing w:after="0" w:line="71"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FF0000"/>
          <w:strike w:val="1"/>
        </w:rPr>
        <w:t>reason, no longer exist a Bloomberg Page BBAM1 (or any substitute page) or any Alternate Source, a comparable replacement rate determined by the Administrative Agent at such time (which determination shall be conclusive absent manifest error)), by (ii</w:t>
      </w:r>
      <w:r>
        <w:rPr>
          <w:rFonts w:ascii="Times New Roman" w:cs="Times New Roman" w:eastAsia="Times New Roman" w:hAnsi="Times New Roman"/>
          <w:sz w:val="20"/>
          <w:szCs w:val="20"/>
          <w:color w:val="00C000"/>
          <w:strike w:val="1"/>
        </w:rPr>
        <w:t>) a number equal to 1.00 minus the</w:t>
      </w:r>
      <w:r>
        <w:rPr>
          <w:rFonts w:ascii="Times New Roman" w:cs="Times New Roman" w:eastAsia="Times New Roman" w:hAnsi="Times New Roman"/>
          <w:sz w:val="20"/>
          <w:szCs w:val="20"/>
          <w:color w:val="FF0000"/>
          <w:strike w:val="1"/>
        </w:rPr>
        <w:t xml:space="preserve"> LIBOR Reserve Percentage. Notwithstanding the foregoing, if the LIBOR Rate as determined under any method above would be less than zero (0.00), such rate shall be deemed to be zero (0.00) for purposes of this Agreement.</w:t>
      </w:r>
    </w:p>
    <w:p>
      <w:pPr>
        <w:spacing w:after="0" w:line="144"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FF0000"/>
          <w:strike w:val="1"/>
        </w:rPr>
        <w:t xml:space="preserve">The LIBOR Rate shall be adjusted with respect to any Loan to which the LIBOR Rate Option applies that is outstanding on the effective date of any change in the LIBOR Reserve Percentage as of such effective date. The Administrative Agent shall give prompt notice to the Borrower of the LIBOR Rate as determined or adjusted </w:t>
      </w:r>
      <w:r>
        <w:rPr>
          <w:rFonts w:ascii="Times New Roman" w:cs="Times New Roman" w:eastAsia="Times New Roman" w:hAnsi="Times New Roman"/>
          <w:sz w:val="20"/>
          <w:szCs w:val="20"/>
          <w:color w:val="00C000"/>
          <w:strike w:val="1"/>
        </w:rPr>
        <w:t>in accordance herewith,</w:t>
      </w:r>
      <w:r>
        <w:rPr>
          <w:rFonts w:ascii="Times New Roman" w:cs="Times New Roman" w:eastAsia="Times New Roman" w:hAnsi="Times New Roman"/>
          <w:sz w:val="20"/>
          <w:szCs w:val="20"/>
          <w:color w:val="FF0000"/>
          <w:strike w:val="1"/>
        </w:rPr>
        <w:t xml:space="preserve"> which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5267960</wp:posOffset>
            </wp:positionH>
            <wp:positionV relativeFrom="paragraph">
              <wp:posOffset>-203200</wp:posOffset>
            </wp:positionV>
            <wp:extent cx="14325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spacing w:after="0" w:line="12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FF0000"/>
          <w:strike w:val="1"/>
        </w:rPr>
        <w:t>LIBOR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C000"/>
        </w:rPr>
        <w:t>Rate Option shall mean the option of the Borrower to have Loans bear interest at the rate and under the terms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set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forth in Section 4.1.1(ii) [LIBOR Rate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-158115</wp:posOffset>
            </wp:positionV>
            <wp:extent cx="669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-205740</wp:posOffset>
            </wp:positionV>
            <wp:extent cx="58420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5842000" cy="8255"/>
                    </a:xfrm>
                    <a:prstGeom prst="rect">
                      <a:avLst/>
                    </a:prstGeom>
                    <a:noFill/>
                  </pic:spPr>
                </pic:pic>
              </a:graphicData>
            </a:graphic>
          </wp:anchor>
        </w:drawing>
      </w:r>
    </w:p>
    <w:p>
      <w:pPr>
        <w:spacing w:after="0" w:line="120"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FF0000"/>
          <w:strike w:val="1"/>
        </w:rPr>
        <w:t xml:space="preserve">LIBOR Reserve Percentage </w:t>
      </w:r>
      <w:r>
        <w:rPr>
          <w:rFonts w:ascii="Times New Roman" w:cs="Times New Roman" w:eastAsia="Times New Roman" w:hAnsi="Times New Roman"/>
          <w:sz w:val="20"/>
          <w:szCs w:val="20"/>
          <w:color w:val="FF0000"/>
          <w:strike w:val="1"/>
        </w:rPr>
        <w:t>shall mean as of any day the maximum</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00C000"/>
          <w:strike w:val="1"/>
        </w:rPr>
        <w:t>percentage in effect on such day, as prescribed by the</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00C000"/>
          <w:strike w:val="1"/>
        </w:rPr>
        <w:t xml:space="preserve">Board of Governors of the Federal Reserve System (or any successor) for determining the reserve requirements (including supplemental, marginal and emergency reserve requirements) with respect to </w:t>
      </w:r>
      <w:r>
        <w:rPr>
          <w:rFonts w:ascii="Times New Roman" w:cs="Times New Roman" w:eastAsia="Times New Roman" w:hAnsi="Times New Roman"/>
          <w:sz w:val="20"/>
          <w:szCs w:val="20"/>
          <w:color w:val="FF0000"/>
          <w:strike w:val="1"/>
        </w:rPr>
        <w:t>eurocurrency funding (currently referred to as</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b w:val="1"/>
          <w:bCs w:val="1"/>
          <w:color w:val="FF0000"/>
          <w:strike w:val="1"/>
        </w:rPr>
        <w:t>Eurocurrency Liabilities</w:t>
      </w:r>
      <w:r>
        <w:rPr>
          <w:rFonts w:ascii="Times New Roman" w:cs="Times New Roman" w:eastAsia="Times New Roman" w:hAnsi="Times New Roman"/>
          <w:sz w:val="20"/>
          <w:szCs w:val="20"/>
          <w:color w:val="FF0000"/>
          <w:strike w:val="1"/>
        </w:rPr>
        <w:t>").</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FF0000"/>
          <w:strike w:val="1"/>
        </w:rPr>
        <w:t xml:space="preserve">LIBOR Termination Date </w:t>
      </w:r>
      <w:r>
        <w:rPr>
          <w:rFonts w:ascii="Times New Roman" w:cs="Times New Roman" w:eastAsia="Times New Roman" w:hAnsi="Times New Roman"/>
          <w:sz w:val="20"/>
          <w:szCs w:val="20"/>
          <w:color w:val="FF0000"/>
          <w:strike w:val="1"/>
        </w:rPr>
        <w:t>shall have the meaning specified in Section 4.4.4 [Successor LIBOR Rate Index].</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shall mean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w:t>
      </w:r>
    </w:p>
    <w:p>
      <w:pPr>
        <w:spacing w:after="0" w:line="144"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0000FF"/>
        </w:rPr>
        <w:t>LLC Division shall mean, in the event a Borrower or Guarantor is a limited liability company, (a) the division of any such Borrower or Guarantor into two or more newly formed limited liability companies (whether or not such Borrower or Guarantor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shall mean this Agreement, the Guaranty Agreement, the Notes, and any other instruments, certificates or documents delivered in connection herewith or therewith.</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xml:space="preserve"> shall mean the Borrower and the Guarantors.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Loan Request</w:t>
      </w:r>
      <w:r>
        <w:rPr>
          <w:rFonts w:ascii="Times New Roman" w:cs="Times New Roman" w:eastAsia="Times New Roman" w:hAnsi="Times New Roman"/>
          <w:sz w:val="20"/>
          <w:szCs w:val="20"/>
          <w:color w:val="auto"/>
        </w:rPr>
        <w:t xml:space="preserve"> shall have the meaning specified in Section 2.5 [Revolving Credit Loan Requests; Swing Loan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040"/>
          </w:cols>
          <w:pgMar w:left="520" w:top="1440" w:right="339" w:bottom="1440" w:gutter="0" w:footer="0" w:header="0"/>
        </w:sectPr>
      </w:pPr>
    </w:p>
    <w:bookmarkStart w:id="114" w:name="page115"/>
    <w:bookmarkEnd w:id="114"/>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shall mean collectively and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shall mean separately all Revolving Credit Loans and Swing Loans, or any Revolving Credit Loan or Swing Loan.</w:t>
      </w:r>
    </w:p>
    <w:p>
      <w:pPr>
        <w:spacing w:after="0" w:line="140"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u w:val="single" w:color="auto"/>
          <w:color w:val="auto"/>
        </w:rPr>
        <w:t>Material Adverse Change</w:t>
      </w:r>
      <w:r>
        <w:rPr>
          <w:rFonts w:ascii="Times New Roman" w:cs="Times New Roman" w:eastAsia="Times New Roman" w:hAnsi="Times New Roman"/>
          <w:sz w:val="20"/>
          <w:szCs w:val="20"/>
          <w:color w:val="auto"/>
        </w:rPr>
        <w:t xml:space="preserve"> shall mean any set of circumstances or events which (a) has or could reasonably be expected to have any material adverse effect whatsoever upon the validity or enforceability of this Agreement or any other Loan Document, (b) is or could reasonably be expected to be material and adverse to the business, properties, assets, financial condition or results of operations of the Borrower and its Subsidiaries taken as a whole, (c) impairs materially or could reasonably be expected to impair materially the ability of the Loan Parties taken as a whole to duly and punctually pay or perform any of the Obligations, or (d) impairs materially or could reasonably be expected to impair materially the ability of the Administrative Agent or the Lenders, to the extent permitted, to enforce their legal remedies pursuant to this Agreement or any other Loan Document.</w:t>
      </w:r>
    </w:p>
    <w:p>
      <w:pPr>
        <w:spacing w:after="0" w:line="148"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FF0000"/>
        </w:rPr>
        <w:t>Month</w:t>
      </w:r>
      <w:r>
        <w:rPr>
          <w:rFonts w:ascii="Times New Roman" w:cs="Times New Roman" w:eastAsia="Times New Roman" w:hAnsi="Times New Roman"/>
          <w:sz w:val="20"/>
          <w:szCs w:val="20"/>
          <w:color w:val="FF0000"/>
        </w:rPr>
        <w:t xml:space="preserve">, with respect to an Interest Period under the LIBOR Rate Option, shall mean the interval between the days in </w:t>
      </w:r>
      <w:r>
        <w:rPr>
          <w:rFonts w:ascii="Times New Roman" w:cs="Times New Roman" w:eastAsia="Times New Roman" w:hAnsi="Times New Roman"/>
          <w:sz w:val="20"/>
          <w:szCs w:val="20"/>
          <w:color w:val="FF0000"/>
          <w:strike w:val="1"/>
        </w:rPr>
        <w:t>consecutive calendar months numerically corresponding to the first day of such Interest Period. If any LIBOR Rate Interest Period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-586740</wp:posOffset>
            </wp:positionV>
            <wp:extent cx="63696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6369685" cy="8255"/>
                    </a:xfrm>
                    <a:prstGeom prst="rect">
                      <a:avLst/>
                    </a:prstGeom>
                    <a:noFill/>
                  </pic:spPr>
                </pic:pic>
              </a:graphicData>
            </a:graphic>
          </wp:anchor>
        </w:drawing>
      </w:r>
    </w:p>
    <w:p>
      <w:pPr>
        <w:spacing w:after="0" w:line="124"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0000FF"/>
        </w:rPr>
        <w:t>Minimum Collateral Amount shall mean, at any time, (a) with respect to Cash Collateral consisting of cash or deposit account balances, an amount equal to 105% of the Fronting Exposure of the Issuing Lender with respect to Letters of Credit issued and outstanding at such time and (b) otherwise, an amount determined by the Administrative Agent and the Issuing Lender in their sole discretion</w:t>
      </w:r>
      <w:r>
        <w:rPr>
          <w:rFonts w:ascii="Times New Roman" w:cs="Times New Roman" w:eastAsia="Times New Roman" w:hAnsi="Times New Roman"/>
          <w:sz w:val="20"/>
          <w:szCs w:val="20"/>
          <w:color w:val="000000"/>
        </w:rPr>
        <w:t>.</w:t>
      </w:r>
    </w:p>
    <w:p>
      <w:pPr>
        <w:spacing w:after="0" w:line="144"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xml:space="preserve"> shall mean any employee pension benefit plan which is a "multiemployer plan" within the meaning of Section 4001(a)(3) of ERISA and to which the Borrower or any member of the ERISA Group is then making or accruing an obligation to make contributions or, within the preceding five plan years, has made or had an obligation to make such contributions.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shall have the meaning specified in Section 11.1 [Modifications, Amendments or Waivers].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Non-Defaulting Lender means, at any time, each Lender that is not a Defaulting Lender at such time.</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Non-Qualifying Party</w:t>
      </w:r>
      <w:r>
        <w:rPr>
          <w:rFonts w:ascii="Times New Roman" w:cs="Times New Roman" w:eastAsia="Times New Roman" w:hAnsi="Times New Roman"/>
          <w:sz w:val="20"/>
          <w:szCs w:val="20"/>
          <w:color w:val="auto"/>
        </w:rPr>
        <w:t xml:space="preserve"> shall mean any Loan Party that fails for any reason to qualify as an Eligible Contract Participant on the Effective Date of the applicable Swap.</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shall mean collectively, and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shall mean separately, the promissory notes in the form of </w:t>
      </w:r>
      <w:r>
        <w:rPr>
          <w:rFonts w:ascii="Times New Roman" w:cs="Times New Roman" w:eastAsia="Times New Roman" w:hAnsi="Times New Roman"/>
          <w:sz w:val="20"/>
          <w:szCs w:val="20"/>
          <w:u w:val="single" w:color="auto"/>
          <w:color w:val="auto"/>
        </w:rPr>
        <w:t>Exhibit 1.1(N)(1)</w:t>
      </w:r>
      <w:r>
        <w:rPr>
          <w:rFonts w:ascii="Times New Roman" w:cs="Times New Roman" w:eastAsia="Times New Roman" w:hAnsi="Times New Roman"/>
          <w:sz w:val="20"/>
          <w:szCs w:val="20"/>
          <w:color w:val="auto"/>
        </w:rPr>
        <w:t xml:space="preserve"> evidencing the Revolving Credit Loans, and in the form of </w:t>
      </w:r>
      <w:r>
        <w:rPr>
          <w:rFonts w:ascii="Times New Roman" w:cs="Times New Roman" w:eastAsia="Times New Roman" w:hAnsi="Times New Roman"/>
          <w:sz w:val="20"/>
          <w:szCs w:val="20"/>
          <w:u w:val="single" w:color="auto"/>
          <w:color w:val="auto"/>
        </w:rPr>
        <w:t>Exhibit 1.1(N)(2)</w:t>
      </w:r>
      <w:r>
        <w:rPr>
          <w:rFonts w:ascii="Times New Roman" w:cs="Times New Roman" w:eastAsia="Times New Roman" w:hAnsi="Times New Roman"/>
          <w:sz w:val="20"/>
          <w:szCs w:val="20"/>
          <w:color w:val="auto"/>
        </w:rPr>
        <w:t xml:space="preserve"> evidencing the Swing Loan.</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xml:space="preserve"> shall mean the Federal Reserve Bank of New York.</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Obligation</w:t>
      </w:r>
      <w:r>
        <w:rPr>
          <w:rFonts w:ascii="Times New Roman" w:cs="Times New Roman" w:eastAsia="Times New Roman" w:hAnsi="Times New Roman"/>
          <w:sz w:val="20"/>
          <w:szCs w:val="20"/>
          <w:color w:val="auto"/>
        </w:rPr>
        <w:t xml:space="preserve"> shall mean any obligation or liability of any of the Loan Parties, howsoever created, arising or evidenced, whether direct or indirect, absolute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040"/>
          </w:cols>
          <w:pgMar w:left="520" w:top="1440" w:right="339" w:bottom="1440" w:gutter="0" w:footer="0" w:header="0"/>
        </w:sectPr>
      </w:pPr>
    </w:p>
    <w:bookmarkStart w:id="115" w:name="page116"/>
    <w:bookmarkEnd w:id="115"/>
    <w:p>
      <w:pPr>
        <w:spacing w:after="0" w:line="71"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contingent, now or hereafter existing, or due or to become due, under or in connection with (i) this Agreement, the Notes, the Letters of Credit or any other Loan Document whether to the Administrative Agent, any of the Lenders or their Affiliates or other Persons provided for under such Loan Documents, (ii) any Lender Provided Interest Rate Hedge, (iii) any Lender Provided Foreign Currency Hedge, or (iv) any Other Lender Provided Financial Service Product. Notwithstanding anything to the contrary contained in the foregoing, the Obligations shall not include any Excluded Hedge Liabilities.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OFAC shall mean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C000"/>
        </w:rPr>
        <w:t>Office of Foreign Assets Control</w:t>
      </w:r>
      <w:r>
        <w:rPr>
          <w:rFonts w:ascii="Times New Roman" w:cs="Times New Roman" w:eastAsia="Times New Roman" w:hAnsi="Times New Roman"/>
          <w:sz w:val="20"/>
          <w:szCs w:val="20"/>
          <w:color w:val="0000FF"/>
        </w:rPr>
        <w:t xml:space="preserve"> of the United States Department of the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-9525</wp:posOffset>
            </wp:positionV>
            <wp:extent cx="25107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153"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u w:val="single" w:color="auto"/>
          <w:color w:val="auto"/>
        </w:rPr>
        <w:t>Official Body</w:t>
      </w:r>
      <w:r>
        <w:rPr>
          <w:rFonts w:ascii="Times New Roman" w:cs="Times New Roman" w:eastAsia="Times New Roman" w:hAnsi="Times New Roman"/>
          <w:sz w:val="20"/>
          <w:szCs w:val="20"/>
          <w:color w:val="auto"/>
        </w:rPr>
        <w:t xml:space="preserve">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Order</w:t>
      </w:r>
      <w:r>
        <w:rPr>
          <w:rFonts w:ascii="Times New Roman" w:cs="Times New Roman" w:eastAsia="Times New Roman" w:hAnsi="Times New Roman"/>
          <w:sz w:val="20"/>
          <w:szCs w:val="20"/>
          <w:color w:val="auto"/>
        </w:rPr>
        <w:t xml:space="preserve"> shall have the meaning specified in Section 2.9.9 [Liability for Acts and Omissions].</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xml:space="preserve"> shall mean, with respect to any Recipient, Taxes imposed as a result of a present or former connection between such Recipient (or an agent or affiliate thereof)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Other Lender Provided Financial Service Product</w:t>
      </w:r>
      <w:r>
        <w:rPr>
          <w:rFonts w:ascii="Times New Roman" w:cs="Times New Roman" w:eastAsia="Times New Roman" w:hAnsi="Times New Roman"/>
          <w:sz w:val="20"/>
          <w:szCs w:val="20"/>
          <w:color w:val="auto"/>
        </w:rPr>
        <w:t xml:space="preserve"> shall mean any Financial Service Product provided by any Lender or Affiliate of a Lender.</w:t>
      </w:r>
    </w:p>
    <w:p>
      <w:pPr>
        <w:spacing w:after="0" w:line="140"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5.6.2 [Replacement of a Lender]).</w:t>
      </w:r>
    </w:p>
    <w:p>
      <w:pPr>
        <w:spacing w:after="0" w:line="144"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xml:space="preserve"> shall mean, for any day, the rate comprised of both overnight federal funds and overnight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eurocurrency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borrowings by U.S.-managed banking offices of depository institutions, as such composite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040"/>
          </w:cols>
          <w:pgMar w:left="520" w:top="1440" w:right="339" w:bottom="1440" w:gutter="0" w:footer="0" w:header="0"/>
        </w:sectPr>
      </w:pPr>
    </w:p>
    <w:bookmarkStart w:id="116" w:name="page117"/>
    <w:bookmarkEnd w:id="116"/>
    <w:p>
      <w:pPr>
        <w:spacing w:after="0" w:line="71" w:lineRule="exact"/>
        <w:rPr>
          <w:sz w:val="20"/>
          <w:szCs w:val="20"/>
          <w:color w:val="auto"/>
        </w:rPr>
      </w:pPr>
    </w:p>
    <w:p>
      <w:pPr>
        <w:jc w:val="both"/>
        <w:ind w:left="1200"/>
        <w:spacing w:after="0" w:line="222" w:lineRule="auto"/>
        <w:rPr>
          <w:sz w:val="20"/>
          <w:szCs w:val="20"/>
          <w:color w:val="auto"/>
        </w:rPr>
      </w:pPr>
      <w:r>
        <w:rPr>
          <w:rFonts w:ascii="Times New Roman" w:cs="Times New Roman" w:eastAsia="Times New Roman" w:hAnsi="Times New Roman"/>
          <w:sz w:val="20"/>
          <w:szCs w:val="20"/>
          <w:color w:val="auto"/>
        </w:rPr>
        <w:t>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4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Section 11.8.4 [Participations].</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shall have the meaning specified in Section 11.8.4 [Participations].</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Participation Advance</w:t>
      </w:r>
      <w:r>
        <w:rPr>
          <w:rFonts w:ascii="Times New Roman" w:cs="Times New Roman" w:eastAsia="Times New Roman" w:hAnsi="Times New Roman"/>
          <w:sz w:val="20"/>
          <w:szCs w:val="20"/>
          <w:color w:val="auto"/>
        </w:rPr>
        <w:t xml:space="preserve"> shall have the meaning specified in Section 2.9.3 [Disbursements, Reimbursement].</w:t>
      </w:r>
    </w:p>
    <w:p>
      <w:pPr>
        <w:spacing w:after="0" w:line="173"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u w:val="single" w:color="auto"/>
          <w:color w:val="auto"/>
        </w:rPr>
        <w:t>Payment Date</w:t>
      </w:r>
      <w:r>
        <w:rPr>
          <w:rFonts w:ascii="Times New Roman" w:cs="Times New Roman" w:eastAsia="Times New Roman" w:hAnsi="Times New Roman"/>
          <w:sz w:val="20"/>
          <w:szCs w:val="20"/>
          <w:color w:val="auto"/>
        </w:rPr>
        <w:t xml:space="preserve"> shall mean the last Business Day of each December, March, June and September after the date hereof commencing on December 31, 2018 and on the Expiration Date, or upon acceleration of the Notes.</w:t>
      </w:r>
    </w:p>
    <w:p>
      <w:pPr>
        <w:spacing w:after="0" w:line="140"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Paid in Full</w:t>
      </w:r>
      <w:r>
        <w:rPr>
          <w:rFonts w:ascii="Times New Roman" w:cs="Times New Roman" w:eastAsia="Times New Roman" w:hAnsi="Times New Roman"/>
          <w:sz w:val="20"/>
          <w:szCs w:val="20"/>
          <w:color w:val="auto"/>
        </w:rPr>
        <w:t xml:space="preserve"> shall mean the payment in full in cash of the Loans and other Obligations hereunder (other than contingent obligations as to which no claim has been asserted and Obligations under Lender Provided Interest Rate Hedges, Lender Provided Foreign Currency Hedges and Other Lender Provided Financial Services Products), termination of the Commitments and expiration or termination of all Letters of Credit (unless the Letter of Credit Obligations related thereto have been cash collateralized or back-stopped by a letter of credit reasonably satisfactory to the Administrative Agent and the applicable Issuing Lender).</w:t>
      </w:r>
    </w:p>
    <w:p>
      <w:pPr>
        <w:spacing w:after="0" w:line="144"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xml:space="preserve"> shall mean the Pension Benefit Guaranty Corporation established pursuant to Subtitle A of Title IV of ERISA or any successor.</w:t>
      </w:r>
    </w:p>
    <w:p>
      <w:pPr>
        <w:spacing w:after="0" w:line="140" w:lineRule="exact"/>
        <w:rPr>
          <w:sz w:val="20"/>
          <w:szCs w:val="20"/>
          <w:color w:val="auto"/>
        </w:rPr>
      </w:pPr>
    </w:p>
    <w:p>
      <w:pPr>
        <w:ind w:right="20" w:firstLine="1208"/>
        <w:spacing w:after="0" w:line="217" w:lineRule="auto"/>
        <w:rPr>
          <w:sz w:val="20"/>
          <w:szCs w:val="20"/>
          <w:color w:val="auto"/>
        </w:rPr>
      </w:pP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xml:space="preserve"> shall mean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(i) is sponsored, maintained or contributed to by any member of the ERISA Group for employees of any member of the ERISA Group or (ii)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w:t>
      </w:r>
    </w:p>
    <w:p>
      <w:pPr>
        <w:spacing w:after="0" w:line="1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shall have the meaning assigned to such term in Section 8.2.4 [Loans and Investments].</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xml:space="preserve"> shall mean:</w:t>
      </w:r>
    </w:p>
    <w:p>
      <w:pPr>
        <w:spacing w:after="0" w:line="173" w:lineRule="exact"/>
        <w:rPr>
          <w:sz w:val="20"/>
          <w:szCs w:val="20"/>
          <w:color w:val="auto"/>
        </w:rPr>
      </w:pPr>
    </w:p>
    <w:p>
      <w:pPr>
        <w:ind w:firstLine="1208"/>
        <w:spacing w:after="0" w:line="242" w:lineRule="auto"/>
        <w:tabs>
          <w:tab w:leader="none" w:pos="180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the United States of America or any agency or instrumentality thereof or obligations backed by the full faith and credit of the United States of America maturing in thirty-six (36) months or less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71" w:lineRule="exact"/>
        <w:rPr>
          <w:sz w:val="20"/>
          <w:szCs w:val="20"/>
          <w:color w:val="auto"/>
        </w:rPr>
      </w:pPr>
    </w:p>
    <w:p>
      <w:pPr>
        <w:ind w:firstLine="1208"/>
        <w:spacing w:after="0" w:line="242" w:lineRule="auto"/>
        <w:tabs>
          <w:tab w:leader="none" w:pos="180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maturing in 180 days or less rated not lower than A-1, by Standard &amp; Poor's or P-1 by Moody's Investors Service, Inc. on the date of acquisition;</w:t>
      </w:r>
    </w:p>
    <w:p>
      <w:pPr>
        <w:spacing w:after="0" w:line="140" w:lineRule="exact"/>
        <w:rPr>
          <w:rFonts w:ascii="Times New Roman" w:cs="Times New Roman" w:eastAsia="Times New Roman" w:hAnsi="Times New Roman"/>
          <w:sz w:val="20"/>
          <w:szCs w:val="20"/>
          <w:color w:val="auto"/>
        </w:rPr>
      </w:pPr>
    </w:p>
    <w:p>
      <w:pPr>
        <w:ind w:firstLine="1208"/>
        <w:spacing w:after="0" w:line="242" w:lineRule="auto"/>
        <w:tabs>
          <w:tab w:leader="none" w:pos="180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deposits, time deposits or certificates of deposit maturing within seven (7) years in commercial banks whose obligations are rated A-1, A or the equivalent or better by Standard &amp; Poor's on the date of acquisition;</w:t>
      </w:r>
    </w:p>
    <w:p>
      <w:pPr>
        <w:spacing w:after="0" w:line="133" w:lineRule="exact"/>
        <w:rPr>
          <w:rFonts w:ascii="Times New Roman" w:cs="Times New Roman" w:eastAsia="Times New Roman" w:hAnsi="Times New Roman"/>
          <w:sz w:val="20"/>
          <w:szCs w:val="20"/>
          <w:color w:val="auto"/>
        </w:rPr>
      </w:pPr>
    </w:p>
    <w:p>
      <w:pPr>
        <w:ind w:left="1800" w:hanging="592"/>
        <w:spacing w:after="0"/>
        <w:tabs>
          <w:tab w:leader="none" w:pos="18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or mutual funds whose investments are limited to those types of investments described in clauses (i),</w:t>
      </w:r>
    </w:p>
    <w:p>
      <w:pPr>
        <w:ind w:left="300" w:hanging="299"/>
        <w:spacing w:after="0"/>
        <w:tabs>
          <w:tab w:leader="none" w:pos="3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(iii) above;</w:t>
      </w:r>
    </w:p>
    <w:p>
      <w:pPr>
        <w:spacing w:after="0" w:line="150" w:lineRule="exact"/>
        <w:rPr>
          <w:rFonts w:ascii="Times New Roman" w:cs="Times New Roman" w:eastAsia="Times New Roman" w:hAnsi="Times New Roman"/>
          <w:sz w:val="20"/>
          <w:szCs w:val="20"/>
          <w:color w:val="auto"/>
        </w:rPr>
      </w:pPr>
    </w:p>
    <w:p>
      <w:pPr>
        <w:ind w:left="1800" w:hanging="592"/>
        <w:spacing w:after="0"/>
        <w:tabs>
          <w:tab w:leader="none" w:pos="18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 term investments consisting of investments described in the Borrower's written investment policy; and</w:t>
      </w:r>
    </w:p>
    <w:p>
      <w:pPr>
        <w:spacing w:after="0" w:line="165" w:lineRule="exact"/>
        <w:rPr>
          <w:rFonts w:ascii="Times New Roman" w:cs="Times New Roman" w:eastAsia="Times New Roman" w:hAnsi="Times New Roman"/>
          <w:sz w:val="20"/>
          <w:szCs w:val="20"/>
          <w:color w:val="auto"/>
        </w:rPr>
      </w:pPr>
    </w:p>
    <w:p>
      <w:pPr>
        <w:ind w:left="1800" w:hanging="592"/>
        <w:spacing w:after="0"/>
        <w:tabs>
          <w:tab w:leader="none" w:pos="18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under the Cash Management Agreements or under cash management agreements with any other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w:t>
      </w:r>
    </w:p>
    <w:p>
      <w:pPr>
        <w:spacing w:after="0" w:line="15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shall mean:</w:t>
      </w:r>
    </w:p>
    <w:p>
      <w:pPr>
        <w:spacing w:after="0" w:line="166" w:lineRule="exact"/>
        <w:rPr>
          <w:sz w:val="20"/>
          <w:szCs w:val="20"/>
          <w:color w:val="auto"/>
        </w:rPr>
      </w:pPr>
    </w:p>
    <w:p>
      <w:pPr>
        <w:ind w:left="1800" w:hanging="592"/>
        <w:spacing w:after="0"/>
        <w:tabs>
          <w:tab w:leader="none" w:pos="18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similar charges, incurred in the ordinary course of business and which are not yet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and payable;</w:t>
      </w:r>
    </w:p>
    <w:p>
      <w:pPr>
        <w:spacing w:after="0" w:line="150"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made in the ordinary course of business to secure payment of workmen's compensation, or to participate in any fund in connection with workmen's compensation, unemployment insurance, old-age pensions or other social security programs;</w:t>
      </w:r>
    </w:p>
    <w:p>
      <w:pPr>
        <w:spacing w:after="0" w:line="143"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mechanics, materialmen, warehousemen, carriers, or other like Liens, securing obligations incurred in the ordinary course of business that are not yet due and payable and Liens of landlords securing obligations to pay lease payments that are not yet due and payable or in default;</w:t>
      </w:r>
    </w:p>
    <w:p>
      <w:pPr>
        <w:spacing w:after="0" w:line="143"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Good-faith pledges or deposits made in the ordinary course of business to secure performance of bids, tenders, contracts (other than for the repayment of borrowed money) or leases, not in excess of the aggregate amount due thereunder, or to secure statutory obligations, or surety, appeal, indemnity, performance or other similar bonds required in the ordinary course of business;</w:t>
      </w:r>
    </w:p>
    <w:p>
      <w:pPr>
        <w:spacing w:after="0" w:line="143"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spacing w:after="0" w:line="143" w:lineRule="exact"/>
        <w:rPr>
          <w:rFonts w:ascii="Times New Roman" w:cs="Times New Roman" w:eastAsia="Times New Roman" w:hAnsi="Times New Roman"/>
          <w:sz w:val="20"/>
          <w:szCs w:val="20"/>
          <w:color w:val="auto"/>
        </w:rPr>
      </w:pPr>
    </w:p>
    <w:p>
      <w:pPr>
        <w:jc w:val="both"/>
        <w:ind w:firstLine="1208"/>
        <w:spacing w:after="0" w:line="230" w:lineRule="auto"/>
        <w:tabs>
          <w:tab w:leader="none" w:pos="18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security interests and mortgages in favor of the Administrative Agent for the benefit of the Lenders and their Affiliates securing the Obligations (including Lender Provided Interest Rate Hedges, Lender Provided Foreign Currency Hedges, and Other Lender Provided Financial Services Products);</w:t>
      </w:r>
    </w:p>
    <w:p>
      <w:pPr>
        <w:spacing w:after="0" w:line="143" w:lineRule="exact"/>
        <w:rPr>
          <w:rFonts w:ascii="Times New Roman" w:cs="Times New Roman" w:eastAsia="Times New Roman" w:hAnsi="Times New Roman"/>
          <w:sz w:val="20"/>
          <w:szCs w:val="20"/>
          <w:color w:val="auto"/>
        </w:rPr>
      </w:pPr>
    </w:p>
    <w:p>
      <w:pPr>
        <w:ind w:right="560" w:firstLine="1208"/>
        <w:spacing w:after="0" w:line="242" w:lineRule="auto"/>
        <w:tabs>
          <w:tab w:leader="none" w:pos="18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the date of this Agreement and described on </w:t>
      </w:r>
      <w:r>
        <w:rPr>
          <w:rFonts w:ascii="Times New Roman" w:cs="Times New Roman" w:eastAsia="Times New Roman" w:hAnsi="Times New Roman"/>
          <w:sz w:val="20"/>
          <w:szCs w:val="20"/>
          <w:u w:val="single" w:color="auto"/>
          <w:color w:val="auto"/>
        </w:rPr>
        <w:t>Schedule 1.1(P)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principal amount secured thereby is not hereafter increased, and no additional assets become subject to such Lien;</w:t>
      </w:r>
    </w:p>
    <w:p>
      <w:pPr>
        <w:spacing w:after="0" w:line="140" w:lineRule="exact"/>
        <w:rPr>
          <w:rFonts w:ascii="Times New Roman" w:cs="Times New Roman" w:eastAsia="Times New Roman" w:hAnsi="Times New Roman"/>
          <w:sz w:val="20"/>
          <w:szCs w:val="20"/>
          <w:color w:val="auto"/>
        </w:rPr>
      </w:pPr>
    </w:p>
    <w:p>
      <w:pPr>
        <w:ind w:right="20" w:firstLine="1208"/>
        <w:spacing w:after="0" w:line="230" w:lineRule="auto"/>
        <w:tabs>
          <w:tab w:leader="none" w:pos="18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Money Security Interests and capitalized leases;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amount of loans and deferred payments secured by such Purchase Money Security Interests and capitalized leases shall not exceed $20,000,000 in the aggregate at any time outstanding (excluding for the purpose of this computation any loans or deferred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71" w:lineRule="exact"/>
        <w:rPr>
          <w:sz w:val="20"/>
          <w:szCs w:val="20"/>
          <w:color w:val="auto"/>
        </w:rPr>
      </w:pPr>
    </w:p>
    <w:p>
      <w:pPr>
        <w:ind w:right="540"/>
        <w:spacing w:after="0" w:line="242" w:lineRule="auto"/>
        <w:rPr>
          <w:sz w:val="20"/>
          <w:szCs w:val="20"/>
          <w:color w:val="auto"/>
        </w:rPr>
      </w:pPr>
      <w:r>
        <w:rPr>
          <w:rFonts w:ascii="Times New Roman" w:cs="Times New Roman" w:eastAsia="Times New Roman" w:hAnsi="Times New Roman"/>
          <w:sz w:val="20"/>
          <w:szCs w:val="20"/>
          <w:color w:val="auto"/>
        </w:rPr>
        <w:t xml:space="preserve">secured by Liens described on </w:t>
      </w:r>
      <w:r>
        <w:rPr>
          <w:rFonts w:ascii="Times New Roman" w:cs="Times New Roman" w:eastAsia="Times New Roman" w:hAnsi="Times New Roman"/>
          <w:sz w:val="20"/>
          <w:szCs w:val="20"/>
          <w:u w:val="single" w:color="auto"/>
          <w:color w:val="auto"/>
        </w:rPr>
        <w:t>Schedule 1.1(P)</w:t>
      </w:r>
      <w:r>
        <w:rPr>
          <w:rFonts w:ascii="Times New Roman" w:cs="Times New Roman" w:eastAsia="Times New Roman" w:hAnsi="Times New Roman"/>
          <w:sz w:val="20"/>
          <w:szCs w:val="20"/>
          <w:color w:val="auto"/>
        </w:rPr>
        <w:t>), and (ii) such Liens shall be limited to the assets acquired with such purchase money financing or leased pursuant to such capital lease;</w:t>
      </w:r>
    </w:p>
    <w:p>
      <w:pPr>
        <w:spacing w:after="0" w:line="140" w:lineRule="exact"/>
        <w:rPr>
          <w:sz w:val="20"/>
          <w:szCs w:val="20"/>
          <w:color w:val="auto"/>
        </w:rPr>
      </w:pPr>
    </w:p>
    <w:p>
      <w:pPr>
        <w:ind w:right="240" w:firstLine="1208"/>
        <w:spacing w:after="0" w:line="230" w:lineRule="auto"/>
        <w:tabs>
          <w:tab w:leader="none" w:pos="18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deposit banks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the financial institution's general terms and conditions;</w:t>
      </w:r>
    </w:p>
    <w:p>
      <w:pPr>
        <w:spacing w:after="0" w:line="143" w:lineRule="exact"/>
        <w:rPr>
          <w:rFonts w:ascii="Times New Roman" w:cs="Times New Roman" w:eastAsia="Times New Roman" w:hAnsi="Times New Roman"/>
          <w:sz w:val="20"/>
          <w:szCs w:val="20"/>
          <w:color w:val="auto"/>
        </w:rPr>
      </w:pPr>
    </w:p>
    <w:p>
      <w:pPr>
        <w:ind w:right="140" w:firstLine="1208"/>
        <w:spacing w:after="0" w:line="242" w:lineRule="auto"/>
        <w:tabs>
          <w:tab w:leader="none" w:pos="18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an aggregate amount outstanding at any time not to exceed the greater of $30,000,000 or two percent (2%) of Consolidated Total Assets;</w:t>
      </w:r>
    </w:p>
    <w:p>
      <w:pPr>
        <w:spacing w:after="0" w:line="140" w:lineRule="exact"/>
        <w:rPr>
          <w:rFonts w:ascii="Times New Roman" w:cs="Times New Roman" w:eastAsia="Times New Roman" w:hAnsi="Times New Roman"/>
          <w:sz w:val="20"/>
          <w:szCs w:val="20"/>
          <w:color w:val="auto"/>
        </w:rPr>
      </w:pPr>
    </w:p>
    <w:p>
      <w:pPr>
        <w:ind w:right="20" w:firstLine="1208"/>
        <w:spacing w:after="0" w:line="220" w:lineRule="auto"/>
        <w:tabs>
          <w:tab w:leader="none" w:pos="18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asset at the time the Borrower or any of its Subsidiaries acquired such asset and Liens on the assets of a Person existing at the time such Person was acquired by the Borrower or any of its Subsidiaries, including any acquisition by means of a merger, amalgamation or consolidation with or into the Borrower or any of its Subsidiaries; subject to the condition that (a) any such Lien may not extend to any other asset of the Borrower or any of its Subsidiaries; and (b) any such Lien shall not have been created in contemplation of or in connection with the transaction or series of transactions pursuant to which such asset or Person was acquired by the Borrower or any of its Subsidiaries;</w:t>
      </w:r>
    </w:p>
    <w:p>
      <w:pPr>
        <w:spacing w:after="0" w:line="144" w:lineRule="exact"/>
        <w:rPr>
          <w:rFonts w:ascii="Times New Roman" w:cs="Times New Roman" w:eastAsia="Times New Roman" w:hAnsi="Times New Roman"/>
          <w:sz w:val="20"/>
          <w:szCs w:val="20"/>
          <w:color w:val="auto"/>
        </w:rPr>
      </w:pPr>
    </w:p>
    <w:p>
      <w:pPr>
        <w:ind w:left="1800" w:hanging="592"/>
        <w:spacing w:after="0"/>
        <w:tabs>
          <w:tab w:leader="none" w:pos="18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to equipment manufacturers in the ordinary course of business on equipment; and</w:t>
      </w:r>
    </w:p>
    <w:p>
      <w:pPr>
        <w:spacing w:after="0" w:line="172" w:lineRule="exact"/>
        <w:rPr>
          <w:rFonts w:ascii="Times New Roman" w:cs="Times New Roman" w:eastAsia="Times New Roman" w:hAnsi="Times New Roman"/>
          <w:sz w:val="20"/>
          <w:szCs w:val="20"/>
          <w:color w:val="auto"/>
        </w:rPr>
      </w:pPr>
    </w:p>
    <w:p>
      <w:pPr>
        <w:ind w:right="560" w:firstLine="1208"/>
        <w:spacing w:after="0" w:line="225" w:lineRule="auto"/>
        <w:tabs>
          <w:tab w:leader="none" w:pos="18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(A) if the validity or amount thereof is being contested in good faith by appropriate and lawful proceedings diligently conducted so long as levy and execution thereon have been stayed and continue to be stayed or (B) if a final judgment is entered and such judgment is discharged within thirty (30) days of entry, and in either case they do not, in the aggregate, materially impair the ability of any Loan Party to perform its Obligations hereunder or under the other Loan Documents:</w:t>
      </w:r>
    </w:p>
    <w:p>
      <w:pPr>
        <w:spacing w:after="0" w:line="144" w:lineRule="exact"/>
        <w:rPr>
          <w:rFonts w:ascii="Times New Roman" w:cs="Times New Roman" w:eastAsia="Times New Roman" w:hAnsi="Times New Roman"/>
          <w:sz w:val="20"/>
          <w:szCs w:val="20"/>
          <w:color w:val="auto"/>
        </w:rPr>
      </w:pPr>
    </w:p>
    <w:p>
      <w:pPr>
        <w:ind w:right="60" w:firstLine="1812"/>
        <w:spacing w:after="0" w:line="230" w:lineRule="auto"/>
        <w:tabs>
          <w:tab w:leader="none" w:pos="240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claims or Liens for taxes, assessments or charges due and payable and subject to interest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Loan Party maintains such reserves or other appropriate provisions as shall be required by GAAP and pays all such taxes, assessments or charges forthwith upon the commencement of proceedings to foreclose any such Lien;</w:t>
      </w:r>
    </w:p>
    <w:p>
      <w:pPr>
        <w:spacing w:after="0" w:line="143" w:lineRule="exact"/>
        <w:rPr>
          <w:rFonts w:ascii="Times New Roman" w:cs="Times New Roman" w:eastAsia="Times New Roman" w:hAnsi="Times New Roman"/>
          <w:sz w:val="20"/>
          <w:szCs w:val="20"/>
          <w:color w:val="auto"/>
        </w:rPr>
      </w:pPr>
    </w:p>
    <w:p>
      <w:pPr>
        <w:ind w:right="820" w:firstLine="1812"/>
        <w:spacing w:after="0" w:line="242" w:lineRule="auto"/>
        <w:tabs>
          <w:tab w:leader="none" w:pos="240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Liens or encumbrances upon, and defects of title to, real or personal property, including any attachment of personal or real property or other legal process prior to adjudication of a dispute on the merits;</w:t>
      </w:r>
    </w:p>
    <w:p>
      <w:pPr>
        <w:spacing w:after="0" w:line="133" w:lineRule="exact"/>
        <w:rPr>
          <w:rFonts w:ascii="Times New Roman" w:cs="Times New Roman" w:eastAsia="Times New Roman" w:hAnsi="Times New Roman"/>
          <w:sz w:val="20"/>
          <w:szCs w:val="20"/>
          <w:color w:val="auto"/>
        </w:rPr>
      </w:pPr>
    </w:p>
    <w:p>
      <w:pPr>
        <w:ind w:left="2400" w:hanging="588"/>
        <w:spacing w:after="0"/>
        <w:tabs>
          <w:tab w:leader="none" w:pos="24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or Liens of mechanics, materialmen, warehousemen, carriers, or other statutory nonconsensual Liens;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w:t>
      </w:r>
    </w:p>
    <w:p>
      <w:pPr>
        <w:spacing w:after="0" w:line="150" w:lineRule="exact"/>
        <w:rPr>
          <w:rFonts w:ascii="Times New Roman" w:cs="Times New Roman" w:eastAsia="Times New Roman" w:hAnsi="Times New Roman"/>
          <w:sz w:val="20"/>
          <w:szCs w:val="20"/>
          <w:color w:val="auto"/>
        </w:rPr>
      </w:pPr>
    </w:p>
    <w:p>
      <w:pPr>
        <w:ind w:left="2400" w:hanging="588"/>
        <w:spacing w:after="0"/>
        <w:tabs>
          <w:tab w:leader="none" w:pos="24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resulting from final judgments or orders described in Section 9.1.7 [Final Judgments or Orders].</w:t>
      </w:r>
    </w:p>
    <w:p>
      <w:pPr>
        <w:spacing w:after="0" w:line="173" w:lineRule="exact"/>
        <w:rPr>
          <w:sz w:val="20"/>
          <w:szCs w:val="20"/>
          <w:color w:val="auto"/>
        </w:rPr>
      </w:pPr>
    </w:p>
    <w:p>
      <w:pPr>
        <w:jc w:val="both"/>
        <w:ind w:left="1200"/>
        <w:spacing w:after="0" w:line="222" w:lineRule="auto"/>
        <w:rPr>
          <w:sz w:val="20"/>
          <w:szCs w:val="20"/>
          <w:color w:val="auto"/>
        </w:rPr>
      </w:pP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xml:space="preserve"> shall mean, with respect to any Person, any modification, refinancing, refunding, renewal or extension of any Indebtedness of such Person; provided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w:t>
      </w: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xml:space="preserve"> amounts paid, and fees and expenses incurred,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71" w:lineRule="exact"/>
        <w:rPr>
          <w:sz w:val="20"/>
          <w:szCs w:val="20"/>
          <w:color w:val="auto"/>
        </w:rPr>
      </w:pPr>
    </w:p>
    <w:p>
      <w:pPr>
        <w:jc w:val="both"/>
        <w:ind w:left="1200"/>
        <w:spacing w:after="0" w:line="216" w:lineRule="auto"/>
        <w:rPr>
          <w:sz w:val="20"/>
          <w:szCs w:val="20"/>
          <w:color w:val="auto"/>
        </w:rPr>
      </w:pPr>
      <w:r>
        <w:rPr>
          <w:rFonts w:ascii="Times New Roman" w:cs="Times New Roman" w:eastAsia="Times New Roman" w:hAnsi="Times New Roman"/>
          <w:sz w:val="20"/>
          <w:szCs w:val="20"/>
          <w:color w:val="auto"/>
        </w:rPr>
        <w:t>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if such Indebtedness being modified, refinanced, refunded, renewed or extended is subordinated in right of payment to the Obligations, such modification, refinancing, refunding, renewal or extension is subordinated in right of payment to the Obligations on terms acceptable to the Administrative Agent, but in no event less favorable to the Lenders than those contained in the documentation governing the Indebtedness being modified, refinanced, refunded, renewed or extended, and (d) such modification, refinancing, refunding, renewal or extension is incurred solely by the Person who is the obligor of the Indebtedness being modified, refinanced, refunded, renewed or extended.</w:t>
      </w:r>
    </w:p>
    <w:p>
      <w:pPr>
        <w:spacing w:after="0" w:line="144"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xml:space="preserve"> shall mean any individual, corporation, partnership, limited liability company, association, joint-stock company, trust, unincorporated organization, joint venture, government or political subdivision or agency thereof, or any other entity.</w:t>
      </w:r>
    </w:p>
    <w:p>
      <w:pPr>
        <w:spacing w:after="0" w:line="140" w:lineRule="exact"/>
        <w:rPr>
          <w:sz w:val="20"/>
          <w:szCs w:val="20"/>
          <w:color w:val="auto"/>
        </w:rPr>
      </w:pPr>
    </w:p>
    <w:p>
      <w:pPr>
        <w:jc w:val="both"/>
        <w:ind w:firstLine="1208"/>
        <w:spacing w:after="0" w:line="230" w:lineRule="auto"/>
        <w:rPr>
          <w:sz w:val="20"/>
          <w:szCs w:val="20"/>
          <w:color w:val="auto"/>
        </w:rPr>
      </w:pPr>
      <w:r>
        <w:rPr>
          <w:rFonts w:ascii="Times New Roman" w:cs="Times New Roman" w:eastAsia="Times New Roman" w:hAnsi="Times New Roman"/>
          <w:sz w:val="20"/>
          <w:szCs w:val="20"/>
          <w:u w:val="single" w:color="auto"/>
          <w:color w:val="0000FF"/>
        </w:rPr>
        <w:t>Plan shall mean any employee benefit plan within the meaning of Section 3(3) of ERISA (including a Pension Plan), maintained for employees of the Borrower or any member of the ERISA Group or any such Plan to which the Borrower or any member of the ERISA Group is required to contribute on behalf of any of its employees.</w:t>
      </w:r>
    </w:p>
    <w:p>
      <w:pPr>
        <w:spacing w:after="0" w:line="14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PNC</w:t>
      </w:r>
      <w:r>
        <w:rPr>
          <w:rFonts w:ascii="Times New Roman" w:cs="Times New Roman" w:eastAsia="Times New Roman" w:hAnsi="Times New Roman"/>
          <w:sz w:val="20"/>
          <w:szCs w:val="20"/>
          <w:color w:val="auto"/>
        </w:rPr>
        <w:t xml:space="preserve"> shall mean PNC Bank, National Association, its successors and assigns.</w:t>
      </w:r>
    </w:p>
    <w:p>
      <w:pPr>
        <w:spacing w:after="0" w:line="173"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u w:val="single" w:color="auto"/>
          <w:color w:val="auto"/>
        </w:rPr>
        <w:t>Potential Default</w:t>
      </w:r>
      <w:r>
        <w:rPr>
          <w:rFonts w:ascii="Times New Roman" w:cs="Times New Roman" w:eastAsia="Times New Roman" w:hAnsi="Times New Roman"/>
          <w:sz w:val="20"/>
          <w:szCs w:val="20"/>
          <w:color w:val="auto"/>
        </w:rPr>
        <w:t xml:space="preserve"> shall mean any event or condition which with notice or passage of time, or both, would constitute an Event of Default.</w:t>
      </w:r>
    </w:p>
    <w:p>
      <w:pPr>
        <w:spacing w:after="0" w:line="140"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shall mean the interest rate per annum announced from time to time by the Administrative Agent at its Principal Office as its then prime rate, which rate may not be the lowest or most favorable rate then being charged commercial borrowers or others by the Administrative Agent. Any change in the Prime Rate shall take effect at the opening of business on the day such change is announced.</w:t>
      </w:r>
    </w:p>
    <w:p>
      <w:pPr>
        <w:spacing w:after="0" w:line="14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Principal Office</w:t>
      </w:r>
      <w:r>
        <w:rPr>
          <w:rFonts w:ascii="Times New Roman" w:cs="Times New Roman" w:eastAsia="Times New Roman" w:hAnsi="Times New Roman"/>
          <w:sz w:val="20"/>
          <w:szCs w:val="20"/>
          <w:color w:val="auto"/>
        </w:rPr>
        <w:t xml:space="preserve"> shall mean the main banking office of the Administrative Agent in Pittsburgh, Pennsylvania.</w:t>
      </w:r>
    </w:p>
    <w:p>
      <w:pPr>
        <w:spacing w:after="0" w:line="169" w:lineRule="exact"/>
        <w:rPr>
          <w:sz w:val="20"/>
          <w:szCs w:val="20"/>
          <w:color w:val="auto"/>
        </w:rPr>
      </w:pPr>
    </w:p>
    <w:p>
      <w:pPr>
        <w:jc w:val="both"/>
        <w:ind w:left="1200"/>
        <w:spacing w:after="0" w:line="226" w:lineRule="auto"/>
        <w:rPr>
          <w:sz w:val="20"/>
          <w:szCs w:val="20"/>
          <w:color w:val="auto"/>
        </w:rPr>
      </w:pPr>
      <w:r>
        <w:rPr>
          <w:rFonts w:ascii="Times New Roman" w:cs="Times New Roman" w:eastAsia="Times New Roman" w:hAnsi="Times New Roman"/>
          <w:sz w:val="20"/>
          <w:szCs w:val="20"/>
          <w:u w:val="single" w:color="auto"/>
          <w:color w:val="FF0000"/>
          <w:strike w:val="1"/>
        </w:rPr>
        <w:t xml:space="preserve">Published Rate </w:t>
      </w:r>
      <w:r>
        <w:rPr>
          <w:rFonts w:ascii="Times New Roman" w:cs="Times New Roman" w:eastAsia="Times New Roman" w:hAnsi="Times New Roman"/>
          <w:sz w:val="20"/>
          <w:szCs w:val="20"/>
          <w:color w:val="FF0000"/>
          <w:strike w:val="1"/>
        </w:rPr>
        <w:t>shall mean the rate of interest published each Business Day in</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i w:val="1"/>
          <w:iCs w:val="1"/>
          <w:color w:val="FF0000"/>
          <w:strike w:val="1"/>
        </w:rPr>
        <w:t>The Wall Street Journal</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Money Rates</w:t>
      </w:r>
      <w:r>
        <w:rPr>
          <w:rFonts w:ascii="Times New Roman" w:cs="Times New Roman" w:eastAsia="Times New Roman" w:hAnsi="Times New Roman"/>
          <w:sz w:val="20"/>
          <w:szCs w:val="20"/>
          <w:color w:val="FF0000"/>
          <w:strike w:val="1"/>
        </w:rPr>
        <w:t>" listing</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under the caption "London Interbank Offered Rates" for a one month period (or, if no such rate is published therein for any reason, then the Published Rate shall be the rate at which U.S. dollar deposits are offered by leading banks in the London interbank deposit market for a one month period as published in another publication selected by the Administrative Agent).</w:t>
      </w:r>
    </w:p>
    <w:p>
      <w:pPr>
        <w:spacing w:after="0" w:line="144"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u w:val="single" w:color="auto"/>
          <w:color w:val="auto"/>
        </w:rPr>
        <w:t>Purchase Money Security Interest</w:t>
      </w:r>
      <w:r>
        <w:rPr>
          <w:rFonts w:ascii="Times New Roman" w:cs="Times New Roman" w:eastAsia="Times New Roman" w:hAnsi="Times New Roman"/>
          <w:sz w:val="20"/>
          <w:szCs w:val="20"/>
          <w:color w:val="auto"/>
        </w:rPr>
        <w:t xml:space="preserve"> shall mean Liens upon tangible personal property securing loans to any Loan Party or Subsidiary of a Loan Party or deferred payments by such Loan Party or Subsidiary for the purchase of such tangible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71"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auto"/>
        </w:rPr>
        <w:t>Qualified ECP Loan Party</w:t>
      </w:r>
      <w:r>
        <w:rPr>
          <w:rFonts w:ascii="Times New Roman" w:cs="Times New Roman" w:eastAsia="Times New Roman" w:hAnsi="Times New Roman"/>
          <w:sz w:val="20"/>
          <w:szCs w:val="20"/>
          <w:color w:val="auto"/>
        </w:rPr>
        <w:t xml:space="preserve"> shall mean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Ratable Share</w:t>
      </w:r>
      <w:r>
        <w:rPr>
          <w:rFonts w:ascii="Times New Roman" w:cs="Times New Roman" w:eastAsia="Times New Roman" w:hAnsi="Times New Roman"/>
          <w:sz w:val="20"/>
          <w:szCs w:val="20"/>
          <w:color w:val="auto"/>
        </w:rPr>
        <w:t xml:space="preserve"> shall mean:</w:t>
      </w:r>
    </w:p>
    <w:p>
      <w:pPr>
        <w:spacing w:after="0" w:line="173" w:lineRule="exact"/>
        <w:rPr>
          <w:sz w:val="20"/>
          <w:szCs w:val="20"/>
          <w:color w:val="auto"/>
        </w:rPr>
      </w:pPr>
    </w:p>
    <w:p>
      <w:pPr>
        <w:jc w:val="both"/>
        <w:ind w:left="-200" w:firstLine="1208"/>
        <w:spacing w:after="0" w:line="222" w:lineRule="auto"/>
        <w:tabs>
          <w:tab w:leader="none" w:pos="16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Lender's obligation to make Revolving Credit Loans, participate in Letters of Credit and other Letter of Credit Obligations and Swing Loans, and receive payments, interest, and fees related thereto, the proportion that such Lender's Revolving Credit Commitment bears to the Revolving Credit Commitments of all of the Lenders, provided however that if the Revolving Credit Commitments have terminated or expired, the Ratable Shares for purposes of this clause shall be determined based upon the Revolving Credit Commitments most recently in effect, giving effect to any assignments.</w:t>
      </w:r>
    </w:p>
    <w:p>
      <w:pPr>
        <w:spacing w:after="0" w:line="144" w:lineRule="exact"/>
        <w:rPr>
          <w:rFonts w:ascii="Times New Roman" w:cs="Times New Roman" w:eastAsia="Times New Roman" w:hAnsi="Times New Roman"/>
          <w:sz w:val="20"/>
          <w:szCs w:val="20"/>
          <w:color w:val="auto"/>
        </w:rPr>
      </w:pPr>
    </w:p>
    <w:p>
      <w:pPr>
        <w:jc w:val="both"/>
        <w:ind w:left="-200" w:firstLine="1208"/>
        <w:spacing w:after="0" w:line="219" w:lineRule="auto"/>
        <w:tabs>
          <w:tab w:leader="none" w:pos="16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all other matters as to a particular Lender, the percentage obtained by dividing (i) such Lender's Revolving Credit Commitment, by (ii) the sum of the aggregate amount of the Revolving Credit Commitments of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the Revolving Credit Commitments have terminated or expired, the computation in this clause shall be determined based upon the Revolving Credit Commitments most recently in effect, giving effect to any assignments, and not on the current amount of the Revolving Credit Commitments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in the case of Section 2.11 [Defaulting Lenders] when a Defaulting Lender shall exist, "Ratable Share" shall mean the percentage of the aggregate Commitments (disregarding any Defaulting Lender's Commitment) represented by such Lender's Commitment.</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xml:space="preserve"> shall mean (i) the Administrative Agent, (ii) any Lender and (iii) the Issuing Lender, as applicable.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xml:space="preserve"> shall have the meaning specified in Section 2.9.3 [Disbursements, Reimbursement].</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xml:space="preserve"> shall mean, with respect to any Person, such Person's Affiliates and the partners, directors, officers, employees, agents and advisors of such Person and of such Person's Affiliates.</w:t>
      </w:r>
    </w:p>
    <w:p>
      <w:pPr>
        <w:spacing w:after="0" w:line="140"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0000FF"/>
        </w:rPr>
        <w:t>Relevant Governmental Body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44"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auto"/>
        </w:rPr>
        <w:t>Relief Proceeding</w:t>
      </w:r>
      <w:r>
        <w:rPr>
          <w:rFonts w:ascii="Times New Roman" w:cs="Times New Roman" w:eastAsia="Times New Roman" w:hAnsi="Times New Roman"/>
          <w:sz w:val="20"/>
          <w:szCs w:val="20"/>
          <w:color w:val="auto"/>
        </w:rPr>
        <w:t xml:space="preserve"> shall mean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liquidator, assignee, custodian, trustee, sequestrator, conservator (or similar official) of any Loan Party or Subsidiary of a Loan Party for any substantial part of its property, or for the winding-up or liquidation of its affairs, or an assignment for the benefit of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040"/>
          </w:cols>
          <w:pgMar w:left="520" w:top="1440" w:right="339" w:bottom="1440" w:gutter="0" w:footer="0" w:header="0"/>
        </w:sectPr>
      </w:pPr>
    </w:p>
    <w:bookmarkStart w:id="121" w:name="page122"/>
    <w:bookmarkEnd w:id="121"/>
    <w:p>
      <w:pPr>
        <w:spacing w:after="0" w:line="71" w:lineRule="exact"/>
        <w:rPr>
          <w:sz w:val="20"/>
          <w:szCs w:val="20"/>
          <w:color w:val="auto"/>
        </w:rPr>
      </w:pPr>
    </w:p>
    <w:p>
      <w:pPr>
        <w:jc w:val="both"/>
        <w:ind w:left="1000"/>
        <w:spacing w:after="0" w:line="215" w:lineRule="auto"/>
        <w:rPr>
          <w:sz w:val="20"/>
          <w:szCs w:val="20"/>
          <w:color w:val="auto"/>
        </w:rPr>
      </w:pPr>
      <w:r>
        <w:rPr>
          <w:rFonts w:ascii="Times New Roman" w:cs="Times New Roman" w:eastAsia="Times New Roman" w:hAnsi="Times New Roman"/>
          <w:sz w:val="20"/>
          <w:szCs w:val="20"/>
          <w:u w:val="single" w:color="auto"/>
          <w:color w:val="auto"/>
        </w:rPr>
        <w:t>Reportable Compliance Event</w:t>
      </w:r>
      <w:r>
        <w:rPr>
          <w:rFonts w:ascii="Times New Roman" w:cs="Times New Roman" w:eastAsia="Times New Roman" w:hAnsi="Times New Roman"/>
          <w:sz w:val="20"/>
          <w:szCs w:val="20"/>
          <w:color w:val="auto"/>
        </w:rPr>
        <w:t xml:space="preserve"> shall mean that</w:t>
      </w:r>
      <w:r>
        <w:rPr>
          <w:rFonts w:ascii="Times New Roman" w:cs="Times New Roman" w:eastAsia="Times New Roman" w:hAnsi="Times New Roman"/>
          <w:sz w:val="20"/>
          <w:szCs w:val="20"/>
          <w:u w:val="single" w:color="auto"/>
          <w:color w:val="0000FF"/>
        </w:rPr>
        <w:t>: (a)</w:t>
      </w:r>
      <w:r>
        <w:rPr>
          <w:rFonts w:ascii="Times New Roman" w:cs="Times New Roman" w:eastAsia="Times New Roman" w:hAnsi="Times New Roman"/>
          <w:sz w:val="20"/>
          <w:szCs w:val="20"/>
          <w:color w:val="auto"/>
        </w:rPr>
        <w:t xml:space="preserve"> any Covered Entity becomes a Sanctioned Person, or is charged by indictment, criminal complaint or similar charging instrument, arraigned,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auto"/>
        </w:rPr>
        <w:t xml:space="preserve"> custodially detained</w:t>
      </w:r>
      <w:r>
        <w:rPr>
          <w:rFonts w:ascii="Times New Roman" w:cs="Times New Roman" w:eastAsia="Times New Roman" w:hAnsi="Times New Roman"/>
          <w:sz w:val="20"/>
          <w:szCs w:val="20"/>
          <w:u w:val="single" w:color="auto"/>
          <w:color w:val="0000FF"/>
        </w:rPr>
        <w:t>, penalized or the subject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 assessment for a penalty, or enters into a settlement with an Official Body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 connection with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economic sanctions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other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Anti-Terrorism Law</w:t>
      </w:r>
      <w:r>
        <w:rPr>
          <w:rFonts w:ascii="Times New Roman" w:cs="Times New Roman" w:eastAsia="Times New Roman" w:hAnsi="Times New Roman"/>
          <w:sz w:val="20"/>
          <w:szCs w:val="20"/>
          <w:color w:val="0000FF"/>
        </w:rPr>
        <w:t xml:space="preserve"> or Anti-Corruption law, </w:t>
      </w:r>
      <w:r>
        <w:rPr>
          <w:rFonts w:ascii="Times New Roman" w:cs="Times New Roman" w:eastAsia="Times New Roman" w:hAnsi="Times New Roman"/>
          <w:sz w:val="20"/>
          <w:szCs w:val="20"/>
          <w:color w:val="000000"/>
        </w:rPr>
        <w:t>or any predicate crime to any Anti-Terrorism Law</w:t>
      </w:r>
      <w:r>
        <w:rPr>
          <w:rFonts w:ascii="Times New Roman" w:cs="Times New Roman" w:eastAsia="Times New Roman" w:hAnsi="Times New Roman"/>
          <w:sz w:val="20"/>
          <w:szCs w:val="20"/>
          <w:color w:val="0000FF"/>
        </w:rPr>
        <w:t xml:space="preserve"> or Anti-Corruption </w:t>
      </w:r>
      <w:r>
        <w:rPr>
          <w:rFonts w:ascii="Times New Roman" w:cs="Times New Roman" w:eastAsia="Times New Roman" w:hAnsi="Times New Roman"/>
          <w:sz w:val="20"/>
          <w:szCs w:val="20"/>
          <w:u w:val="single" w:color="auto"/>
          <w:color w:val="0000FF"/>
        </w:rPr>
        <w:t>law</w:t>
      </w:r>
      <w:r>
        <w:rPr>
          <w:rFonts w:ascii="Times New Roman" w:cs="Times New Roman" w:eastAsia="Times New Roman" w:hAnsi="Times New Roman"/>
          <w:sz w:val="20"/>
          <w:szCs w:val="20"/>
          <w:color w:val="000000"/>
        </w:rPr>
        <w:t>, or has knowledge of facts or circumstances to the effect that it is reasonably likely that any aspect of its operations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is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actual or probable</w:t>
      </w:r>
      <w:r>
        <w:rPr>
          <w:rFonts w:ascii="Times New Roman" w:cs="Times New Roman" w:eastAsia="Times New Roman" w:hAnsi="Times New Roman"/>
          <w:sz w:val="20"/>
          <w:szCs w:val="20"/>
          <w:u w:val="single" w:color="auto"/>
          <w:color w:val="0000FF"/>
          <w:strike w:val="1"/>
        </w:rPr>
        <w:t>represents a violation of any Anti-Terrorism Law or Anti-Corruption Law; (b) any Covered Entity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engages in a transaction that has caused or may cause the Lenders or Administrative Agent to be in</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violation of any Anti-Terrorism Law</w:t>
      </w:r>
      <w:r>
        <w:rPr>
          <w:rFonts w:ascii="Times New Roman" w:cs="Times New Roman" w:eastAsia="Times New Roman" w:hAnsi="Times New Roman"/>
          <w:sz w:val="20"/>
          <w:szCs w:val="20"/>
          <w:u w:val="single" w:color="auto"/>
          <w:color w:val="0000FF"/>
          <w:strike w:val="1"/>
        </w:rPr>
        <w:t>, including a Covered Entity’s use of any proceeds of the Loans to fund any operations in, finance any</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investments or activities in, or, make any payments to, directly or indirectly, a Sanctioned Person or Sanctioned Jurisdiction; or (c) any Covered Entity otherwise violates, or reasonably believes that it will violate, any of the representations or covenant (including any negative covenant) of this Agreement</w:t>
      </w:r>
      <w:r>
        <w:rPr>
          <w:rFonts w:ascii="Times New Roman" w:cs="Times New Roman" w:eastAsia="Times New Roman" w:hAnsi="Times New Roman"/>
          <w:sz w:val="20"/>
          <w:szCs w:val="20"/>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-918845</wp:posOffset>
            </wp:positionV>
            <wp:extent cx="1281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128143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-918845</wp:posOffset>
            </wp:positionV>
            <wp:extent cx="10331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129"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shall mean Lenders (other than any Defaulting Lender) having more than 50% of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Required Share</w:t>
      </w:r>
      <w:r>
        <w:rPr>
          <w:rFonts w:ascii="Times New Roman" w:cs="Times New Roman" w:eastAsia="Times New Roman" w:hAnsi="Times New Roman"/>
          <w:sz w:val="20"/>
          <w:szCs w:val="20"/>
          <w:color w:val="auto"/>
        </w:rPr>
        <w:t xml:space="preserve"> shall have the meaning assigned to such term in Section 5.11 [Settlement Date Procedures].</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Resolution Authority shall mean an EEA Resolution Authority or, with respect to any UK Financial Institution, a UK Resolution Authority.</w:t>
      </w:r>
    </w:p>
    <w:p>
      <w:pPr>
        <w:spacing w:after="0" w:line="140"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shall mean any Authorized Officer or any other senior officer of a Loan Party, including the chief executive officer, president, senior financial officer, vice president, treasurer, assistant treasurer, comptroller or general counsel of any Loan Party.</w:t>
      </w:r>
    </w:p>
    <w:p>
      <w:pPr>
        <w:spacing w:after="0" w:line="144"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xml:space="preserve"> shall mean, as to any Lender at any time, the amount initially set forth opposite its name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in the column labeled "Amount of Commitment for Revolving Credit Loans," as such Commitment is thereafter assigned or modified and </w:t>
      </w:r>
      <w:r>
        <w:rPr>
          <w:rFonts w:ascii="Times New Roman" w:cs="Times New Roman" w:eastAsia="Times New Roman" w:hAnsi="Times New Roman"/>
          <w:sz w:val="20"/>
          <w:szCs w:val="20"/>
          <w:u w:val="single" w:color="auto"/>
          <w:color w:val="auto"/>
        </w:rPr>
        <w:t>Revolving Credit Commitments</w:t>
      </w:r>
      <w:r>
        <w:rPr>
          <w:rFonts w:ascii="Times New Roman" w:cs="Times New Roman" w:eastAsia="Times New Roman" w:hAnsi="Times New Roman"/>
          <w:sz w:val="20"/>
          <w:szCs w:val="20"/>
          <w:color w:val="auto"/>
        </w:rPr>
        <w:t xml:space="preserve"> shall mean the aggregate Revolving Credit Commitments of all of the Lenders.</w:t>
      </w:r>
    </w:p>
    <w:p>
      <w:pPr>
        <w:spacing w:after="0" w:line="144"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xml:space="preserve"> shall mean collectively and </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shall mean separately all Revolving Credit Loans or any Revolving Credit Loan made by the Lenders or one of the Lenders to the Borrower pursuant to Section 2.1 [Revolving Credit Commitments] or Section 2.9.3 [Disbursements, Reimbursement].</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Revolving Facility Usage</w:t>
      </w:r>
      <w:r>
        <w:rPr>
          <w:rFonts w:ascii="Times New Roman" w:cs="Times New Roman" w:eastAsia="Times New Roman" w:hAnsi="Times New Roman"/>
          <w:sz w:val="20"/>
          <w:szCs w:val="20"/>
          <w:color w:val="auto"/>
        </w:rPr>
        <w:t xml:space="preserve"> shall mean at any time the sum of the amount of the outstanding Revolving Credit Loans, the outstanding Swing Loans, and the Letter of Credit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040"/>
          </w:cols>
          <w:pgMar w:left="520" w:top="1440" w:right="339" w:bottom="1440" w:gutter="0" w:footer="0" w:header="0"/>
        </w:sectPr>
      </w:pPr>
    </w:p>
    <w:bookmarkStart w:id="122" w:name="page123"/>
    <w:bookmarkEnd w:id="122"/>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Sanctioned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Country</w:t>
      </w:r>
      <w:r>
        <w:rPr>
          <w:rFonts w:ascii="Times New Roman" w:cs="Times New Roman" w:eastAsia="Times New Roman" w:hAnsi="Times New Roman"/>
          <w:sz w:val="20"/>
          <w:szCs w:val="20"/>
          <w:u w:val="single" w:color="auto"/>
          <w:color w:val="0000FF"/>
        </w:rPr>
        <w:t>Jurisdiction</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any</w:t>
      </w:r>
      <w:r>
        <w:rPr>
          <w:rFonts w:ascii="Times New Roman" w:cs="Times New Roman" w:eastAsia="Times New Roman" w:hAnsi="Times New Roman"/>
          <w:sz w:val="20"/>
          <w:szCs w:val="20"/>
          <w:color w:val="auto"/>
        </w:rPr>
        <w:t xml:space="preserve"> country</w:t>
      </w:r>
      <w:r>
        <w:rPr>
          <w:rFonts w:ascii="Times New Roman" w:cs="Times New Roman" w:eastAsia="Times New Roman" w:hAnsi="Times New Roman"/>
          <w:sz w:val="20"/>
          <w:szCs w:val="20"/>
          <w:u w:val="single" w:color="auto"/>
          <w:color w:val="0000FF"/>
        </w:rPr>
        <w:t>, territory, or region that is the</w:t>
      </w:r>
      <w:r>
        <w:rPr>
          <w:rFonts w:ascii="Times New Roman" w:cs="Times New Roman" w:eastAsia="Times New Roman" w:hAnsi="Times New Roman"/>
          <w:sz w:val="20"/>
          <w:szCs w:val="20"/>
          <w:color w:val="auto"/>
        </w:rPr>
        <w:t xml:space="preserve"> subject </w:t>
      </w:r>
      <w:r>
        <w:rPr>
          <w:rFonts w:ascii="Times New Roman" w:cs="Times New Roman" w:eastAsia="Times New Roman" w:hAnsi="Times New Roman"/>
          <w:sz w:val="20"/>
          <w:szCs w:val="20"/>
          <w:color w:val="FF0000"/>
          <w:strike w:val="1"/>
        </w:rPr>
        <w:t>to a</w:t>
      </w:r>
      <w:r>
        <w:rPr>
          <w:rFonts w:ascii="Times New Roman" w:cs="Times New Roman" w:eastAsia="Times New Roman" w:hAnsi="Times New Roman"/>
          <w:sz w:val="20"/>
          <w:szCs w:val="20"/>
          <w:u w:val="single" w:color="auto"/>
          <w:color w:val="0000FF"/>
        </w:rPr>
        <w:t>of</w:t>
      </w:r>
      <w:r>
        <w:rPr>
          <w:rFonts w:ascii="Times New Roman" w:cs="Times New Roman" w:eastAsia="Times New Roman" w:hAnsi="Times New Roman"/>
          <w:sz w:val="20"/>
          <w:szCs w:val="20"/>
          <w:color w:val="auto"/>
        </w:rPr>
        <w:t xml:space="preserve"> sanctions </w:t>
      </w:r>
      <w:r>
        <w:rPr>
          <w:rFonts w:ascii="Times New Roman" w:cs="Times New Roman" w:eastAsia="Times New Roman" w:hAnsi="Times New Roman"/>
          <w:sz w:val="20"/>
          <w:szCs w:val="20"/>
          <w:color w:val="FF0000"/>
          <w:strike w:val="1"/>
        </w:rPr>
        <w:t>program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maintained under any Anti-Terrorism Law</w:t>
      </w:r>
      <w:r>
        <w:rPr>
          <w:rFonts w:ascii="Times New Roman" w:cs="Times New Roman" w:eastAsia="Times New Roman" w:hAnsi="Times New Roman"/>
          <w:sz w:val="20"/>
          <w:szCs w:val="20"/>
          <w:u w:val="single" w:color="auto"/>
          <w:color w:val="0000FF"/>
        </w:rPr>
        <w:t>administered by OFAC</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368" w:lineRule="exact"/>
        <w:rPr>
          <w:sz w:val="20"/>
          <w:szCs w:val="20"/>
          <w:color w:val="auto"/>
        </w:rPr>
      </w:pPr>
    </w:p>
    <w:p>
      <w:pPr>
        <w:jc w:val="both"/>
        <w:ind w:left="1000"/>
        <w:spacing w:after="0" w:line="215" w:lineRule="auto"/>
        <w:rPr>
          <w:sz w:val="20"/>
          <w:szCs w:val="20"/>
          <w:color w:val="auto"/>
        </w:rPr>
      </w:pP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color w:val="FF0000"/>
          <w:strike w:val="1"/>
        </w:rPr>
        <w:t>any individual person, group, regime, entity or thing listed or otherwise recognized as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specially designated, prohibited, sanctioned or debarred person, group, regime, entity or thing, or subject to any limitations or prohibitions (including but not limited to the blocking of property or rejection of transactions), under any Anti-Terrorism Law</w:t>
      </w:r>
      <w:r>
        <w:rPr>
          <w:rFonts w:ascii="Times New Roman" w:cs="Times New Roman" w:eastAsia="Times New Roman" w:hAnsi="Times New Roman"/>
          <w:sz w:val="20"/>
          <w:szCs w:val="20"/>
          <w:u w:val="single" w:color="auto"/>
          <w:color w:val="0000FF"/>
          <w:strike w:val="1"/>
        </w:rPr>
        <w:t>(a) a Person that is the subject of sanctions administered by OFAC or the U.S. Department of State (“State”), including</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 Union (“E.U.”), including by virtue of being named on the E.U.’s “Consolidated list of persons, groups and entities subject to E.U. financial sanctions” or other, similar lists; (c) a Person that is the subject of sanctions maintained by the United Kingdom (“U.K.”), including by virtue of being named on the “Consolidated List Of Financial Sanctions Targets in the U.K.” or other, similar lists; or (d) a Person that is the subject of sanctions imposed by any Official Body of a jurisdiction whose Laws apply to this Agreement</w:t>
      </w:r>
      <w:r>
        <w:rPr>
          <w:rFonts w:ascii="Times New Roman" w:cs="Times New Roman" w:eastAsia="Times New Roman" w:hAnsi="Times New Roman"/>
          <w:sz w:val="20"/>
          <w:szCs w:val="20"/>
          <w:color w:val="000000"/>
          <w:strike w:val="1"/>
        </w:rPr>
        <w:t>.</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shall mean the Business Day on which the Administrative Agent elects to effect settlement pursuant Section 5.11 [Settlement Date Procedures].</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xml:space="preserve"> shall have the meaning assigned to that term in Section 6.1.2 [Capitalization and Ownership].</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SOFR shall mean, for any day, a rate equal to the secured overnight financing rate as administered by the Federal Reserve Bank of New York (or a successor administrator of the secured overnight financing rate).</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SOFR Adjustment shall mean10 basis points (0.10%).</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SOFR Floor shall mean a rate of interest per annum equal to zero basis points (0%).</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u w:val="single" w:color="auto"/>
          <w:color w:val="0000FF"/>
        </w:rPr>
        <w:t xml:space="preserve">SOFR Reserve Percentage shall mean, for any day, the maximum effective </w:t>
      </w:r>
      <w:r>
        <w:rPr>
          <w:rFonts w:ascii="Times New Roman" w:cs="Times New Roman" w:eastAsia="Times New Roman" w:hAnsi="Times New Roman"/>
          <w:sz w:val="20"/>
          <w:szCs w:val="20"/>
          <w:u w:val="single" w:color="auto"/>
          <w:color w:val="00C000"/>
        </w:rPr>
        <w:t>percentage in effect on such day</w:t>
      </w:r>
      <w:r>
        <w:rPr>
          <w:rFonts w:ascii="Times New Roman" w:cs="Times New Roman" w:eastAsia="Times New Roman" w:hAnsi="Times New Roman"/>
          <w:sz w:val="20"/>
          <w:szCs w:val="20"/>
          <w:u w:val="single" w:color="auto"/>
          <w:color w:val="0000FF"/>
        </w:rPr>
        <w:t>, if any</w:t>
      </w:r>
      <w:r>
        <w:rPr>
          <w:rFonts w:ascii="Times New Roman" w:cs="Times New Roman" w:eastAsia="Times New Roman" w:hAnsi="Times New Roman"/>
          <w:sz w:val="20"/>
          <w:szCs w:val="20"/>
          <w:u w:val="single" w:color="auto"/>
          <w:color w:val="00C000"/>
        </w:rPr>
        <w:t>, as</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C000"/>
        </w:rPr>
        <w:t>prescribed by the Board of Governors of the Federal Reserve System (or any successor) for determining the reserve requirements (including</w:t>
      </w:r>
      <w:r>
        <w:rPr>
          <w:rFonts w:ascii="Times New Roman" w:cs="Times New Roman" w:eastAsia="Times New Roman" w:hAnsi="Times New Roman"/>
          <w:sz w:val="20"/>
          <w:szCs w:val="20"/>
          <w:u w:val="single" w:color="auto"/>
          <w:color w:val="0000FF"/>
        </w:rPr>
        <w:t>, without limitation,</w:t>
      </w:r>
      <w:r>
        <w:rPr>
          <w:rFonts w:ascii="Times New Roman" w:cs="Times New Roman" w:eastAsia="Times New Roman" w:hAnsi="Times New Roman"/>
          <w:sz w:val="20"/>
          <w:szCs w:val="20"/>
          <w:u w:val="single" w:color="auto"/>
          <w:color w:val="00C000"/>
        </w:rPr>
        <w:t xml:space="preserve"> supplemental, marginal and emergency reserve requirements) with respect to </w:t>
      </w:r>
      <w:r>
        <w:rPr>
          <w:rFonts w:ascii="Times New Roman" w:cs="Times New Roman" w:eastAsia="Times New Roman" w:hAnsi="Times New Roman"/>
          <w:sz w:val="20"/>
          <w:szCs w:val="20"/>
          <w:u w:val="single" w:color="auto"/>
          <w:color w:val="0000FF"/>
        </w:rPr>
        <w:t>SOFR funding.</w:t>
      </w:r>
    </w:p>
    <w:p>
      <w:pPr>
        <w:spacing w:after="0" w:line="144"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xml:space="preserve"> shall mean, with respect to any Person on any date of determination, taking into account any right of reimbursement, contribution or similar right available to such Person from other Persons, that on such date (i) the fair value of the property of such Person is greater than the total amount of liabilities, including contingent liabilities, of such Person,</w:t>
      </w:r>
    </w:p>
    <w:p>
      <w:pPr>
        <w:spacing w:after="0" w:line="2" w:lineRule="exact"/>
        <w:rPr>
          <w:sz w:val="20"/>
          <w:szCs w:val="20"/>
          <w:color w:val="auto"/>
        </w:rPr>
      </w:pPr>
    </w:p>
    <w:p>
      <w:pPr>
        <w:ind w:left="1000" w:firstLine="8"/>
        <w:spacing w:after="0" w:line="229" w:lineRule="auto"/>
        <w:tabs>
          <w:tab w:leader="none" w:pos="131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present fair saleable value of the assets of such Person is not less than the amount that will be required to pay the probable liability of such Person on its debts as they become absolute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040"/>
          </w:cols>
          <w:pgMar w:left="520" w:top="1440" w:right="339" w:bottom="1440" w:gutter="0" w:footer="0" w:header="0"/>
        </w:sectPr>
      </w:pPr>
    </w:p>
    <w:bookmarkStart w:id="123" w:name="page124"/>
    <w:bookmarkEnd w:id="123"/>
    <w:p>
      <w:pPr>
        <w:spacing w:after="0" w:line="71"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48"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shall mean the representations and warranties set forth in Sections 6.1.1(i) (with respect to organizational existence only) and (iv), 6.1.4 [Validity and Binding Effect], 6.1.8 [Margin Stock], 6.1.15 [Solvency] and Section 6.1.16 [Anti-Terrorism Laws].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Standard &amp; Poor's</w:t>
      </w:r>
      <w:r>
        <w:rPr>
          <w:rFonts w:ascii="Times New Roman" w:cs="Times New Roman" w:eastAsia="Times New Roman" w:hAnsi="Times New Roman"/>
          <w:sz w:val="20"/>
          <w:szCs w:val="20"/>
          <w:color w:val="auto"/>
        </w:rPr>
        <w:t xml:space="preserve"> shall mean Standard &amp; Poor's Ratings Services, a division of The McGraw-Hill Companies, Inc.</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Statements</w:t>
      </w:r>
      <w:r>
        <w:rPr>
          <w:rFonts w:ascii="Times New Roman" w:cs="Times New Roman" w:eastAsia="Times New Roman" w:hAnsi="Times New Roman"/>
          <w:sz w:val="20"/>
          <w:szCs w:val="20"/>
          <w:color w:val="auto"/>
        </w:rPr>
        <w:t xml:space="preserve"> shall have the meaning specified in Section 6.1.7(i) [Historical Statements].</w:t>
      </w:r>
    </w:p>
    <w:p>
      <w:pPr>
        <w:spacing w:after="0" w:line="173"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of any Person at any time shall mean any corporation, trust, partnership, limited liability company or other business entity (i) of which more than 50% of the outstanding voting securities or other interests normally entitled to vote for the election of one or more directors, managers or trustees (regardless of any contingency which does or may suspend or dilute the voting rights) is at such time owned directly or indirectly by such Person or one or more of such Person's Subsidiaries, or (ii) which is controlled or capable of being controlled by such Person or one or more of such Person's Subsidiaries. Unless otherwise qualified, all references to a “Subsidiary” or to “Subsidiaries” in this Agreement shall refer to a Subsidiary or Subsidiaries of the Borrower.</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Subsidiary Equity Interests</w:t>
      </w:r>
      <w:r>
        <w:rPr>
          <w:rFonts w:ascii="Times New Roman" w:cs="Times New Roman" w:eastAsia="Times New Roman" w:hAnsi="Times New Roman"/>
          <w:sz w:val="20"/>
          <w:szCs w:val="20"/>
          <w:color w:val="auto"/>
        </w:rPr>
        <w:t xml:space="preserve"> shall have the meaning specified in Section 6.1.3 [Subsidiaries].</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xml:space="preserve"> shall mean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xml:space="preserve"> shall mean any obligation to pay or perform under any agreement, contract or transaction that constitutes a Swap which is also a Lender Provided Interest Rate Hedge or a Lender Provided Foreign Currency Hedge.</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Swing Loan Commitment</w:t>
      </w:r>
      <w:r>
        <w:rPr>
          <w:rFonts w:ascii="Times New Roman" w:cs="Times New Roman" w:eastAsia="Times New Roman" w:hAnsi="Times New Roman"/>
          <w:sz w:val="20"/>
          <w:szCs w:val="20"/>
          <w:color w:val="auto"/>
        </w:rPr>
        <w:t xml:space="preserve"> shall mean PNC's commitment to make Swing Loans to the Borrower pursuant to Section 2.1.2 [Swing Loan Commitment] hereof in an aggregate principal amount up to $20,000,000.</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Swing Loan Lende</w:t>
      </w:r>
      <w:r>
        <w:rPr>
          <w:rFonts w:ascii="Times New Roman" w:cs="Times New Roman" w:eastAsia="Times New Roman" w:hAnsi="Times New Roman"/>
          <w:sz w:val="20"/>
          <w:szCs w:val="20"/>
          <w:color w:val="auto"/>
        </w:rPr>
        <w:t>r shall mean PNC, in its capacity as a lender of Swing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040"/>
          </w:cols>
          <w:pgMar w:left="520" w:top="1440" w:right="339" w:bottom="1440" w:gutter="0" w:footer="0" w:header="0"/>
        </w:sectPr>
      </w:pPr>
    </w:p>
    <w:bookmarkStart w:id="124" w:name="page125"/>
    <w:bookmarkEnd w:id="124"/>
    <w:p>
      <w:pPr>
        <w:spacing w:after="0" w:line="71"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Swing Loan Note</w:t>
      </w:r>
      <w:r>
        <w:rPr>
          <w:rFonts w:ascii="Times New Roman" w:cs="Times New Roman" w:eastAsia="Times New Roman" w:hAnsi="Times New Roman"/>
          <w:sz w:val="20"/>
          <w:szCs w:val="20"/>
          <w:color w:val="auto"/>
        </w:rPr>
        <w:t xml:space="preserve"> shall mean the Swing Loan Note of the Borrower in the form of </w:t>
      </w:r>
      <w:r>
        <w:rPr>
          <w:rFonts w:ascii="Times New Roman" w:cs="Times New Roman" w:eastAsia="Times New Roman" w:hAnsi="Times New Roman"/>
          <w:sz w:val="20"/>
          <w:szCs w:val="20"/>
          <w:u w:val="single" w:color="auto"/>
          <w:color w:val="auto"/>
        </w:rPr>
        <w:t>Exhibit 1.1(N)(2)</w:t>
      </w:r>
      <w:r>
        <w:rPr>
          <w:rFonts w:ascii="Times New Roman" w:cs="Times New Roman" w:eastAsia="Times New Roman" w:hAnsi="Times New Roman"/>
          <w:sz w:val="20"/>
          <w:szCs w:val="20"/>
          <w:color w:val="auto"/>
        </w:rPr>
        <w:t xml:space="preserve"> evidencing the Swing Loans, together with all amendments, extensions, renewals, replacements, refinancings or refundings thereof in whole or in part.</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Swing Loan Request</w:t>
      </w:r>
      <w:r>
        <w:rPr>
          <w:rFonts w:ascii="Times New Roman" w:cs="Times New Roman" w:eastAsia="Times New Roman" w:hAnsi="Times New Roman"/>
          <w:sz w:val="20"/>
          <w:szCs w:val="20"/>
          <w:color w:val="auto"/>
        </w:rPr>
        <w:t xml:space="preserve"> shall mean a request for Swing Loans made in accordance with Section 2.5.2 [Swing Loan Requests] hereof.</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auto"/>
        </w:rPr>
        <w:t>Swing Loans</w:t>
      </w:r>
      <w:r>
        <w:rPr>
          <w:rFonts w:ascii="Times New Roman" w:cs="Times New Roman" w:eastAsia="Times New Roman" w:hAnsi="Times New Roman"/>
          <w:sz w:val="20"/>
          <w:szCs w:val="20"/>
          <w:color w:val="auto"/>
        </w:rPr>
        <w:t xml:space="preserve"> shall mean collectively and </w:t>
      </w:r>
      <w:r>
        <w:rPr>
          <w:rFonts w:ascii="Times New Roman" w:cs="Times New Roman" w:eastAsia="Times New Roman" w:hAnsi="Times New Roman"/>
          <w:sz w:val="20"/>
          <w:szCs w:val="20"/>
          <w:u w:val="single" w:color="auto"/>
          <w:color w:val="auto"/>
        </w:rPr>
        <w:t>Swing Loan</w:t>
      </w:r>
      <w:r>
        <w:rPr>
          <w:rFonts w:ascii="Times New Roman" w:cs="Times New Roman" w:eastAsia="Times New Roman" w:hAnsi="Times New Roman"/>
          <w:sz w:val="20"/>
          <w:szCs w:val="20"/>
          <w:color w:val="auto"/>
        </w:rPr>
        <w:t xml:space="preserve"> shall mean separately all Swing Loans or any Swing Loan made by PNC to the Borrower pursuant to Section 2.1.2 [Swing Loan Commitment] hereof.</w:t>
      </w:r>
    </w:p>
    <w:p>
      <w:pPr>
        <w:spacing w:after="0" w:line="140"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shall mean all present or future taxes, levies, imposts, duties, deductions, withholdings (including backup withholding), assessments, fees or similar charges in the nature of a tax imposed by any Official Body, including any interest, additions to tax or penalties applicable thereto.</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Term SOFR Administrator shall mean CME Group Benchmark Administration Limited (CBA) (or a successor administrator of the Term SOFR Reference Rate selected by the Administrative Agent in its reasonable discretion).</w:t>
      </w:r>
    </w:p>
    <w:p>
      <w:pPr>
        <w:spacing w:after="0" w:line="140"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20"/>
          <w:szCs w:val="20"/>
          <w:u w:val="single" w:color="auto"/>
          <w:color w:val="0000FF"/>
        </w:rPr>
        <w:t>Term SOFR Rate shall mean, with respect to any amount to which the Term SOFR Rate Option applies,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for any Interest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C000"/>
        </w:rPr>
        <w:t xml:space="preserve">Period, the interest rate per annum determined by the Administrative Agent by dividing (the resulting quotient rounded upwards, </w:t>
      </w:r>
      <w:r>
        <w:rPr>
          <w:rFonts w:ascii="Times New Roman" w:cs="Times New Roman" w:eastAsia="Times New Roman" w:hAnsi="Times New Roman"/>
          <w:sz w:val="20"/>
          <w:szCs w:val="20"/>
          <w:u w:val="single" w:color="auto"/>
          <w:color w:val="0000FF"/>
        </w:rPr>
        <w:t>at the Administrative Agent’s discretion, to the nearest 1/100th of 1%) (A) the Term SOFR Reference Rate for a</w:t>
      </w:r>
      <w:r>
        <w:rPr>
          <w:rFonts w:ascii="Times New Roman" w:cs="Times New Roman" w:eastAsia="Times New Roman" w:hAnsi="Times New Roman"/>
          <w:sz w:val="20"/>
          <w:szCs w:val="20"/>
          <w:u w:val="single" w:color="auto"/>
          <w:color w:val="00C000"/>
        </w:rPr>
        <w:t xml:space="preserve"> </w:t>
      </w:r>
      <w:r>
        <w:rPr>
          <w:rFonts w:ascii="Times New Roman" w:cs="Times New Roman" w:eastAsia="Times New Roman" w:hAnsi="Times New Roman"/>
          <w:sz w:val="20"/>
          <w:szCs w:val="20"/>
          <w:u w:val="single" w:color="auto"/>
          <w:color w:val="0000FF"/>
        </w:rPr>
        <w:t>tenor comparable to such Interest Period, as such rate is published by the Term SOFR Administrator on the day (the “Term SOFR Determination Date”) that is two (2) Business Days prior to the first day of such Interest Period, by (B</w:t>
      </w:r>
      <w:r>
        <w:rPr>
          <w:rFonts w:ascii="Times New Roman" w:cs="Times New Roman" w:eastAsia="Times New Roman" w:hAnsi="Times New Roman"/>
          <w:sz w:val="20"/>
          <w:szCs w:val="20"/>
          <w:u w:val="single" w:color="auto"/>
          <w:color w:val="00C000"/>
        </w:rPr>
        <w:t>) a number</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C000"/>
        </w:rPr>
        <w:t xml:space="preserve">equal to 1.00 minus the </w:t>
      </w:r>
      <w:r>
        <w:rPr>
          <w:rFonts w:ascii="Times New Roman" w:cs="Times New Roman" w:eastAsia="Times New Roman" w:hAnsi="Times New Roman"/>
          <w:sz w:val="20"/>
          <w:szCs w:val="20"/>
          <w:u w:val="single" w:color="auto"/>
          <w:color w:val="0000FF"/>
        </w:rPr>
        <w:t>SOFR Reserve Percentage. If the Term SOFR Reference Rate for the applicable tenor has not been</w:t>
      </w:r>
      <w:r>
        <w:rPr>
          <w:rFonts w:ascii="Times New Roman" w:cs="Times New Roman" w:eastAsia="Times New Roman" w:hAnsi="Times New Roman"/>
          <w:sz w:val="20"/>
          <w:szCs w:val="20"/>
          <w:u w:val="single" w:color="auto"/>
          <w:color w:val="00C000"/>
        </w:rPr>
        <w:t xml:space="preserve"> </w:t>
      </w:r>
      <w:r>
        <w:rPr>
          <w:rFonts w:ascii="Times New Roman" w:cs="Times New Roman" w:eastAsia="Times New Roman" w:hAnsi="Times New Roman"/>
          <w:sz w:val="20"/>
          <w:szCs w:val="20"/>
          <w:u w:val="single" w:color="auto"/>
          <w:color w:val="0000FF"/>
        </w:rPr>
        <w:t>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in accordance herewith,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so long as such first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(i) the first day of each Interest Period, and (ii) the effective date of any change in the SOFR Reserve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-1686560</wp:posOffset>
            </wp:positionV>
            <wp:extent cx="852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852805" cy="8255"/>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-535940</wp:posOffset>
            </wp:positionV>
            <wp:extent cx="14008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1400810" cy="8255"/>
                    </a:xfrm>
                    <a:prstGeom prst="rect">
                      <a:avLst/>
                    </a:prstGeom>
                    <a:noFill/>
                  </pic:spPr>
                </pic:pic>
              </a:graphicData>
            </a:graphic>
          </wp:anchor>
        </w:drawing>
      </w: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Term SOFR Rate Loan shall mean a Loan that bears interest based on Term SOFR Rate.</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Rate Option shall mean the option of the Borrower to have Loans bear interest at the rate and under the terms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specified in Section 4.1.1(ii) [Term SOFR Rate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-158115</wp:posOffset>
            </wp:positionV>
            <wp:extent cx="57543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5754370" cy="8255"/>
                    </a:xfrm>
                    <a:prstGeom prst="rect">
                      <a:avLst/>
                    </a:prstGeom>
                    <a:noFill/>
                  </pic:spPr>
                </pic:pic>
              </a:graphicData>
            </a:graphic>
          </wp:anchor>
        </w:drawing>
      </w:r>
    </w:p>
    <w:p>
      <w:pPr>
        <w:spacing w:after="0" w:line="1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0000FF"/>
        </w:rPr>
        <w:t>Term SOFR Reference Rate shall mean the forward-looking term rate based on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040"/>
          </w:cols>
          <w:pgMar w:left="520" w:top="1440" w:right="339" w:bottom="1440" w:gutter="0" w:footer="0" w:header="0"/>
        </w:sectPr>
      </w:pPr>
    </w:p>
    <w:bookmarkStart w:id="125" w:name="page126"/>
    <w:bookmarkEnd w:id="125"/>
    <w:p>
      <w:pPr>
        <w:spacing w:after="0" w:line="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xml:space="preserve"> shall have the meaning specified in Section 11.11.1 [Governing Law].</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0000FF"/>
        </w:rPr>
        <w:t>UK Financial Institution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4"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UK Resolution Authority shall mean the Bank of England or any other public administrative authority having responsibility for the resolution of any UK Financial Institution.</w:t>
      </w:r>
    </w:p>
    <w:p>
      <w:pPr>
        <w:spacing w:after="0" w:line="140"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u w:val="single" w:color="auto"/>
          <w:color w:val="0000FF"/>
        </w:rPr>
        <w:t>Unadjusted Benchmark Replacement means the applicable Benchmark Replacement excluding the related Benchmark Replacement Adjustment.</w:t>
      </w:r>
    </w:p>
    <w:p>
      <w:pPr>
        <w:spacing w:after="0" w:line="140"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xml:space="preserve"> shall mean the Uniting and Strengthening America by Providing Appropriate Tools Required to Intercept and Obstruct Terrorism Act of 2001, Public Law 107-56, as the same has been, or shall hereafter be, renewed, extended, amended or replaced.</w:t>
      </w:r>
    </w:p>
    <w:p>
      <w:pPr>
        <w:spacing w:after="0" w:line="144"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u w:val="single" w:color="auto"/>
          <w:color w:val="0000FF"/>
        </w:rPr>
        <w:t>U.S. Government Securities Business Day shall mean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xml:space="preserve"> shall mean any Person that is a "United States Person" as defined in Section 7701(a)(30) of the Code.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shall have the meaning specified in Section 5.9.7 [Status of Lenders].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xml:space="preserve"> shall mean any Loan Party and the Administrative Agent.</w:t>
      </w:r>
    </w:p>
    <w:p>
      <w:pPr>
        <w:spacing w:after="0" w:line="173"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Times New Roman" w:cs="Times New Roman" w:eastAsia="Times New Roman" w:hAnsi="Times New Roman"/>
          <w:sz w:val="20"/>
          <w:szCs w:val="20"/>
          <w:u w:val="single" w:color="auto"/>
          <w:color w:val="0000FF"/>
        </w:rPr>
        <w:t>, and</w:t>
      </w:r>
    </w:p>
    <w:p>
      <w:pPr>
        <w:spacing w:after="0" w:line="2" w:lineRule="exact"/>
        <w:rPr>
          <w:sz w:val="20"/>
          <w:szCs w:val="20"/>
          <w:color w:val="auto"/>
        </w:rPr>
      </w:pPr>
    </w:p>
    <w:p>
      <w:pPr>
        <w:jc w:val="both"/>
        <w:ind w:left="1000" w:firstLine="8"/>
        <w:spacing w:after="0" w:line="216" w:lineRule="auto"/>
        <w:tabs>
          <w:tab w:leader="none" w:pos="1291" w:val="left"/>
        </w:tabs>
        <w:numPr>
          <w:ilvl w:val="0"/>
          <w:numId w:val="6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Times New Roman" w:cs="Times New Roman" w:eastAsia="Times New Roman" w:hAnsi="Times New Roman"/>
          <w:sz w:val="20"/>
          <w:szCs w:val="20"/>
          <w:color w:val="000000"/>
        </w:rPr>
        <w:t>.</w:t>
      </w:r>
    </w:p>
    <w:p>
      <w:pPr>
        <w:spacing w:after="0" w:line="145"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19"/>
          <w:szCs w:val="19"/>
          <w:color w:val="auto"/>
        </w:rPr>
        <w:t>Construction.</w:t>
      </w:r>
    </w:p>
    <w:p>
      <w:pPr>
        <w:spacing w:after="0" w:line="173" w:lineRule="exact"/>
        <w:rPr>
          <w:sz w:val="20"/>
          <w:szCs w:val="20"/>
          <w:color w:val="auto"/>
        </w:rPr>
      </w:pPr>
    </w:p>
    <w:p>
      <w:pPr>
        <w:ind w:left="1000"/>
        <w:spacing w:after="0" w:line="242" w:lineRule="auto"/>
        <w:rPr>
          <w:sz w:val="20"/>
          <w:szCs w:val="20"/>
          <w:color w:val="auto"/>
        </w:rPr>
      </w:pPr>
      <w:r>
        <w:rPr>
          <w:rFonts w:ascii="Times New Roman" w:cs="Times New Roman" w:eastAsia="Times New Roman" w:hAnsi="Times New Roman"/>
          <w:sz w:val="20"/>
          <w:szCs w:val="20"/>
          <w:color w:val="auto"/>
        </w:rPr>
        <w:t>Unless the context of this Agreement otherwise clearly requires, the following rules of construction shall apply to this Agreement and each of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040"/>
          </w:cols>
          <w:pgMar w:left="520" w:top="1440" w:right="339" w:bottom="1440" w:gutter="0" w:footer="0" w:header="0"/>
        </w:sectPr>
      </w:pPr>
    </w:p>
    <w:bookmarkStart w:id="126" w:name="page127"/>
    <w:bookmarkEnd w:id="126"/>
    <w:p>
      <w:pPr>
        <w:spacing w:after="0" w:line="71"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20"/>
          <w:szCs w:val="20"/>
          <w:color w:val="auto"/>
        </w:rPr>
        <w:t>Documents: (i) references to the plural include the singular, the plural, the part and the whole and the words "include," "includes" and "including" shall be deemed to be followed by the phrase "without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 (iv) reference to any Person includes such Person's successors and assigns; (v) reference to any 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 but excluding," and "through" means "through and including"; (vii) the words "asset" and "property" shall be construed to have the same meaning and effect and to refer to any and all tangible and intangible assets and properties, including cash, securities, accounts and contract rights, (viii) section headings herein and in each other Loan Document are included for convenience and shall not affect the interpretation of this Agreement or such Loan Document, (ix) the word "or" is not exclusive, and (x) unless otherwise specified, all references herein to times of day shall constitute references to Eastern Time.</w:t>
      </w:r>
    </w:p>
    <w:p>
      <w:pPr>
        <w:spacing w:after="0" w:line="148"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Accounting Principles; Changes in GAAP.</w:t>
      </w:r>
    </w:p>
    <w:p>
      <w:pPr>
        <w:spacing w:after="0" w:line="173"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color w:val="auto"/>
        </w:rPr>
        <w:t>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provided, however, that all accounting terms used in Section 8.2 [Negative Covenants] (and all defined terms used in the definition of any accounting term used in Section 8.2) shall have the meaning given to such terms (and defined terms) under GAAP as in effect on the date hereof applied on a basis consistent with those used in preparing Statements referred to in Section 6.1.7(i) [Historical Statements]. Notwithstanding the foregoing, if the Borrower notifies the Administrative Agent in writing that the Borrower wishes to amend any financial covenant in Section 8.2 of this Agreement, any related definition and/or the definition of the term Consolidated Leverage Ratio for purposes of interest, Letter of Credit Fee and Commitment Fee determinations to eliminate the effect of any change in GAAP occurring after the Closing Date on the operation of such financial covenants and/or interest, Letter of Credit Fee or Commitment Fee determinations (or if the Administrative Agent notifies the Borrower in writing that the Required Lenders wish to amend any financial covenant in Section 8.2, any related definition and/or the definition of the term Consolidated Leverage Ratio for purposes of interest, Letter of Credit Fee and Commitment Fee determinations to eliminate the effect of any such change in GAAP), then the Administrative Agent, the Lenders and the Borrower shall negotiate in good faith to amend such ratios or requirements to preserve the original intent thereof in light of such change in GAAP (subject to the approval of the Required Lenders); provided that, until so amended, the Loan Parties' compliance with such covenants and/or the definition of the term Consolidated Leverage Ratio for purposes of interest, Letter of Credit Fee and Commitment Fee determinations shall be determined on the basis of GAAP in effect immediately before the relevant change in GAAP became effective, until either such notice is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040"/>
          </w:cols>
          <w:pgMar w:left="520" w:top="1440" w:right="339" w:bottom="1440" w:gutter="0" w:footer="0" w:header="0"/>
        </w:sectPr>
      </w:pPr>
    </w:p>
    <w:bookmarkStart w:id="127" w:name="page128"/>
    <w:bookmarkEnd w:id="127"/>
    <w:p>
      <w:pPr>
        <w:spacing w:after="0" w:line="71"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or such covenants or definitions are amended in a manner satisfactory to the Borrower and the Required Lenders, and the Loan Parties shall provide to the Administrative Agent, when they deliver their financial statements pursuant to Section 8.3.1 [Quarterly Financial Statements] and 8.3.2 [Annual Financial Statements] of this Agreement, such reconciliation statements as shall be reasonably requested by the Administrative Agent.</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u w:val="single" w:color="auto"/>
          <w:color w:val="0000FF"/>
        </w:rPr>
        <w:t>1.c</w:t>
      </w:r>
      <w:r>
        <w:rPr>
          <w:sz w:val="20"/>
          <w:szCs w:val="20"/>
          <w:color w:val="auto"/>
        </w:rPr>
        <w:tab/>
      </w:r>
      <w:r>
        <w:rPr>
          <w:rFonts w:ascii="Times New Roman" w:cs="Times New Roman" w:eastAsia="Times New Roman" w:hAnsi="Times New Roman"/>
          <w:sz w:val="19"/>
          <w:szCs w:val="19"/>
          <w:u w:val="single" w:color="auto"/>
          <w:color w:val="0000FF"/>
        </w:rPr>
        <w:t>Term SOFR Notification</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u w:val="single" w:color="auto"/>
          <w:color w:val="0000FF"/>
        </w:rPr>
        <w:t>Section 4.4.4 [Benchmark Replacement Setting] of this Agreement provides a mechanism for determining an alternative rate of interest in the event that the Term SOFR Rate is no longer available or in certain other circumstances. The Administrative Agent does not warrant or accept any responsibility for and shall not have any liability with respect to, the administration, submission or any other matter related to the Term SOFR Rate or with respect to any alternative or successor rate thereto, or replacement rate therefor.</w:t>
      </w:r>
    </w:p>
    <w:p>
      <w:pPr>
        <w:spacing w:after="0" w:line="144" w:lineRule="exact"/>
        <w:rPr>
          <w:sz w:val="20"/>
          <w:szCs w:val="20"/>
          <w:color w:val="auto"/>
        </w:rPr>
      </w:pPr>
    </w:p>
    <w:p>
      <w:pPr>
        <w:ind w:left="400" w:right="2900" w:firstLine="2298"/>
        <w:spacing w:after="0" w:line="420" w:lineRule="auto"/>
        <w:tabs>
          <w:tab w:leader="none" w:pos="329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REVOLVING CREDIT AND SWING LOAN FACILITIES 1.a Revolving Credit Commitments.</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1.1.iRevolving Credit Loans.</w:t>
      </w:r>
    </w:p>
    <w:p>
      <w:pPr>
        <w:spacing w:after="0" w:line="173"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color w:val="auto"/>
        </w:rPr>
        <w:t xml:space="preserve">Subject to the terms and conditions hereof and relying upon the representations and warranties herein set forth, each Lender severally agrees to make Revolving Credit Loans to the Borrower at any time or from time to time on or after the date hereof to the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each such Loan (i) the aggregate amount of Revolving Credit Loans from such Lender shall not exceed such Lender's Revolving Credit Commitment minus such Lender's Ratable Share of the outstanding Swing Loans and Letter of Credit Obligations, and (ii) the Revolving Facility Usage shall not exceed the aggregate Revolving Credit Commitments of the Lenders. Within such limits of time and amount and subject to the other provisions of this Agreement, the Borrower may borrow, repay and reborrow pursuant to this Section 2.1.</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1.1.iiSwing Loan Commitment.</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Subject to the terms and conditions hereof and relying upon the representations and warranties herein set forth, PNC shall make swing loans (the "</w:t>
      </w:r>
      <w:r>
        <w:rPr>
          <w:rFonts w:ascii="Times New Roman" w:cs="Times New Roman" w:eastAsia="Times New Roman" w:hAnsi="Times New Roman"/>
          <w:sz w:val="20"/>
          <w:szCs w:val="20"/>
          <w:b w:val="1"/>
          <w:bCs w:val="1"/>
          <w:color w:val="auto"/>
        </w:rPr>
        <w:t>Swing Loans</w:t>
      </w:r>
      <w:r>
        <w:rPr>
          <w:rFonts w:ascii="Times New Roman" w:cs="Times New Roman" w:eastAsia="Times New Roman" w:hAnsi="Times New Roman"/>
          <w:sz w:val="20"/>
          <w:szCs w:val="20"/>
          <w:color w:val="auto"/>
        </w:rPr>
        <w:t>") to the Borrower at any time or from time to time after the date hereof to, but not including, the Expiration Date, in an aggregate principal amount up to but not in excess of $20,000,000, provided that after giving effect to each such Loan, the Revolving Facility Usage shall not exceed the aggregate Revolving Credit Commitments of the Lenders. Within such limits of time and amount and subject to the other provisions of this Agreement, the Borrower may borrow, repay and reborrow pursuant to this Section 2.1.2.</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Nature of Lenders' Obligations with Respect to Revolving Credit Loans.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Each Lender shall be obligated to participate in each request for Revolving Credit Loans pursuant to Section 2.5 [Revolving Credit Loan Requests; Swing Loan Requests] in accordance with its Ratable Share. The aggregate of each Lender's Revolving Credit Loans outstanding hereunder to the Borrower at any time shall never exceed its Revolving Credit Commitment minus its Ratable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040"/>
          </w:cols>
          <w:pgMar w:left="520" w:top="1440" w:right="339" w:bottom="1440" w:gutter="0" w:footer="0" w:header="0"/>
        </w:sectPr>
      </w:pPr>
    </w:p>
    <w:bookmarkStart w:id="128" w:name="page129"/>
    <w:bookmarkEnd w:id="128"/>
    <w:p>
      <w:pPr>
        <w:spacing w:after="0" w:line="71"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of the outstanding Swing Loans and Letter of Credit Obligations. The obligations of each Lender hereunder are several. The failure of any Lender to perform its obligations hereunder shall not affect the Obligations of the Borrower to any other party nor shall any other party be liable for the failure of such Lender to perform its obligations hereunder. The Lenders shall have no obligation to make Revolving Credit Loans hereunder on or after the Expiration Date.</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1.c</w:t>
      </w:r>
      <w:r>
        <w:rPr>
          <w:sz w:val="20"/>
          <w:szCs w:val="20"/>
          <w:color w:val="auto"/>
        </w:rPr>
        <w:tab/>
      </w:r>
      <w:r>
        <w:rPr>
          <w:rFonts w:ascii="Times New Roman" w:cs="Times New Roman" w:eastAsia="Times New Roman" w:hAnsi="Times New Roman"/>
          <w:sz w:val="19"/>
          <w:szCs w:val="19"/>
          <w:color w:val="auto"/>
        </w:rPr>
        <w:t>Commitment Fees.</w:t>
      </w:r>
    </w:p>
    <w:p>
      <w:pPr>
        <w:spacing w:after="0" w:line="173" w:lineRule="exact"/>
        <w:rPr>
          <w:sz w:val="20"/>
          <w:szCs w:val="20"/>
          <w:color w:val="auto"/>
        </w:rPr>
      </w:pPr>
    </w:p>
    <w:p>
      <w:pPr>
        <w:jc w:val="both"/>
        <w:ind w:left="1200"/>
        <w:spacing w:after="0" w:line="213" w:lineRule="auto"/>
        <w:rPr>
          <w:sz w:val="20"/>
          <w:szCs w:val="20"/>
          <w:color w:val="auto"/>
        </w:rPr>
      </w:pPr>
      <w:r>
        <w:rPr>
          <w:rFonts w:ascii="Times New Roman" w:cs="Times New Roman" w:eastAsia="Times New Roman" w:hAnsi="Times New Roman"/>
          <w:sz w:val="20"/>
          <w:szCs w:val="20"/>
          <w:color w:val="auto"/>
        </w:rPr>
        <w:t>Accruing from the date hereof until the Expiration Date, the Borrower agrees to pay to the Administrative Agent for the account of each Lender according to its Ratable Share, a nonrefundable commitment fee (the "</w:t>
      </w:r>
      <w:r>
        <w:rPr>
          <w:rFonts w:ascii="Times New Roman" w:cs="Times New Roman" w:eastAsia="Times New Roman" w:hAnsi="Times New Roman"/>
          <w:sz w:val="20"/>
          <w:szCs w:val="20"/>
          <w:b w:val="1"/>
          <w:bCs w:val="1"/>
          <w:color w:val="auto"/>
        </w:rPr>
        <w:t>Commitment Fee</w:t>
      </w:r>
      <w:r>
        <w:rPr>
          <w:rFonts w:ascii="Times New Roman" w:cs="Times New Roman" w:eastAsia="Times New Roman" w:hAnsi="Times New Roman"/>
          <w:sz w:val="20"/>
          <w:szCs w:val="20"/>
          <w:color w:val="auto"/>
        </w:rPr>
        <w:t xml:space="preserve">") equal to the Applicable Commitment Fee Rate (computed on the basis of a year of 365 or 366 days, as the case may be, and actual days elapsed) multiplied by the </w:t>
      </w:r>
      <w:r>
        <w:rPr>
          <w:rFonts w:ascii="Times New Roman" w:cs="Times New Roman" w:eastAsia="Times New Roman" w:hAnsi="Times New Roman"/>
          <w:sz w:val="20"/>
          <w:szCs w:val="20"/>
          <w:color w:val="FF0000"/>
          <w:strike w:val="1"/>
        </w:rPr>
        <w:t>average daily</w:t>
      </w:r>
      <w:r>
        <w:rPr>
          <w:rFonts w:ascii="Times New Roman" w:cs="Times New Roman" w:eastAsia="Times New Roman" w:hAnsi="Times New Roman"/>
          <w:sz w:val="20"/>
          <w:szCs w:val="20"/>
          <w:color w:val="auto"/>
        </w:rPr>
        <w:t xml:space="preserve"> difference </w:t>
      </w:r>
      <w:r>
        <w:rPr>
          <w:rFonts w:ascii="Times New Roman" w:cs="Times New Roman" w:eastAsia="Times New Roman" w:hAnsi="Times New Roman"/>
          <w:sz w:val="20"/>
          <w:szCs w:val="20"/>
          <w:u w:val="single" w:color="auto"/>
          <w:color w:val="0000FF"/>
        </w:rPr>
        <w:t>for such day</w:t>
      </w:r>
      <w:r>
        <w:rPr>
          <w:rFonts w:ascii="Times New Roman" w:cs="Times New Roman" w:eastAsia="Times New Roman" w:hAnsi="Times New Roman"/>
          <w:sz w:val="20"/>
          <w:szCs w:val="20"/>
          <w:color w:val="auto"/>
        </w:rPr>
        <w:t xml:space="preserve"> between the amount of (i) the Revolving Credit Commitments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u w:val="single" w:color="auto"/>
          <w:color w:val="0000FF"/>
        </w:rPr>
        <w:t>minus</w:t>
      </w:r>
      <w:r>
        <w:rPr>
          <w:rFonts w:ascii="Times New Roman" w:cs="Times New Roman" w:eastAsia="Times New Roman" w:hAnsi="Times New Roman"/>
          <w:sz w:val="20"/>
          <w:szCs w:val="20"/>
          <w:color w:val="auto"/>
        </w:rPr>
        <w:t xml:space="preserve"> (ii) the Revolving Facility Usage (provided however, that solely in connection with determining the share of each Lender in the Commitment Fee, the Revolving Facility Usage with respect to the portion of the Commitment Fee allocated to PNC shall include the full amount of the outstanding Swing Loans, and with respect to the portion of the Commitment Fee allocated by the Administrative Agent to all of the Lenders other than PNC, such portion of the Commitment Fee shall be calculated (according to each such Lender's Ratable Share) as if the Revolving Facility Usage excludes the outstanding Swing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Commitment Fee accrued with respect to the Revolving Credit Commitment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Commitment Fee shall accrue with respect to the Revolving Credit Commitment of a Defaulting Lender so long as such Lender shall be a Defaulting Lender. Subject to the proviso in the directly preceding sentence, all Commitment Fees shall be payable in arrears on each Payment Date.</w:t>
      </w:r>
    </w:p>
    <w:p>
      <w:pPr>
        <w:spacing w:after="0" w:line="156"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1.d</w:t>
      </w:r>
      <w:r>
        <w:rPr>
          <w:sz w:val="20"/>
          <w:szCs w:val="20"/>
          <w:color w:val="auto"/>
        </w:rPr>
        <w:tab/>
      </w:r>
      <w:r>
        <w:rPr>
          <w:rFonts w:ascii="Times New Roman" w:cs="Times New Roman" w:eastAsia="Times New Roman" w:hAnsi="Times New Roman"/>
          <w:sz w:val="20"/>
          <w:szCs w:val="20"/>
          <w:color w:val="auto"/>
        </w:rPr>
        <w:t>Termination or Reduction of Revolving Credit Commitments.</w:t>
      </w:r>
    </w:p>
    <w:p>
      <w:pPr>
        <w:spacing w:after="0" w:line="173"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The Borrower shall have the right, upon not less than three (3) Business Days' notice to the Administrative Agent, to terminate the Revolving Credit Commitments or, from time to time, to reduce the aggregate amount of the Revolving Credit Commitments (ratably among the Lenders in proportion to their Ratable Shares); provided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Any such reduction shall be in an amount equal to $5,000,000, or a whole multiple thereof, and shall reduce permanently the Revolving Credit Commitments then in effect. Any such reduction or termination shall be accompanied by prepayment of the Notes, together with outstanding Commitment Fees, and the full amount of interest accrued on the principal sum to be prepaid (and all amounts referred to in Section 5.10 [Indemnity]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Section 2.4 shall be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7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1.e</w:t>
      </w:r>
      <w:r>
        <w:rPr>
          <w:sz w:val="20"/>
          <w:szCs w:val="20"/>
          <w:color w:val="auto"/>
        </w:rPr>
        <w:tab/>
      </w:r>
      <w:r>
        <w:rPr>
          <w:rFonts w:ascii="Times New Roman" w:cs="Times New Roman" w:eastAsia="Times New Roman" w:hAnsi="Times New Roman"/>
          <w:sz w:val="20"/>
          <w:szCs w:val="20"/>
          <w:color w:val="auto"/>
        </w:rPr>
        <w:t>Revolving Credit Loan Requests; Swing Loan Requests.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1.1.iRevolving Credit Loan Requests.</w:t>
      </w:r>
    </w:p>
    <w:p>
      <w:pPr>
        <w:spacing w:after="0" w:line="173" w:lineRule="exact"/>
        <w:rPr>
          <w:sz w:val="20"/>
          <w:szCs w:val="20"/>
          <w:color w:val="auto"/>
        </w:rPr>
      </w:pPr>
    </w:p>
    <w:p>
      <w:pPr>
        <w:jc w:val="both"/>
        <w:ind w:left="1200"/>
        <w:spacing w:after="0" w:line="228" w:lineRule="auto"/>
        <w:rPr>
          <w:sz w:val="20"/>
          <w:szCs w:val="20"/>
          <w:color w:val="auto"/>
        </w:rPr>
      </w:pPr>
      <w:r>
        <w:rPr>
          <w:rFonts w:ascii="Times New Roman" w:cs="Times New Roman" w:eastAsia="Times New Roman" w:hAnsi="Times New Roman"/>
          <w:sz w:val="20"/>
          <w:szCs w:val="20"/>
          <w:color w:val="auto"/>
        </w:rPr>
        <w:t xml:space="preserve">Except as otherwise provided herein, the Borrower may from time to time prior to the Expiration Date request the Lenders to make Revolving Credit Loans, or renew or convert the Interest Rate Option applicable to existing Revolving Credit Loans pursuant to Section 4.2 [Interest Periods], by delivering to the Administrative Agent, not later than 10:00 a.m., (i) three (3) Business Days prior to the proposed Borrowing Date with respect to the making of Revolving Credit Loans to which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applies or the conversion to or the renewal of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for any Loans; and (ii) the same Business Day of the proposed Borrowing Date with respect to the making of a Revolving Credit Loan to which the Base Rate Option applies or the last day of the preceding Interest Period with respect to the conversion to the Base Rate Option for any Loan, of a duly completed request therefor substantially in the form of </w:t>
      </w:r>
      <w:r>
        <w:rPr>
          <w:rFonts w:ascii="Times New Roman" w:cs="Times New Roman" w:eastAsia="Times New Roman" w:hAnsi="Times New Roman"/>
          <w:sz w:val="20"/>
          <w:szCs w:val="20"/>
          <w:u w:val="single" w:color="auto"/>
          <w:color w:val="auto"/>
        </w:rPr>
        <w:t>Exhibit 2.5.1</w:t>
      </w:r>
      <w:r>
        <w:rPr>
          <w:rFonts w:ascii="Times New Roman" w:cs="Times New Roman" w:eastAsia="Times New Roman" w:hAnsi="Times New Roman"/>
          <w:sz w:val="20"/>
          <w:szCs w:val="20"/>
          <w:color w:val="auto"/>
        </w:rPr>
        <w:t xml:space="preserve"> or a request by telephone promptly confirmed in writing by letter, facsimile, electronic mail or telex in such form (each, a "</w:t>
      </w:r>
      <w:r>
        <w:rPr>
          <w:rFonts w:ascii="Times New Roman" w:cs="Times New Roman" w:eastAsia="Times New Roman" w:hAnsi="Times New Roman"/>
          <w:sz w:val="20"/>
          <w:szCs w:val="20"/>
          <w:b w:val="1"/>
          <w:bCs w:val="1"/>
          <w:color w:val="auto"/>
        </w:rPr>
        <w:t>Loan Request</w:t>
      </w:r>
      <w:r>
        <w:rPr>
          <w:rFonts w:ascii="Times New Roman" w:cs="Times New Roman" w:eastAsia="Times New Roman" w:hAnsi="Times New Roman"/>
          <w:sz w:val="20"/>
          <w:szCs w:val="20"/>
          <w:color w:val="auto"/>
        </w:rPr>
        <w:t xml:space="preserve">"), it being understood that the Administrative Agent may rely on the authority of any individual making such a telephonic request without the necessity of receipt of such written confirmation. Each Loan Request shall be irrevocable and shall specify (i) the proposed Borrowing Date; (ii) the aggregate amount of the proposed Loans comprising each Borrowing Tranche, and, if applicable, the Interest Period, which amounts shall be in (x) integral multiples of $500,000 and not less than $1,000,000 for each Borrowing Tranche under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and (y) integral multiples of $500,000 and not less than $1,000,000 for each Borrowing Tranche under the Base Rate Option.</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1.1.iiSwing Loan Requests.</w:t>
      </w:r>
    </w:p>
    <w:p>
      <w:pPr>
        <w:spacing w:after="0" w:line="173" w:lineRule="exact"/>
        <w:rPr>
          <w:sz w:val="20"/>
          <w:szCs w:val="20"/>
          <w:color w:val="auto"/>
        </w:rPr>
      </w:pPr>
    </w:p>
    <w:p>
      <w:pPr>
        <w:jc w:val="both"/>
        <w:ind w:left="1200"/>
        <w:spacing w:after="0"/>
        <w:rPr>
          <w:sz w:val="20"/>
          <w:szCs w:val="20"/>
          <w:color w:val="auto"/>
        </w:rPr>
      </w:pPr>
      <w:r>
        <w:rPr>
          <w:rFonts w:ascii="Times New Roman" w:cs="Times New Roman" w:eastAsia="Times New Roman" w:hAnsi="Times New Roman"/>
          <w:sz w:val="20"/>
          <w:szCs w:val="20"/>
          <w:color w:val="auto"/>
        </w:rPr>
        <w:t xml:space="preserve">Except as otherwise provided herein, the Borrower may from time to time prior to the Expiration Date request the Swing Loan Lender to make Swing Loans by delivery to the Swing Loan Lender not later than 12:00 noon on the proposed Borrowing Date of a duly completed request therefor substantially in the form of </w:t>
      </w:r>
      <w:r>
        <w:rPr>
          <w:rFonts w:ascii="Times New Roman" w:cs="Times New Roman" w:eastAsia="Times New Roman" w:hAnsi="Times New Roman"/>
          <w:sz w:val="20"/>
          <w:szCs w:val="20"/>
          <w:u w:val="single" w:color="auto"/>
          <w:color w:val="auto"/>
        </w:rPr>
        <w:t>Exhibit 2.5.2</w:t>
      </w:r>
      <w:r>
        <w:rPr>
          <w:rFonts w:ascii="Times New Roman" w:cs="Times New Roman" w:eastAsia="Times New Roman" w:hAnsi="Times New Roman"/>
          <w:sz w:val="20"/>
          <w:szCs w:val="20"/>
          <w:color w:val="auto"/>
        </w:rPr>
        <w:t xml:space="preserve"> hereto or a request by telephone promptly confirmed in writing by letter, facsimile, electronic mail or telex (each, a "</w:t>
      </w:r>
      <w:r>
        <w:rPr>
          <w:rFonts w:ascii="Times New Roman" w:cs="Times New Roman" w:eastAsia="Times New Roman" w:hAnsi="Times New Roman"/>
          <w:sz w:val="20"/>
          <w:szCs w:val="20"/>
          <w:b w:val="1"/>
          <w:bCs w:val="1"/>
          <w:color w:val="auto"/>
        </w:rPr>
        <w:t>Swing Loan Request</w:t>
      </w:r>
      <w:r>
        <w:rPr>
          <w:rFonts w:ascii="Times New Roman" w:cs="Times New Roman" w:eastAsia="Times New Roman" w:hAnsi="Times New Roman"/>
          <w:sz w:val="20"/>
          <w:szCs w:val="20"/>
          <w:color w:val="auto"/>
        </w:rPr>
        <w:t>"), it being understood that the Administrative Agent may rely on the authority of any individual making such a telephonic request without the necessity of receipt of such written confirmation. Each Swing Loan Request shall be irrevocable and shall specify the proposed Borrowing Date and the principal amount of such Swing Loan, which shall be not less than $100,000.</w:t>
      </w:r>
    </w:p>
    <w:p>
      <w:pPr>
        <w:spacing w:after="0" w:line="202" w:lineRule="exact"/>
        <w:rPr>
          <w:sz w:val="20"/>
          <w:szCs w:val="20"/>
          <w:color w:val="auto"/>
        </w:rPr>
      </w:pPr>
    </w:p>
    <w:p>
      <w:pPr>
        <w:ind w:right="300" w:firstLine="604"/>
        <w:spacing w:after="0" w:line="242" w:lineRule="auto"/>
        <w:rPr>
          <w:sz w:val="20"/>
          <w:szCs w:val="20"/>
          <w:color w:val="auto"/>
        </w:rPr>
      </w:pPr>
      <w:r>
        <w:rPr>
          <w:rFonts w:ascii="Times New Roman" w:cs="Times New Roman" w:eastAsia="Times New Roman" w:hAnsi="Times New Roman"/>
          <w:sz w:val="20"/>
          <w:szCs w:val="20"/>
          <w:color w:val="auto"/>
        </w:rPr>
        <w:t>1.f Making Revolving Credit Loans and Swing Loans; Presumptions by the Administrative Agent; Repayment of Revolving Credit Loans; Borrowings to Repay Swing Loans.</w:t>
      </w:r>
    </w:p>
    <w:p>
      <w:pPr>
        <w:spacing w:after="0" w:line="1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1.1.iMaking Revolving Credit Loans.</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The Administrative Agent shall, promptly after receipt by it of a Loan Request pursuant to Section 2.5 [Revolving Credit Loan Requests; Swing Loan Requests], notify the Lenders of its receipt of such Loan Request specifying the information provided by the Borrower and the apportionment among the Lenders of the requested Revolving Credit Loans as determined by the Administrative Agent in accordance with Section 2.2 [Nature of Lenders' Obligations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71"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 xml:space="preserve">Revolving Credit Loans]. Each Lender shall remit the principal amount of each Revolving Credit Loan to the Administrative Agent such that the Administrative Agent is able to, and the Administrative Agent shall, to the extent the Lenders have made funds available to it for such purpose and subject to Section 7.2 [Each Loan or Letter of Credit], fund such Revolving Credit Loans to the Borrower in U.S. Dollars and immediately available funds at the Principal Office prior to 2:00 p.m., on the applicable Borrowing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Section 2.6.2 [Presumptions by the Administrative Agent].</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1.1.iiPresumptions by the Administrative Agent.</w:t>
      </w:r>
    </w:p>
    <w:p>
      <w:pPr>
        <w:spacing w:after="0" w:line="173"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time of any Loan that such Lender will not make available to the Administrative Agent such Lender's share of such Loan, the Administrative Agent may assume that such Lender has made such share available on such date in accordance with Section 2.6.1 [Making Revolving Credit Loans]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the Borrower, the interest rate applicable to Loans under the Base Rate Option. If such Lender pays its share of the applicable Loan to the Administrative Agent, then the amount so paid shall constitute such Lender's Loan. Any payment by the Borrower shall be without prejudice to any claim the Borrower may have against a Lender that shall have failed to make such payment to the Administrative Agent.</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1.1.iiiMaking Swing Loans.</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So long as PNC elects to make Swing Loans, PNC shall, after receipt by it of a Swing Loan Request pursuant to Section 2.5.2, [Swing Loan Requests] fund such Swing Loan to the Borrower in U.S. Dollars and immediately available funds at the Principal Office prior to 4:00 p.m. on the Borrowing Date.</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1.1.ivRepayment of Revolving Credit Loans.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The Borrower shall repay the Revolving Credit Loans together with all outstanding interest thereon on the Expiration Date.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1.1.vBorrowings to Repay Swing Loans.</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PNC may, at its option, exercisable at any time for any reason whatsoever, demand repayment of the Swing Loans, and each Lender shall make a Revolving Credit Loan in an amount equal to such Lender's Ratable Share of the aggregate principal amount of the outstanding Swing Loans, plus, if PNC so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040"/>
          </w:cols>
          <w:pgMar w:left="520" w:top="1440" w:right="339" w:bottom="1440" w:gutter="0" w:footer="0" w:header="0"/>
        </w:sectPr>
      </w:pPr>
    </w:p>
    <w:bookmarkStart w:id="131" w:name="page132"/>
    <w:bookmarkEnd w:id="131"/>
    <w:p>
      <w:pPr>
        <w:spacing w:after="0" w:line="71"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 xml:space="preserve">accrued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obligated in any event to make Revolving Credit Loans in excess of its Revolving Credit Commitment minus its Ratable Share of Letter of Credit Obligations. Revolving Credit Loans made pursuant to the preceding sentence shall bear interest at the Base Rate Option and shall be deemed to have been properly requested in accordance with Section 2.5.1 [Revolving Credit Loan Requests] without regard to any of the requirements of that provision. PNC shall provide notice to the Lenders (which may be telephonic or written notice by letter, facsimile or telex) that such Revolving Credit Loans are to be made under this Section 2.6.5 and of the apportionment among the Lenders, and the Lenders shall be unconditionally obligated to fund such Revolving Credit Loans (whether or not the conditions specified in Section 2.5.1 [Revolving Credit Loan Requests] are then satisfied) by the time PNC so requests, which shall not be earlier than 3:00 p.m. on the Business Day next after the date the Lenders receive such notice from PNC.</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1.1.viSwing Loans Under Cash Management Agreements.</w:t>
      </w:r>
    </w:p>
    <w:p>
      <w:pPr>
        <w:spacing w:after="0" w:line="173"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color w:val="auto"/>
        </w:rPr>
        <w:t>In addition to making Swing Loans pursuant to the foregoing provisions of Section 2.6.3 [Making Swing Loans], without the requirement for a specific request from the Borrower pursuant to Section 2.5.2 [Swing Loan Requests], PNC as the Swing Loan Lender may make Swing Loans to the Borrower in accordance with the provisions of the agreements between the Borrower and such Swing Loan Lender relating to the Borrower's deposit, sweep and other accounts at such Swing Loan Lender and related arrangements and agreements regarding the management and investment of the Borrower's cash assets as in effect from time to time (the "</w:t>
      </w:r>
      <w:r>
        <w:rPr>
          <w:rFonts w:ascii="Times New Roman" w:cs="Times New Roman" w:eastAsia="Times New Roman" w:hAnsi="Times New Roman"/>
          <w:sz w:val="20"/>
          <w:szCs w:val="20"/>
          <w:b w:val="1"/>
          <w:bCs w:val="1"/>
          <w:color w:val="auto"/>
        </w:rPr>
        <w:t>Cash Management Agreements</w:t>
      </w:r>
      <w:r>
        <w:rPr>
          <w:rFonts w:ascii="Times New Roman" w:cs="Times New Roman" w:eastAsia="Times New Roman" w:hAnsi="Times New Roman"/>
          <w:sz w:val="20"/>
          <w:szCs w:val="20"/>
          <w:color w:val="auto"/>
        </w:rPr>
        <w:t>") to the extent of the daily aggregate net negative balance in the Borrower's accounts which are subject to the provisions of the Cash Management Agreements. Swing Loans made pursuant to this Section 2.6.6 in accordance with the provisions of the Cash Management Agreements shall (i) be subject to the limitations as to aggregate amount set forth in Section 2.1.2 [Swing Loan Commitment], (ii) not be subject to the limitations as to individual amount set forth in Section 2.5.2 [Swing Loan Requests], (iii) be payable by the Borrower, both as to principal and interest, at the rates and times set forth in the Cash Management Agreements (but in no event later than the Expiration Date), (iv) not be made at any time after such Swing Loan Lender has received written notice of the occurrence of an Event of Default and so long as such shall continue to exist, or, unless consented to by the Required Lenders, a Potential Default and so long as such shall continue to exist, (v) if not repaid by the Borrower in accordance with the provisions of the Cash Management Agreements, be subject to each Lender's obligation pursuant to Section 2.6.5 [Borrowings to Repay Swing Loans], and (vi) except as provided in the foregoing subsections (i) through (v), be subject to all of the terms and conditions of this Article 2.</w:t>
      </w:r>
    </w:p>
    <w:p>
      <w:pPr>
        <w:spacing w:after="0" w:line="153"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1.g</w:t>
      </w:r>
      <w:r>
        <w:rPr>
          <w:sz w:val="20"/>
          <w:szCs w:val="20"/>
          <w:color w:val="auto"/>
        </w:rPr>
        <w:tab/>
      </w:r>
      <w:r>
        <w:rPr>
          <w:rFonts w:ascii="Times New Roman" w:cs="Times New Roman" w:eastAsia="Times New Roman" w:hAnsi="Times New Roman"/>
          <w:sz w:val="20"/>
          <w:szCs w:val="20"/>
          <w:color w:val="auto"/>
        </w:rPr>
        <w:t>Notes.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At the request of any Lender, the Obligation of the Borrower to repay the aggregate unpaid principal amount of the Revolving Credit Loans and Swing Loans made to it by such Lender, together with interest thereon, shall be evidenced by a revolving credit Note and a swing Note, dated the Closing Date payable to such Lender (or its registered assigns) in a face amount equal to the Revolving Credit Commitment or Swing Loan Commitment, as applicable,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040"/>
          </w:cols>
          <w:pgMar w:left="520" w:top="1440" w:right="339" w:bottom="1440" w:gutter="0" w:footer="0" w:header="0"/>
        </w:sectPr>
      </w:pPr>
    </w:p>
    <w:bookmarkStart w:id="132" w:name="page133"/>
    <w:bookmarkEnd w:id="132"/>
    <w:p>
      <w:pPr>
        <w:spacing w:after="0" w:line="7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1.h</w:t>
      </w:r>
      <w:r>
        <w:rPr>
          <w:sz w:val="20"/>
          <w:szCs w:val="20"/>
          <w:color w:val="auto"/>
        </w:rPr>
        <w:tab/>
      </w:r>
      <w:r>
        <w:rPr>
          <w:rFonts w:ascii="Times New Roman" w:cs="Times New Roman" w:eastAsia="Times New Roman" w:hAnsi="Times New Roman"/>
          <w:sz w:val="20"/>
          <w:szCs w:val="20"/>
          <w:color w:val="auto"/>
        </w:rPr>
        <w:t>Use of Proceeds.</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The proceeds of the Loans shall be used (i) to refinance existing indebtedness for borrowed money; (ii) to make Permitted Acquisitions; (iii) to fund ongoing working capital and capital expenditures, and for general corporate purposes including the issuance of Letters of Credit; and (iv) to pay fees and expenses in connection with this Agreement and Permitted Acquisitions.</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1.i</w:t>
      </w:r>
      <w:r>
        <w:rPr>
          <w:sz w:val="20"/>
          <w:szCs w:val="20"/>
          <w:color w:val="auto"/>
        </w:rPr>
        <w:tab/>
      </w:r>
      <w:r>
        <w:rPr>
          <w:rFonts w:ascii="Times New Roman" w:cs="Times New Roman" w:eastAsia="Times New Roman" w:hAnsi="Times New Roman"/>
          <w:sz w:val="19"/>
          <w:szCs w:val="19"/>
          <w:color w:val="auto"/>
        </w:rPr>
        <w:t>Letter of Credit Subfacility.</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1.1.iIssuance of Letters of Credit.</w:t>
      </w:r>
    </w:p>
    <w:p>
      <w:pPr>
        <w:spacing w:after="0" w:line="173" w:lineRule="exact"/>
        <w:rPr>
          <w:sz w:val="20"/>
          <w:szCs w:val="20"/>
          <w:color w:val="auto"/>
        </w:rPr>
      </w:pPr>
    </w:p>
    <w:p>
      <w:pPr>
        <w:jc w:val="both"/>
        <w:ind w:left="1200"/>
        <w:spacing w:after="0" w:line="214" w:lineRule="auto"/>
        <w:rPr>
          <w:sz w:val="20"/>
          <w:szCs w:val="20"/>
          <w:color w:val="auto"/>
        </w:rPr>
      </w:pPr>
      <w:r>
        <w:rPr>
          <w:rFonts w:ascii="Times New Roman" w:cs="Times New Roman" w:eastAsia="Times New Roman" w:hAnsi="Times New Roman"/>
          <w:sz w:val="20"/>
          <w:szCs w:val="20"/>
          <w:color w:val="auto"/>
        </w:rPr>
        <w:t>The Borrower or any other Loan Party may at any time prior to the Expiration Date request the issuance of a standby letter of credit (each a "</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for its own account, the account of another Loan Party or for its own account or the account of another Loan Party for the benefit of one of its Subsidiaries or a Subsidiary of such Loan Party, or the amendment or extension of an existing Letter of Credit, by delivering or transmitting electronically, or having such other Loan Party deliver or transmit electronically to the Issuing Lender (with a copy to the Administrative Agent) a completed application for letter of credit, or request for such amendment or extension, as applicable, in such form as the Issuing Lender may specify from time to time by no later than 10:00 a.m. at least five (5) Business Days, or such shorter period as may be agreed to by the Issuing Lender, in advance of the proposed date of issuance. The Borrower or any other Loan Party shall authorize and direct the Issuing Lender to name the Borrower or any other Loan Party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such Issuing Lender will provide the Administrative Agent with a copy thereof. All Existing Letters of Credit shall be deemed to be issued hereunder and shall constitute Letters of Credit subject to the terms hereof.</w:t>
      </w:r>
    </w:p>
    <w:p>
      <w:pPr>
        <w:spacing w:after="0" w:line="152" w:lineRule="exact"/>
        <w:rPr>
          <w:sz w:val="20"/>
          <w:szCs w:val="20"/>
          <w:color w:val="auto"/>
        </w:rPr>
      </w:pPr>
    </w:p>
    <w:p>
      <w:pPr>
        <w:ind w:right="20" w:firstLine="1993"/>
        <w:spacing w:after="0" w:line="214" w:lineRule="auto"/>
        <w:rPr>
          <w:sz w:val="20"/>
          <w:szCs w:val="20"/>
          <w:color w:val="auto"/>
        </w:rPr>
      </w:pPr>
      <w:r>
        <w:rPr>
          <w:rFonts w:ascii="Times New Roman" w:cs="Times New Roman" w:eastAsia="Times New Roman" w:hAnsi="Times New Roman"/>
          <w:sz w:val="20"/>
          <w:szCs w:val="20"/>
          <w:color w:val="auto"/>
        </w:rPr>
        <w:t>1.1.1.1 Unless the Issuing Lender has received notice from any Lender, the Administrative Agent or any Loan Party, at least one day prior to the requested date of issuance, amendment or extension of the applicable Letter of Credit, that one or more applicable conditions in Section 7 [Conditions of Lending and Issuance of Letters of Credit] is not satisfied, then, subject to the terms and conditions hereof and in reliance on the agreements of the other Lenders set forth in this Section 2.9, the Issuing Lender or any of the Issuing Lender's Affiliates will issue the proposed Letter of Credit or agree to such amendment or extension, provided that each Letter of Credit shall (A) have a maximum maturity of twelve (12) months from the date of issuance, and (B) in no event expire later than one Business Day prior to the Expiration Date and provided further that in no event shall (i) the Letter of Credit Obligations exceed, at any one time, $20,000,000 (the "</w:t>
      </w:r>
      <w:r>
        <w:rPr>
          <w:rFonts w:ascii="Times New Roman" w:cs="Times New Roman" w:eastAsia="Times New Roman" w:hAnsi="Times New Roman"/>
          <w:sz w:val="20"/>
          <w:szCs w:val="20"/>
          <w:b w:val="1"/>
          <w:bCs w:val="1"/>
          <w:color w:val="auto"/>
        </w:rPr>
        <w:t>Letter of Credit Sublimit</w:t>
      </w:r>
      <w:r>
        <w:rPr>
          <w:rFonts w:ascii="Times New Roman" w:cs="Times New Roman" w:eastAsia="Times New Roman" w:hAnsi="Times New Roman"/>
          <w:sz w:val="20"/>
          <w:szCs w:val="20"/>
          <w:color w:val="auto"/>
        </w:rPr>
        <w:t>") or (ii) the Revolving Facility Usage exceed, at any one time, the Revolving Credit Commitments. Each request by the Borrower for the issuance, amendment or extension of a Letter of Credit shall be deemed to be a representation by the Borrower that it shall be in compliance with the preceding sentence and with Section 7 [Conditions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the Borrower and the Administrative Agent a true and complete copy of such Letter of Credit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71" w:lineRule="exact"/>
        <w:rPr>
          <w:sz w:val="20"/>
          <w:szCs w:val="20"/>
          <w:color w:val="auto"/>
        </w:rPr>
      </w:pPr>
    </w:p>
    <w:p>
      <w:pPr>
        <w:ind w:firstLine="1993"/>
        <w:spacing w:after="0" w:line="214" w:lineRule="auto"/>
        <w:rPr>
          <w:sz w:val="20"/>
          <w:szCs w:val="20"/>
          <w:color w:val="auto"/>
        </w:rPr>
      </w:pPr>
      <w:r>
        <w:rPr>
          <w:rFonts w:ascii="Times New Roman" w:cs="Times New Roman" w:eastAsia="Times New Roman" w:hAnsi="Times New Roman"/>
          <w:sz w:val="20"/>
          <w:szCs w:val="20"/>
          <w:color w:val="auto"/>
        </w:rPr>
        <w:t xml:space="preserve">2.9.1.2 Notwithstanding Section 2.9.1.1, the Issuing Lender shall not be under any obligation to issue any Letter of Credit if (i) any order, judgment or decree of any Official Body or arbitrator shall by its terms purport to enjoin or restrain the Issuing Lender from issuing the Letter of Credit, or any Law applicable to the Issuing Lender or any request or directive (whether or not having the force of law) from any Official Body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Closing Date, or shall impose upon the Issuing Lender any unreimbursed loss, cost or expense which was not applicable on the Closing Date and which the Issuing Lender in good faith deems material to it,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auto"/>
        </w:rPr>
        <w:t xml:space="preserve"> (ii) the issuance of the Letter of Credit would violate one or more policies of the Issuing Lender applicable to letters of credit generally </w:t>
      </w:r>
      <w:r>
        <w:rPr>
          <w:rFonts w:ascii="Times New Roman" w:cs="Times New Roman" w:eastAsia="Times New Roman" w:hAnsi="Times New Roman"/>
          <w:sz w:val="20"/>
          <w:szCs w:val="20"/>
          <w:color w:val="0000FF"/>
        </w:rPr>
        <w:t>or (iii) any Lender is at that time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Defaulting Lender, unless the Issuing Lender has entered into arrangements, including the delivery of Cash Collateral, satisfactory to the Issuing Lender (in its sole discretion) with the Borrower or such Lender to eliminate the Issuing Lender’s actual or potential Fronting Exposure (after giving effect to Section 2.11.1(iv) [Reallocation of Participations to Reduce Fronting Exposure]) with respect to the Defaulting Lender arising from either the Letter of Credit then proposed to be issued or that Letter of Credit and all other Issuing Lender Obligations as to which the Issuing Lender has actual or potential Fronting Exposure, as it may elect in its sole discretion</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4901565</wp:posOffset>
            </wp:positionH>
            <wp:positionV relativeFrom="paragraph">
              <wp:posOffset>-664210</wp:posOffset>
            </wp:positionV>
            <wp:extent cx="17849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1.1.iiLetter of Credit Fees.</w:t>
      </w:r>
    </w:p>
    <w:p>
      <w:pPr>
        <w:spacing w:after="0" w:line="173" w:lineRule="exact"/>
        <w:rPr>
          <w:sz w:val="20"/>
          <w:szCs w:val="20"/>
          <w:color w:val="auto"/>
        </w:rPr>
      </w:pPr>
    </w:p>
    <w:p>
      <w:pPr>
        <w:jc w:val="both"/>
        <w:ind w:left="1200"/>
        <w:spacing w:after="0" w:line="217" w:lineRule="auto"/>
        <w:rPr>
          <w:sz w:val="20"/>
          <w:szCs w:val="20"/>
          <w:color w:val="auto"/>
        </w:rPr>
      </w:pPr>
      <w:r>
        <w:rPr>
          <w:rFonts w:ascii="Times New Roman" w:cs="Times New Roman" w:eastAsia="Times New Roman" w:hAnsi="Times New Roman"/>
          <w:sz w:val="20"/>
          <w:szCs w:val="20"/>
          <w:color w:val="auto"/>
        </w:rPr>
        <w:t>Subject to Section 2.11</w:t>
      </w:r>
      <w:r>
        <w:rPr>
          <w:rFonts w:ascii="Times New Roman" w:cs="Times New Roman" w:eastAsia="Times New Roman" w:hAnsi="Times New Roman"/>
          <w:sz w:val="20"/>
          <w:szCs w:val="20"/>
          <w:color w:val="FF0000"/>
          <w:strike w:val="1"/>
        </w:rPr>
        <w:t>(iii)</w:t>
      </w:r>
      <w:r>
        <w:rPr>
          <w:rFonts w:ascii="Times New Roman" w:cs="Times New Roman" w:eastAsia="Times New Roman" w:hAnsi="Times New Roman"/>
          <w:sz w:val="20"/>
          <w:szCs w:val="20"/>
          <w:color w:val="auto"/>
        </w:rPr>
        <w:t>, the Borrower shall pay (i) to the Administrative Agent for the ratable account of the Lenders a fee (the "</w:t>
      </w:r>
      <w:r>
        <w:rPr>
          <w:rFonts w:ascii="Times New Roman" w:cs="Times New Roman" w:eastAsia="Times New Roman" w:hAnsi="Times New Roman"/>
          <w:sz w:val="20"/>
          <w:szCs w:val="20"/>
          <w:b w:val="1"/>
          <w:bCs w:val="1"/>
          <w:color w:val="auto"/>
        </w:rPr>
        <w:t>Letter of Credit Fee</w:t>
      </w:r>
      <w:r>
        <w:rPr>
          <w:rFonts w:ascii="Times New Roman" w:cs="Times New Roman" w:eastAsia="Times New Roman" w:hAnsi="Times New Roman"/>
          <w:sz w:val="20"/>
          <w:szCs w:val="20"/>
          <w:color w:val="auto"/>
        </w:rPr>
        <w:t>") equal to the Applicable Letter of Credit Fee Rate on the daily amount available to be drawn under each Letter of Credit, and (ii) to the Issuing Lender for its own account a fronting fee equal to 0.125% per annum on the daily amount available to be drawn under each Letter of Credit. All Letter of Credit Fees and fronting fees shall be computed on the basis of a year of 360 days and actual days elapsed and shall be payable quarterly in arrears on each Payment Date following issuance of each Letter of Credit. The Borrower shall also pay to the Issuing Lender for the Issuing Lender's sole account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1.1.iiiDisbursements, Reimbursement.</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w:t>
      </w:r>
    </w:p>
    <w:p>
      <w:pPr>
        <w:spacing w:after="0" w:line="137" w:lineRule="exact"/>
        <w:rPr>
          <w:sz w:val="20"/>
          <w:szCs w:val="20"/>
          <w:color w:val="auto"/>
        </w:rPr>
      </w:pPr>
    </w:p>
    <w:p>
      <w:pPr>
        <w:ind w:left="2000"/>
        <w:spacing w:after="0"/>
        <w:tabs>
          <w:tab w:leader="none" w:pos="300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20"/>
          <w:szCs w:val="20"/>
          <w:color w:val="auto"/>
        </w:rPr>
        <w:t>In the event of any request for a drawing under a Letter of Credit by the beneficiary or transferee</w:t>
      </w:r>
    </w:p>
    <w:p>
      <w:pPr>
        <w:spacing w:after="0" w:line="210" w:lineRule="auto"/>
        <w:rPr>
          <w:sz w:val="20"/>
          <w:szCs w:val="20"/>
          <w:color w:val="auto"/>
        </w:rPr>
      </w:pPr>
      <w:r>
        <w:rPr>
          <w:rFonts w:ascii="Times New Roman" w:cs="Times New Roman" w:eastAsia="Times New Roman" w:hAnsi="Times New Roman"/>
          <w:sz w:val="20"/>
          <w:szCs w:val="20"/>
          <w:color w:val="auto"/>
        </w:rPr>
        <w:t>thereof, the Issuing Lender will promptly notify the Borrower and the Administrative Agent thereof. Provided that it shall have received</w:t>
      </w:r>
    </w:p>
    <w:p>
      <w:pPr>
        <w:spacing w:after="0" w:line="210" w:lineRule="auto"/>
        <w:rPr>
          <w:sz w:val="20"/>
          <w:szCs w:val="20"/>
          <w:color w:val="auto"/>
        </w:rPr>
      </w:pPr>
      <w:r>
        <w:rPr>
          <w:rFonts w:ascii="Times New Roman" w:cs="Times New Roman" w:eastAsia="Times New Roman" w:hAnsi="Times New Roman"/>
          <w:sz w:val="20"/>
          <w:szCs w:val="20"/>
          <w:color w:val="auto"/>
        </w:rPr>
        <w:t>such notice, the Borrower shall reimburse (such obligation to reimburse the Issuing Lender shall sometimes be referred to as a</w:t>
      </w:r>
    </w:p>
    <w:p>
      <w:pPr>
        <w:spacing w:after="0" w:line="21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Obligation</w:t>
      </w:r>
      <w:r>
        <w:rPr>
          <w:rFonts w:ascii="Times New Roman" w:cs="Times New Roman" w:eastAsia="Times New Roman" w:hAnsi="Times New Roman"/>
          <w:sz w:val="20"/>
          <w:szCs w:val="20"/>
          <w:color w:val="auto"/>
        </w:rPr>
        <w:t>") the Issuing Lender prior to 12:00 noon on or prior to the first Business Day following each date that an</w:t>
      </w:r>
    </w:p>
    <w:p>
      <w:pPr>
        <w:spacing w:after="0"/>
        <w:rPr>
          <w:sz w:val="20"/>
          <w:szCs w:val="20"/>
          <w:color w:val="auto"/>
        </w:rPr>
      </w:pPr>
      <w:r>
        <w:rPr>
          <w:rFonts w:ascii="Times New Roman" w:cs="Times New Roman" w:eastAsia="Times New Roman" w:hAnsi="Times New Roman"/>
          <w:sz w:val="20"/>
          <w:szCs w:val="20"/>
          <w:color w:val="auto"/>
        </w:rPr>
        <w:t>amount is paid by the Issuing Lender under any Letter of Credit (each such date, a "</w:t>
      </w:r>
      <w:r>
        <w:rPr>
          <w:rFonts w:ascii="Times New Roman" w:cs="Times New Roman" w:eastAsia="Times New Roman" w:hAnsi="Times New Roman"/>
          <w:sz w:val="20"/>
          <w:szCs w:val="20"/>
          <w:b w:val="1"/>
          <w:bCs w:val="1"/>
          <w:color w:val="auto"/>
        </w:rPr>
        <w:t>Drawing Date</w:t>
      </w:r>
      <w:r>
        <w:rPr>
          <w:rFonts w:ascii="Times New Roman" w:cs="Times New Roman" w:eastAsia="Times New Roman" w:hAnsi="Times New Roman"/>
          <w:sz w:val="20"/>
          <w:szCs w:val="20"/>
          <w:color w:val="auto"/>
        </w:rPr>
        <w:t>") by paying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7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Agent for the account of the Issuing Lender an amount equal to the amount so paid by the Issuing Lender. In the event the Borrower fails to reimburse the Issuing Lender (through the Administrative Agent) for the full amount of any drawing under any Letter of Credit by 12:00 noon on the first Business Day following the Drawing Date, the Administrative Agent will promptly notify each Lender thereof, and the Borrower shall be deemed to have requested that Revolving Credit Loans be made by the Lenders under the Base Rate Option to be disbursed on the first Business Day following the Drawing Date under such Letter of Credit, subject to the amount of the unutilized portion of the Revolving Credit Commitment and subject to the conditions set forth in Section 7.2 [Each Loan or Letter of Credit] other than any notice requirements. Any notice given by the Administrative Agent or Issuing Lender pursuant to this Section 2.9.3.1 may be oral if immediately confirmed in writing; provided that the lack of such an immediate confirmation shall not affect the conclusiveness or binding effect of such notice.</w:t>
      </w:r>
    </w:p>
    <w:p>
      <w:pPr>
        <w:spacing w:after="0" w:line="141" w:lineRule="exact"/>
        <w:rPr>
          <w:sz w:val="20"/>
          <w:szCs w:val="20"/>
          <w:color w:val="auto"/>
        </w:rPr>
      </w:pPr>
    </w:p>
    <w:p>
      <w:pPr>
        <w:ind w:right="80" w:firstLine="1993"/>
        <w:spacing w:after="0" w:line="214" w:lineRule="auto"/>
        <w:rPr>
          <w:sz w:val="20"/>
          <w:szCs w:val="20"/>
          <w:color w:val="auto"/>
        </w:rPr>
      </w:pPr>
      <w:r>
        <w:rPr>
          <w:rFonts w:ascii="Times New Roman" w:cs="Times New Roman" w:eastAsia="Times New Roman" w:hAnsi="Times New Roman"/>
          <w:sz w:val="20"/>
          <w:szCs w:val="20"/>
          <w:color w:val="auto"/>
        </w:rPr>
        <w:t>1.1.1.2 Each Lender shall upon any notice pursuant to Section 2.9.3.1 make available to the Administrative Agent for the account of the Issuing Lender an amount in immediately available funds equal to its Ratable Share of the amount of the drawing, whereupon the participating Lenders shall (subject to Section 2.9.3 [Disbursements; Reimbursement]) each be deemed to have made a Revolving Credit Loan under the Base Rate Option to the Borrower in that amount. If any Lender so notified fails to make available to the Administrative Agent for the account of the Issuing Lender the amount of such Lender's Ratable Share of such amount by no later than 2:00 p.m. on the first Business Day following the Drawing Date, then interest shall accrue on such Lender's obligation to make such payment, from the first Business Day following the Drawing Date to the date on which such Lender makes such payment (i) at a rate per annum equal to the Federal Funds Effective Rate during the first three (3) days following the first Business Day after the Drawing Date and (ii) at a rate per annum equal to the rate applicable to Revolving Credit Loans under the Base Rate Option on and after the fourth day following the first Business Day after the Drawing Date. The Administrative Agent and the Issuing Lender will promptly give notice (as described in Section 2.9.3.1 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Section 2.9.3.2 (provided, that any Lender’s obligation under this Section 2.9.3.2 shall not commence until it receives notice from the Administrative Agent in accordance with Section 2.9.3.1).</w:t>
      </w:r>
    </w:p>
    <w:p>
      <w:pPr>
        <w:spacing w:after="0" w:line="148" w:lineRule="exact"/>
        <w:rPr>
          <w:sz w:val="20"/>
          <w:szCs w:val="20"/>
          <w:color w:val="auto"/>
        </w:rPr>
      </w:pPr>
    </w:p>
    <w:p>
      <w:pPr>
        <w:ind w:right="100" w:firstLine="1993"/>
        <w:spacing w:after="0" w:line="217" w:lineRule="auto"/>
        <w:rPr>
          <w:sz w:val="20"/>
          <w:szCs w:val="20"/>
          <w:color w:val="auto"/>
        </w:rPr>
      </w:pPr>
      <w:r>
        <w:rPr>
          <w:rFonts w:ascii="Times New Roman" w:cs="Times New Roman" w:eastAsia="Times New Roman" w:hAnsi="Times New Roman"/>
          <w:sz w:val="20"/>
          <w:szCs w:val="20"/>
          <w:color w:val="auto"/>
        </w:rPr>
        <w:t>1.1.1.3 With respect to any unreimbursed drawing that is not converted into Revolving Credit Loans under the Base Rate Option to the Borrower in whole or in part as contemplated by Section 2.9.3.1, because of the Borrower's failure to satisfy the conditions set forth in Section 7.2 [Each Loan or Letter of Credit] other than any notice requirements, or for any other reason, the Borrower shall be deemed to have incurred from the Issuing Lender a borrowing (each a "</w:t>
      </w:r>
      <w:r>
        <w:rPr>
          <w:rFonts w:ascii="Times New Roman" w:cs="Times New Roman" w:eastAsia="Times New Roman" w:hAnsi="Times New Roman"/>
          <w:sz w:val="20"/>
          <w:szCs w:val="20"/>
          <w:b w:val="1"/>
          <w:bCs w:val="1"/>
          <w:color w:val="auto"/>
        </w:rPr>
        <w:t>Letter of Credit Borrowing</w:t>
      </w:r>
      <w:r>
        <w:rPr>
          <w:rFonts w:ascii="Times New Roman" w:cs="Times New Roman" w:eastAsia="Times New Roman" w:hAnsi="Times New Roman"/>
          <w:sz w:val="20"/>
          <w:szCs w:val="20"/>
          <w:color w:val="auto"/>
        </w:rPr>
        <w:t>") in the amount of such drawing. Such Letter of Credit Borrowing shall be due and payable on demand (together with interest) and shall bear interest at the rate per annum applicable to the Revolving Credit Loans under the Base Rate Option. Each Lender's payment to the Administrative Agent for the account of the Issuing Lender pursuant to Section 2.9.3 [Disbursements, Reimbursement] shall be deemed to be a payment in respect of its participation in such Letter of Credit Borrowing (each a "</w:t>
      </w:r>
      <w:r>
        <w:rPr>
          <w:rFonts w:ascii="Times New Roman" w:cs="Times New Roman" w:eastAsia="Times New Roman" w:hAnsi="Times New Roman"/>
          <w:sz w:val="20"/>
          <w:szCs w:val="20"/>
          <w:b w:val="1"/>
          <w:bCs w:val="1"/>
          <w:color w:val="auto"/>
        </w:rPr>
        <w:t>Participation Advance</w:t>
      </w:r>
      <w:r>
        <w:rPr>
          <w:rFonts w:ascii="Times New Roman" w:cs="Times New Roman" w:eastAsia="Times New Roman" w:hAnsi="Times New Roman"/>
          <w:sz w:val="20"/>
          <w:szCs w:val="20"/>
          <w:color w:val="auto"/>
        </w:rPr>
        <w:t>") from such Lender in satisfaction of its participation obligation under this Section 2.9.3.</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1.1.ivRepayment of Participation Advances.</w:t>
      </w:r>
    </w:p>
    <w:p>
      <w:pPr>
        <w:spacing w:after="0" w:line="173" w:lineRule="exact"/>
        <w:rPr>
          <w:sz w:val="20"/>
          <w:szCs w:val="20"/>
          <w:color w:val="auto"/>
        </w:rPr>
      </w:pPr>
    </w:p>
    <w:p>
      <w:pPr>
        <w:ind w:firstLine="1993"/>
        <w:spacing w:after="0" w:line="230" w:lineRule="auto"/>
        <w:rPr>
          <w:sz w:val="20"/>
          <w:szCs w:val="20"/>
          <w:color w:val="auto"/>
        </w:rPr>
      </w:pPr>
      <w:r>
        <w:rPr>
          <w:rFonts w:ascii="Times New Roman" w:cs="Times New Roman" w:eastAsia="Times New Roman" w:hAnsi="Times New Roman"/>
          <w:sz w:val="20"/>
          <w:szCs w:val="20"/>
          <w:color w:val="auto"/>
        </w:rPr>
        <w:t>1.1.1.1 Upon (and only upon) receipt by the Administrative Agent for the account of the Issuing Lender of immediately available funds from the Borrower (i) in reimbursement of any payment made by the Issuing Lender under the Letter of Credit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71"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20"/>
          <w:szCs w:val="20"/>
          <w:color w:val="auto"/>
        </w:rPr>
        <w:t>respect to which any Lender has made a Participation Advance to the Administrative Agent, or (ii)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spacing w:after="0" w:line="144" w:lineRule="exact"/>
        <w:rPr>
          <w:sz w:val="20"/>
          <w:szCs w:val="20"/>
          <w:color w:val="auto"/>
        </w:rPr>
      </w:pPr>
    </w:p>
    <w:p>
      <w:pPr>
        <w:ind w:right="60" w:firstLine="1993"/>
        <w:spacing w:after="0" w:line="219" w:lineRule="auto"/>
        <w:rPr>
          <w:sz w:val="20"/>
          <w:szCs w:val="20"/>
          <w:color w:val="auto"/>
        </w:rPr>
      </w:pPr>
      <w:r>
        <w:rPr>
          <w:rFonts w:ascii="Times New Roman" w:cs="Times New Roman" w:eastAsia="Times New Roman" w:hAnsi="Times New Roman"/>
          <w:sz w:val="20"/>
          <w:szCs w:val="20"/>
          <w:color w:val="auto"/>
        </w:rPr>
        <w:t>1.1.1.2 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Section in reimbursement of a payment made under any Letter of Credit or interest or fees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Federal Funds Effective Rate in effect from time to time.</w:t>
      </w:r>
    </w:p>
    <w:p>
      <w:pPr>
        <w:spacing w:after="0" w:line="1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1.1.vDocumentation.</w:t>
      </w:r>
    </w:p>
    <w:p>
      <w:pPr>
        <w:spacing w:after="0" w:line="173"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color w:val="auto"/>
        </w:rPr>
        <w:t>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1.1.viDeterminations to Honor Drawing Requests.</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color w:val="auto"/>
        </w:rPr>
        <w:t>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1.1.viiNature of Participation and Reimbursement Obligations.</w:t>
      </w:r>
    </w:p>
    <w:p>
      <w:pPr>
        <w:spacing w:after="0" w:line="173" w:lineRule="exact"/>
        <w:rPr>
          <w:sz w:val="20"/>
          <w:szCs w:val="20"/>
          <w:color w:val="auto"/>
        </w:rPr>
      </w:pPr>
    </w:p>
    <w:p>
      <w:pPr>
        <w:jc w:val="both"/>
        <w:ind w:left="1200"/>
        <w:spacing w:after="0" w:line="222" w:lineRule="auto"/>
        <w:rPr>
          <w:sz w:val="20"/>
          <w:szCs w:val="20"/>
          <w:color w:val="auto"/>
        </w:rPr>
      </w:pPr>
      <w:r>
        <w:rPr>
          <w:rFonts w:ascii="Times New Roman" w:cs="Times New Roman" w:eastAsia="Times New Roman" w:hAnsi="Times New Roman"/>
          <w:sz w:val="20"/>
          <w:szCs w:val="20"/>
          <w:color w:val="auto"/>
        </w:rPr>
        <w:t>Each Lender's obligation in accordance with this Agreement to make the Revolving Credit Loans or Participation Advances, as contemplated by Section 2.9.3 [Disbursements, Reimbursement], as a result of a drawing under a Letter of Credit, and the Obligations of the Borrower to reimburse the Issuing Lender upon a draw under a Letter of Credit, shall be absolute, unconditional and irrevocable, and shall be performed strictly in accordance with the terms of this Section 2.9 under all circumstances, including the following circumstances:</w:t>
      </w:r>
    </w:p>
    <w:p>
      <w:pPr>
        <w:spacing w:after="0" w:line="144" w:lineRule="exact"/>
        <w:rPr>
          <w:sz w:val="20"/>
          <w:szCs w:val="20"/>
          <w:color w:val="auto"/>
        </w:rPr>
      </w:pPr>
    </w:p>
    <w:p>
      <w:pPr>
        <w:ind w:right="340" w:firstLine="1993"/>
        <w:spacing w:after="0" w:line="230" w:lineRule="auto"/>
        <w:tabs>
          <w:tab w:leader="none" w:pos="240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set-off, counterclaim, recoupment, defense or other right which such Lender may have against the Issuing Lender or any of its Affiliates, the Borrower or any other Person for any reason whatsoever, or which any Loan Party may have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Issuing Lender or any of its Affiliates, any Lender or any other Person for any reason whatsoever;</w:t>
      </w:r>
    </w:p>
    <w:p>
      <w:pPr>
        <w:spacing w:after="0" w:line="173" w:lineRule="exact"/>
        <w:rPr>
          <w:sz w:val="20"/>
          <w:szCs w:val="20"/>
          <w:color w:val="auto"/>
        </w:rPr>
      </w:pPr>
    </w:p>
    <w:p>
      <w:pPr>
        <w:ind w:firstLine="1993"/>
        <w:spacing w:after="0" w:line="220" w:lineRule="auto"/>
        <w:tabs>
          <w:tab w:leader="none" w:pos="240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Loan Party or any other Person to comply, in connection with a Letter of Credit Borrowing, with the conditions set forth in Sections 2.1 [Revolving Credit Commitments], 2.5 [Revolving Credit Loan Requests; Swing Loan Requests], 2.6 [Making Revolving Credit Loans and Swing Loans; Etc.] or 7.2 [Each Loan or Letter of Credit] or as otherwise set forth in this Agreement for the making of a Revolving Credit Loan, it being acknowledged that such conditions are not required for the making of a Letter of Credit Borrowing and the obligation of the Lenders to make Participation Advances under Section 2.9.3 [Disbursements, Reimbursement];</w:t>
      </w:r>
    </w:p>
    <w:p>
      <w:pPr>
        <w:spacing w:after="0" w:line="144"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any Letter of Credit;</w:t>
      </w:r>
    </w:p>
    <w:p>
      <w:pPr>
        <w:spacing w:after="0" w:line="172" w:lineRule="exact"/>
        <w:rPr>
          <w:rFonts w:ascii="Times New Roman" w:cs="Times New Roman" w:eastAsia="Times New Roman" w:hAnsi="Times New Roman"/>
          <w:sz w:val="20"/>
          <w:szCs w:val="20"/>
          <w:color w:val="auto"/>
        </w:rPr>
      </w:pPr>
    </w:p>
    <w:p>
      <w:pPr>
        <w:ind w:right="20" w:firstLine="1993"/>
        <w:spacing w:after="0" w:line="219" w:lineRule="auto"/>
        <w:tabs>
          <w:tab w:leader="none" w:pos="240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of breach of warranty that might be made by any Loan Party or any Lender against any beneficiary of a Letter of Credit, or the existence of any claim, set-off, recoupment, counterclaim, crossclaim,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spacing w:after="0" w:line="141" w:lineRule="exact"/>
        <w:rPr>
          <w:rFonts w:ascii="Times New Roman" w:cs="Times New Roman" w:eastAsia="Times New Roman" w:hAnsi="Times New Roman"/>
          <w:sz w:val="20"/>
          <w:szCs w:val="20"/>
          <w:color w:val="auto"/>
        </w:rPr>
      </w:pPr>
    </w:p>
    <w:p>
      <w:pPr>
        <w:ind w:right="80" w:firstLine="1993"/>
        <w:spacing w:after="0" w:line="222" w:lineRule="auto"/>
        <w:tabs>
          <w:tab w:leader="none" w:pos="240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144" w:lineRule="exact"/>
        <w:rPr>
          <w:rFonts w:ascii="Times New Roman" w:cs="Times New Roman" w:eastAsia="Times New Roman" w:hAnsi="Times New Roman"/>
          <w:sz w:val="20"/>
          <w:szCs w:val="20"/>
          <w:color w:val="auto"/>
        </w:rPr>
      </w:pPr>
    </w:p>
    <w:p>
      <w:pPr>
        <w:ind w:right="340" w:firstLine="1993"/>
        <w:spacing w:after="0" w:line="242" w:lineRule="auto"/>
        <w:tabs>
          <w:tab w:leader="none" w:pos="240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Issuing Lender or any of its Affiliates under any Letter of Credit against presentation of a demand, draft or certificate or other document which does not comply with the terms of such Letter of Credit;</w:t>
      </w:r>
    </w:p>
    <w:p>
      <w:pPr>
        <w:spacing w:after="0" w:line="140" w:lineRule="exact"/>
        <w:rPr>
          <w:rFonts w:ascii="Times New Roman" w:cs="Times New Roman" w:eastAsia="Times New Roman" w:hAnsi="Times New Roman"/>
          <w:sz w:val="20"/>
          <w:szCs w:val="20"/>
          <w:color w:val="auto"/>
        </w:rPr>
      </w:pPr>
    </w:p>
    <w:p>
      <w:pPr>
        <w:ind w:right="340" w:firstLine="1993"/>
        <w:spacing w:after="0" w:line="230" w:lineRule="auto"/>
        <w:tabs>
          <w:tab w:leader="none" w:pos="240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43" w:lineRule="exact"/>
        <w:rPr>
          <w:rFonts w:ascii="Times New Roman" w:cs="Times New Roman" w:eastAsia="Times New Roman" w:hAnsi="Times New Roman"/>
          <w:sz w:val="20"/>
          <w:szCs w:val="20"/>
          <w:color w:val="auto"/>
        </w:rPr>
      </w:pPr>
    </w:p>
    <w:p>
      <w:pPr>
        <w:ind w:right="20" w:firstLine="1993"/>
        <w:spacing w:after="0" w:line="225" w:lineRule="auto"/>
        <w:tabs>
          <w:tab w:leader="none" w:pos="240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Issuing Lender or any of its Affiliates to issue any Letter of Credit in the form requested by any Loan Party, unless the Issuing Lender has received written notice from such Loan Party of such failure within three Business Days after the Issuing Lender shall have furnished such Loan Party and the Administrative Agent a copy of such Letter of Credit and such error is material and no drawing has been made thereon prior to receipt of such notice;</w:t>
      </w:r>
    </w:p>
    <w:p>
      <w:pPr>
        <w:spacing w:after="0" w:line="143" w:lineRule="exact"/>
        <w:rPr>
          <w:rFonts w:ascii="Times New Roman" w:cs="Times New Roman" w:eastAsia="Times New Roman" w:hAnsi="Times New Roman"/>
          <w:sz w:val="20"/>
          <w:szCs w:val="20"/>
          <w:color w:val="auto"/>
        </w:rPr>
      </w:pPr>
    </w:p>
    <w:p>
      <w:pPr>
        <w:ind w:right="580" w:firstLine="1993"/>
        <w:spacing w:after="0" w:line="242" w:lineRule="auto"/>
        <w:tabs>
          <w:tab w:leader="none" w:pos="240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business, operations, properties, assets, condition (financial or otherwise) or prospects of any Loan Party or Subsidiaries of a Loan Party;</w:t>
      </w:r>
    </w:p>
    <w:p>
      <w:pPr>
        <w:spacing w:after="0" w:line="140"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this Agreement or any other Loan Document by any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71" w:lineRule="exact"/>
        <w:rPr>
          <w:sz w:val="20"/>
          <w:szCs w:val="20"/>
          <w:color w:val="auto"/>
        </w:rPr>
      </w:pPr>
    </w:p>
    <w:p>
      <w:pPr>
        <w:ind w:left="2400" w:hanging="407"/>
        <w:spacing w:after="0"/>
        <w:tabs>
          <w:tab w:leader="none" w:pos="24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continuance of an Insolvency Proceeding with respect to any Loan Party;</w:t>
      </w:r>
    </w:p>
    <w:p>
      <w:pPr>
        <w:spacing w:after="0" w:line="172"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an Event of Default or a Potential Default shall have occurred and be continuing;</w:t>
      </w:r>
    </w:p>
    <w:p>
      <w:pPr>
        <w:spacing w:after="0" w:line="165"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the Expiration Date shall have passed or this Agreement or the Commitments hereunder shall</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terminated; and</w:t>
      </w:r>
    </w:p>
    <w:p>
      <w:pPr>
        <w:spacing w:after="0" w:line="150"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1.1.viiiIndemnity.</w:t>
      </w:r>
    </w:p>
    <w:p>
      <w:pPr>
        <w:spacing w:after="0" w:line="173"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color w:val="auto"/>
        </w:rPr>
        <w:t>The Borrower hereby agrees to protect, indemnify, pay and save harmless the Issuing Lender and any of its Affiliates that has issued a Letter of Credit from and against any and all claims, demands, liabilities, damages, penalties, interest, judgments, losses, costs, charges and expenses (including reasonable fees, expenses and disbursements of counsel) which the Issuing Lender or any of its Affiliates may incur or be subject to as a consequence, direct or indirect, of the issuance of any Letter of Credit, other than as a result of the gross negligence or willful misconduct of the Issuing Lender as determined by a final non-appealable judgment of a court of competent jurisdiction. This Section 2.9.8 [Indemnity] shall not apply to Taxes other than any Taxes that represent losses, claims, damages, etc. arising from any non-Tax claim.</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1.1.ixLiability for Acts and Omissions.</w:t>
      </w:r>
    </w:p>
    <w:p>
      <w:pPr>
        <w:spacing w:after="0" w:line="173" w:lineRule="exact"/>
        <w:rPr>
          <w:sz w:val="20"/>
          <w:szCs w:val="20"/>
          <w:color w:val="auto"/>
        </w:rPr>
      </w:pPr>
    </w:p>
    <w:p>
      <w:pPr>
        <w:jc w:val="both"/>
        <w:ind w:left="1200"/>
        <w:spacing w:after="0" w:line="213" w:lineRule="auto"/>
        <w:rPr>
          <w:sz w:val="20"/>
          <w:szCs w:val="20"/>
          <w:color w:val="auto"/>
        </w:rPr>
      </w:pPr>
      <w:r>
        <w:rPr>
          <w:rFonts w:ascii="Times New Roman" w:cs="Times New Roman" w:eastAsia="Times New Roman" w:hAnsi="Times New Roman"/>
          <w:sz w:val="20"/>
          <w:szCs w:val="20"/>
          <w:color w:val="auto"/>
        </w:rPr>
        <w:t>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71" w:lineRule="exact"/>
        <w:rPr>
          <w:sz w:val="20"/>
          <w:szCs w:val="20"/>
          <w:color w:val="auto"/>
        </w:rPr>
      </w:pPr>
    </w:p>
    <w:p>
      <w:pPr>
        <w:jc w:val="both"/>
        <w:ind w:left="1000" w:firstLine="8"/>
        <w:spacing w:after="0" w:line="217" w:lineRule="auto"/>
        <w:tabs>
          <w:tab w:leader="none" w:pos="149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In no event shall the 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spacing w:after="0" w:line="148"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color w:val="auto"/>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56"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 or any Lender.</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1.1.xIssuing Lender Reporting Requirements.</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Each Issuing Lender shall, on the first Business Day of each month, provide to Administrative Agent and Borrower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040"/>
          </w:cols>
          <w:pgMar w:left="520" w:top="1440" w:right="339" w:bottom="1440" w:gutter="0" w:footer="0" w:header="0"/>
        </w:sectPr>
      </w:pPr>
    </w:p>
    <w:bookmarkStart w:id="139" w:name="page140"/>
    <w:bookmarkEnd w:id="139"/>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1.1.xiLetters of Credit Issued for other Loan Parties.</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Notwithstanding that a Letter of Credit issued or outstanding hereunder is in support of any obligations of, or is for the account of, a Loan Party other than the Borrower or any Subsidiary of the Borrower, the Borrower shall be obligated to reimburse the Issuing Lender hereunder for any and all drawings under such Letter of Credit. The Borrower hereby acknowledges that the issuance of Letters of Credit for the account of other Loan Parties and Subsidiaries of the Borrower inures to the benefit of the Borrower, and that the Borrower’s business derives substantial benefits from the businesses of such other Loan Parties and such other Subsidiaries.</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1.j</w:t>
      </w:r>
      <w:r>
        <w:rPr>
          <w:sz w:val="20"/>
          <w:szCs w:val="20"/>
          <w:color w:val="auto"/>
        </w:rPr>
        <w:tab/>
      </w:r>
      <w:r>
        <w:rPr>
          <w:rFonts w:ascii="Times New Roman" w:cs="Times New Roman" w:eastAsia="Times New Roman" w:hAnsi="Times New Roman"/>
          <w:sz w:val="20"/>
          <w:szCs w:val="20"/>
          <w:color w:val="auto"/>
        </w:rPr>
        <w:t>Additional Commitment.</w:t>
      </w:r>
    </w:p>
    <w:p>
      <w:pPr>
        <w:spacing w:after="0" w:line="173" w:lineRule="exact"/>
        <w:rPr>
          <w:sz w:val="20"/>
          <w:szCs w:val="20"/>
          <w:color w:val="auto"/>
        </w:rPr>
      </w:pPr>
    </w:p>
    <w:p>
      <w:pPr>
        <w:ind w:left="-200" w:firstLine="1993"/>
        <w:spacing w:after="0" w:line="212" w:lineRule="auto"/>
        <w:tabs>
          <w:tab w:leader="none" w:pos="220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the Borrower may at any time or from time to time during the term of this Agreement, request to add one or more additional revolving credit commitments (each, an "</w:t>
      </w:r>
      <w:r>
        <w:rPr>
          <w:rFonts w:ascii="Times New Roman" w:cs="Times New Roman" w:eastAsia="Times New Roman" w:hAnsi="Times New Roman"/>
          <w:sz w:val="20"/>
          <w:szCs w:val="20"/>
          <w:b w:val="1"/>
          <w:bCs w:val="1"/>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 immediately prior to and after giving effect to such Additional Commitment (and the making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loans pursuant thereto), (i) no Event of Default or Potential Default has occurred or is continuing or shall result therefrom and (ii) the Loan Parties shall be in pro forma compliance (including giving pro forma effect to such Additional Commitment and the making of any loans pursuant thereto) with the covenant contained in Section 8.2.14 [Maximum Consolidated Leverage Ratio], (b) the Borrower shall deliver to the Administrative Agent prior to the closing of such Additional Commitment a Compliance Certificate as of the date of the closing of such Additional Commitment, such Compliance Certificate to give effect to such Additional Commitment to be obtained pursuant to this Section 2.10, (c) any Additional Commitment shall rank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 right of payment and right of security in respect of the collateral (if any) with the Revolving Credit Loans, and (d) the Additional Commitments shall be in a minimum amount of $25,000,000 and shall not exceed in the aggregate for all Additional Commitments $100,000,000. Any additional bank, financial institution, existing Lender or other Person that elects to extend commitments to provide the Additional Commitment shall be reasonably satisfactory to the Borrower and, to the extent the Administrative Agent’s consent would be required under Section 11.8 [Successors and Assigns] for an assignment of Revolving Credit Commitments, as applicable, the Administrative Agent (any such bank, financial institution, existing Lender or other Person is an "</w:t>
      </w:r>
      <w:r>
        <w:rPr>
          <w:rFonts w:ascii="Times New Roman" w:cs="Times New Roman" w:eastAsia="Times New Roman" w:hAnsi="Times New Roman"/>
          <w:sz w:val="20"/>
          <w:szCs w:val="20"/>
          <w:b w:val="1"/>
          <w:bCs w:val="1"/>
          <w:color w:val="auto"/>
        </w:rPr>
        <w:t>Additional Lender</w:t>
      </w:r>
      <w:r>
        <w:rPr>
          <w:rFonts w:ascii="Times New Roman" w:cs="Times New Roman" w:eastAsia="Times New Roman" w:hAnsi="Times New Roman"/>
          <w:sz w:val="20"/>
          <w:szCs w:val="20"/>
          <w:color w:val="auto"/>
        </w:rPr>
        <w:t>") and shall become a Lender under this Agreement pursuant to an amendment (the "</w:t>
      </w:r>
      <w:r>
        <w:rPr>
          <w:rFonts w:ascii="Times New Roman" w:cs="Times New Roman" w:eastAsia="Times New Roman" w:hAnsi="Times New Roman"/>
          <w:sz w:val="20"/>
          <w:szCs w:val="20"/>
          <w:b w:val="1"/>
          <w:bCs w:val="1"/>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Facility Amendment</w:t>
      </w:r>
      <w:r>
        <w:rPr>
          <w:rFonts w:ascii="Times New Roman" w:cs="Times New Roman" w:eastAsia="Times New Roman" w:hAnsi="Times New Roman"/>
          <w:sz w:val="20"/>
          <w:szCs w:val="20"/>
          <w:color w:val="auto"/>
        </w:rPr>
        <w:t>") to this Agreement, giving effect to the modifications permitted by this Section 2.10, and, as appropriate,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Documents, executed by the Loan Parties, each Additional Lender, if any, and the Administrative Agent. Commitments in respect of the Additional Commitment shall become Commitments under this Agreement after giving effect to such Incremental Facility Amendment. Subject to the provisions of Section 11.1 [Modifications, Amendments and Waivers] requiring all Lender approval, the Incremental Facility Amendment may, without the consent of any other Lenders, effect such amendments to this Agreement and the other Loan Documents as may be reasonably necessary or appropriate, in the opinion of the Administrative Agent, to effect the provisions of this Section 2.10, and shall be, to the extent not consistent with the then-existing Loan Documents, reasonably satisfactory to the Administrative Agent. The effectiveness of any Incremental Facility Amendment shall be subject to the satisfaction on the date thereof (the "</w:t>
      </w:r>
      <w:r>
        <w:rPr>
          <w:rFonts w:ascii="Times New Roman" w:cs="Times New Roman" w:eastAsia="Times New Roman" w:hAnsi="Times New Roman"/>
          <w:sz w:val="20"/>
          <w:szCs w:val="20"/>
          <w:b w:val="1"/>
          <w:bCs w:val="1"/>
          <w:color w:val="auto"/>
        </w:rPr>
        <w:t>Incremental Facility Closing Date</w:t>
      </w:r>
      <w:r>
        <w:rPr>
          <w:rFonts w:ascii="Times New Roman" w:cs="Times New Roman" w:eastAsia="Times New Roman" w:hAnsi="Times New Roman"/>
          <w:sz w:val="20"/>
          <w:szCs w:val="20"/>
          <w:color w:val="auto"/>
        </w:rPr>
        <w:t>") of each of the applicable conditions (as reasonably determined by the Administrative Agent) set forth in Sections 7.1.1(ii) and 7.2 [Conditions of Lending and Issuance of Letters of Credit] (it being understood that all references to the Closing Date in such Section 7.1.1(ii) [Conditions of Lending and Issuance of Letters of Credit] shall be deemed to refer to the Incremental Facility Closing Date and (y) with respect to any Additional Commitment to finance a Permitted Acquisition, the conditions set forth in Sections 7.1.1(ii) and 7.2 [Conditions of Lending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040"/>
          </w:cols>
          <w:pgMar w:left="520" w:top="1440" w:right="339" w:bottom="1440" w:gutter="0" w:footer="0" w:header="0"/>
        </w:sectPr>
      </w:pPr>
    </w:p>
    <w:bookmarkStart w:id="140" w:name="page141"/>
    <w:bookmarkEnd w:id="140"/>
    <w:p>
      <w:pPr>
        <w:spacing w:after="0" w:line="7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Issuance of Letters of Credit] may be waived by the Lenders holding a majority in principal amount of the Additional Commitment without the consent of any other Lender, provided that the accuracy of the Specified Representations may not be waived without the consent of the Required Lenders), and except as otherwise specified in the Incremental Facility Amendment, the Administrative Agent shall have received legal opinions, board resolutions and other closing documents and certificates reasonably requested by the Administrative Agent and consistent with those delivered on the Closing Date under Sections 7.1.1(ii) and 7.2 [Conditions of Lending and Issuance of Letters of Credit]. The proceeds of the Additional Commitment may be used in accordance with Section 2.8 [Use of Proceeds] but not for any purpose otherwise prohibited hereunder. Notwithstanding anything to the contrary in this Section 2.10, no existing Lender shall be obligated to provide Additional Commitments.</w:t>
      </w:r>
    </w:p>
    <w:p>
      <w:pPr>
        <w:spacing w:after="0" w:line="148" w:lineRule="exact"/>
        <w:rPr>
          <w:sz w:val="20"/>
          <w:szCs w:val="20"/>
          <w:color w:val="auto"/>
        </w:rPr>
      </w:pPr>
    </w:p>
    <w:p>
      <w:pPr>
        <w:ind w:left="2400" w:hanging="407"/>
        <w:spacing w:after="0"/>
        <w:tabs>
          <w:tab w:leader="none" w:pos="24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Outstanding Revolving Credit Loans and Letters of Credit</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right="180" w:firstLine="2383"/>
        <w:spacing w:after="0" w:line="222" w:lineRule="auto"/>
        <w:tabs>
          <w:tab w:leader="none" w:pos="301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Outstanding Loans</w:t>
      </w:r>
      <w:r>
        <w:rPr>
          <w:rFonts w:ascii="Times New Roman" w:cs="Times New Roman" w:eastAsia="Times New Roman" w:hAnsi="Times New Roman"/>
          <w:sz w:val="20"/>
          <w:szCs w:val="20"/>
          <w:color w:val="auto"/>
        </w:rPr>
        <w:t>. On the effective date of each Additional Commitment, the Borrower shall either repay or be deemed to have repaid all Revolving Credit Loans then outstanding (as required by the Administrative Agent in its reasonable discretion) and borrowed new Revolving Credit Loans with a Borrowing Date on such date so that each of the Lenders shall participate in any Revolving Credit Loans made (or deemed made) on or after such date in accordance with their respective Ratable Shares after giving effect to the increase in Revolving Credit Commitments contemplated by this Section 2.10.</w:t>
      </w:r>
    </w:p>
    <w:p>
      <w:pPr>
        <w:spacing w:after="0" w:line="144" w:lineRule="exact"/>
        <w:rPr>
          <w:rFonts w:ascii="Times New Roman" w:cs="Times New Roman" w:eastAsia="Times New Roman" w:hAnsi="Times New Roman"/>
          <w:sz w:val="20"/>
          <w:szCs w:val="20"/>
          <w:color w:val="auto"/>
        </w:rPr>
      </w:pPr>
    </w:p>
    <w:p>
      <w:pPr>
        <w:jc w:val="both"/>
        <w:ind w:right="140" w:firstLine="2327"/>
        <w:spacing w:after="0" w:line="222" w:lineRule="auto"/>
        <w:tabs>
          <w:tab w:leader="none" w:pos="301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Outstanding Letters of Credit</w:t>
      </w:r>
      <w:r>
        <w:rPr>
          <w:rFonts w:ascii="Times New Roman" w:cs="Times New Roman" w:eastAsia="Times New Roman" w:hAnsi="Times New Roman"/>
          <w:sz w:val="20"/>
          <w:szCs w:val="20"/>
          <w:color w:val="auto"/>
        </w:rPr>
        <w:t>. On the effective date of each Additional Commitment, each existing Lender and any Additional Lender (i) will be deemed to have purchased a participation in each then outstanding Letter of Credit equal to its Ratable Share of such Letter of Credit and the participation of each other Lender in such Letter of Credit shall be adjusted accordingly and (ii) will acquire (and will pay to the Administrative Agent, for the account of each Lender, in immediately available funds, an amount equal to) its Ratable Share of all outstanding Participation Advances.</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1.k</w:t>
      </w:r>
      <w:r>
        <w:rPr>
          <w:sz w:val="20"/>
          <w:szCs w:val="20"/>
          <w:color w:val="auto"/>
        </w:rPr>
        <w:tab/>
      </w:r>
      <w:r>
        <w:rPr>
          <w:rFonts w:ascii="Times New Roman" w:cs="Times New Roman" w:eastAsia="Times New Roman" w:hAnsi="Times New Roman"/>
          <w:sz w:val="20"/>
          <w:szCs w:val="20"/>
          <w:color w:val="auto"/>
        </w:rPr>
        <w:t>Defaulting Lenders.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0000FF"/>
        </w:rPr>
        <w:t>1.1.iDefaulting Lender Adjustments.</w:t>
      </w:r>
    </w:p>
    <w:p>
      <w:pPr>
        <w:spacing w:after="0" w:line="173" w:lineRule="exact"/>
        <w:rPr>
          <w:sz w:val="20"/>
          <w:szCs w:val="20"/>
          <w:color w:val="auto"/>
        </w:rPr>
      </w:pPr>
    </w:p>
    <w:p>
      <w:pPr>
        <w:jc w:val="both"/>
        <w:ind w:firstLine="604"/>
        <w:spacing w:after="0" w:line="230" w:lineRule="auto"/>
        <w:rPr>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color w:val="FF0000"/>
          <w:strike w:val="1"/>
        </w:rPr>
        <w:t>any provision of this Agreement</w:t>
      </w:r>
      <w:r>
        <w:rPr>
          <w:rFonts w:ascii="Times New Roman" w:cs="Times New Roman" w:eastAsia="Times New Roman" w:hAnsi="Times New Roman"/>
          <w:sz w:val="20"/>
          <w:szCs w:val="20"/>
          <w:u w:val="single" w:color="auto"/>
          <w:color w:val="0000FF"/>
        </w:rPr>
        <w:t>anything</w:t>
      </w:r>
      <w:r>
        <w:rPr>
          <w:rFonts w:ascii="Times New Roman" w:cs="Times New Roman" w:eastAsia="Times New Roman" w:hAnsi="Times New Roman"/>
          <w:sz w:val="20"/>
          <w:szCs w:val="20"/>
          <w:color w:val="auto"/>
        </w:rPr>
        <w:t xml:space="preserve"> to the contrary </w:t>
      </w:r>
      <w:r>
        <w:rPr>
          <w:rFonts w:ascii="Times New Roman" w:cs="Times New Roman" w:eastAsia="Times New Roman" w:hAnsi="Times New Roman"/>
          <w:sz w:val="20"/>
          <w:szCs w:val="20"/>
          <w:u w:val="single" w:color="auto"/>
          <w:color w:val="0000FF"/>
        </w:rPr>
        <w:t>contained in this Agreement</w:t>
      </w:r>
      <w:r>
        <w:rPr>
          <w:rFonts w:ascii="Times New Roman" w:cs="Times New Roman" w:eastAsia="Times New Roman" w:hAnsi="Times New Roman"/>
          <w:sz w:val="20"/>
          <w:szCs w:val="20"/>
          <w:color w:val="auto"/>
        </w:rPr>
        <w:t xml:space="preserve">, if any Lender becomes a Defaulting Lender, then </w:t>
      </w:r>
      <w:r>
        <w:rPr>
          <w:rFonts w:ascii="Times New Roman" w:cs="Times New Roman" w:eastAsia="Times New Roman" w:hAnsi="Times New Roman"/>
          <w:sz w:val="20"/>
          <w:szCs w:val="20"/>
          <w:color w:val="FF0000"/>
        </w:rPr>
        <w:t>the following provisions shall apply for so long</w:t>
      </w:r>
      <w:r>
        <w:rPr>
          <w:rFonts w:ascii="Times New Roman" w:cs="Times New Roman" w:eastAsia="Times New Roman" w:hAnsi="Times New Roman"/>
          <w:sz w:val="20"/>
          <w:szCs w:val="20"/>
          <w:u w:val="single" w:color="auto"/>
          <w:color w:val="0000FF"/>
        </w:rPr>
        <w:t>, until such time</w:t>
      </w:r>
      <w:r>
        <w:rPr>
          <w:rFonts w:ascii="Times New Roman" w:cs="Times New Roman" w:eastAsia="Times New Roman" w:hAnsi="Times New Roman"/>
          <w:sz w:val="20"/>
          <w:szCs w:val="20"/>
          <w:color w:val="auto"/>
        </w:rPr>
        <w:t xml:space="preserve"> as such Lender is </w:t>
      </w:r>
      <w:r>
        <w:rPr>
          <w:rFonts w:ascii="Times New Roman" w:cs="Times New Roman" w:eastAsia="Times New Roman" w:hAnsi="Times New Roman"/>
          <w:sz w:val="20"/>
          <w:szCs w:val="20"/>
          <w:u w:val="single" w:color="auto"/>
          <w:color w:val="0000FF"/>
        </w:rPr>
        <w:t>no longer</w:t>
      </w:r>
      <w:r>
        <w:rPr>
          <w:rFonts w:ascii="Times New Roman" w:cs="Times New Roman" w:eastAsia="Times New Roman" w:hAnsi="Times New Roman"/>
          <w:sz w:val="20"/>
          <w:szCs w:val="20"/>
          <w:color w:val="auto"/>
        </w:rPr>
        <w:t xml:space="preserve"> a Defaulting Lender</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to the extent permitted by applicable law</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-203200</wp:posOffset>
            </wp:positionV>
            <wp:extent cx="24968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124" w:lineRule="exact"/>
        <w:rPr>
          <w:sz w:val="20"/>
          <w:szCs w:val="20"/>
          <w:color w:val="auto"/>
        </w:rPr>
      </w:pPr>
    </w:p>
    <w:p>
      <w:pPr>
        <w:ind w:right="80" w:firstLine="1993"/>
        <w:spacing w:after="0" w:line="230" w:lineRule="auto"/>
        <w:tabs>
          <w:tab w:leader="none" w:pos="240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fees shall cease to accrue on the unfunded portion of the Commitment of such Defaulting Lender pursuant to Section 2.3 [Commitment Fees];</w:t>
      </w:r>
      <w:r>
        <w:rPr>
          <w:rFonts w:ascii="Times New Roman" w:cs="Times New Roman" w:eastAsia="Times New Roman" w:hAnsi="Times New Roman"/>
          <w:sz w:val="20"/>
          <w:szCs w:val="20"/>
          <w:u w:val="single" w:color="auto"/>
          <w:color w:val="0000FF"/>
          <w:strike w:val="1"/>
        </w:rPr>
        <w:t>Waivers and Amendments. Such Defaulting Lender’s right to approve or disapprove any amendment,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waiver or consent with respect to this Agreement shall be restricted as specified in the definition of Required Lenders.</w:t>
      </w:r>
    </w:p>
    <w:p>
      <w:pPr>
        <w:spacing w:after="0" w:line="143" w:lineRule="exact"/>
        <w:rPr>
          <w:rFonts w:ascii="Times New Roman" w:cs="Times New Roman" w:eastAsia="Times New Roman" w:hAnsi="Times New Roman"/>
          <w:sz w:val="20"/>
          <w:szCs w:val="20"/>
          <w:color w:val="auto"/>
        </w:rPr>
      </w:pPr>
    </w:p>
    <w:p>
      <w:pPr>
        <w:ind w:right="180" w:firstLine="1993"/>
        <w:spacing w:after="0" w:line="222" w:lineRule="auto"/>
        <w:tabs>
          <w:tab w:leader="none" w:pos="240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the Commitment and outstanding Loans of such Defaulting Lender shall not be included in determining whether the Required Lenders have taken or may take any action hereunder (including any consent to any amendment, waiver or other modification pursuant to Section 11.1 [Modifications, Amendments or Waivers]); provided, that this clause (ii) shall not apply to the vote of a Defaulting Lender in the case of an amendment, waiver or other modification requiring the consent of such Lender or each Lender directly affected thereby;</w:t>
      </w:r>
      <w:r>
        <w:rPr>
          <w:rFonts w:ascii="Times New Roman" w:cs="Times New Roman" w:eastAsia="Times New Roman" w:hAnsi="Times New Roman"/>
          <w:sz w:val="20"/>
          <w:szCs w:val="20"/>
          <w:u w:val="single" w:color="auto"/>
          <w:color w:val="0000FF"/>
          <w:strike w:val="1"/>
        </w:rPr>
        <w:t>Defaulting Lender Waterfall. Any payment of principal, interest, fees or other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7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0"/>
          <w:szCs w:val="20"/>
          <w:u w:val="single" w:color="auto"/>
          <w:color w:val="0000FF"/>
        </w:rPr>
        <w:t xml:space="preserve">received by the Administrative Agent for the account of such Defaulting Lender (whether voluntary or mandatory, at maturity, pursuant to Article 9 [Default] or otherwise) or received by the Administrative Agent from a Defaulting Lender pursuant to Section 9.2.3 [Set-off] shall be applied at such time or times as may be determined by the Administrative Agent as follows: </w:t>
      </w:r>
      <w:r>
        <w:rPr>
          <w:rFonts w:ascii="Times New Roman" w:cs="Times New Roman" w:eastAsia="Times New Roman" w:hAnsi="Times New Roman"/>
          <w:sz w:val="20"/>
          <w:szCs w:val="20"/>
          <w:i w:val="1"/>
          <w:iCs w:val="1"/>
          <w:u w:val="single" w:color="auto"/>
          <w:color w:val="0000FF"/>
        </w:rPr>
        <w:t>first</w:t>
      </w:r>
      <w:r>
        <w:rPr>
          <w:rFonts w:ascii="Times New Roman" w:cs="Times New Roman" w:eastAsia="Times New Roman" w:hAnsi="Times New Roman"/>
          <w:sz w:val="20"/>
          <w:szCs w:val="20"/>
          <w:u w:val="single" w:color="auto"/>
          <w:color w:val="0000FF"/>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u w:val="single" w:color="auto"/>
          <w:color w:val="0000FF"/>
        </w:rPr>
        <w:t>second</w:t>
      </w:r>
      <w:r>
        <w:rPr>
          <w:rFonts w:ascii="Times New Roman" w:cs="Times New Roman" w:eastAsia="Times New Roman" w:hAnsi="Times New Roman"/>
          <w:sz w:val="20"/>
          <w:szCs w:val="20"/>
          <w:u w:val="single" w:color="auto"/>
          <w:color w:val="0000FF"/>
        </w:rPr>
        <w:t xml:space="preserve">, to the payment on a pro rata basis of any amounts owing by such Defaulting Lender to any Issuing Lender or Swingline Loan Lender hereunder; </w:t>
      </w:r>
      <w:r>
        <w:rPr>
          <w:rFonts w:ascii="Times New Roman" w:cs="Times New Roman" w:eastAsia="Times New Roman" w:hAnsi="Times New Roman"/>
          <w:sz w:val="20"/>
          <w:szCs w:val="20"/>
          <w:i w:val="1"/>
          <w:iCs w:val="1"/>
          <w:u w:val="single" w:color="auto"/>
          <w:color w:val="0000FF"/>
        </w:rPr>
        <w:t>third</w:t>
      </w:r>
      <w:r>
        <w:rPr>
          <w:rFonts w:ascii="Times New Roman" w:cs="Times New Roman" w:eastAsia="Times New Roman" w:hAnsi="Times New Roman"/>
          <w:sz w:val="20"/>
          <w:szCs w:val="20"/>
          <w:u w:val="single" w:color="auto"/>
          <w:color w:val="0000FF"/>
        </w:rPr>
        <w:t xml:space="preserve">, to Cash Collateralize the Issuing Lender’s Fronting Exposure with respect to such Defaulting Lender in accordance with Section 5.7 [Cash Collateral]; </w:t>
      </w:r>
      <w:r>
        <w:rPr>
          <w:rFonts w:ascii="Times New Roman" w:cs="Times New Roman" w:eastAsia="Times New Roman" w:hAnsi="Times New Roman"/>
          <w:sz w:val="20"/>
          <w:szCs w:val="20"/>
          <w:i w:val="1"/>
          <w:iCs w:val="1"/>
          <w:u w:val="single" w:color="auto"/>
          <w:color w:val="0000FF"/>
        </w:rPr>
        <w:t>fourth</w:t>
      </w:r>
      <w:r>
        <w:rPr>
          <w:rFonts w:ascii="Times New Roman" w:cs="Times New Roman" w:eastAsia="Times New Roman" w:hAnsi="Times New Roman"/>
          <w:sz w:val="20"/>
          <w:szCs w:val="20"/>
          <w:u w:val="single" w:color="auto"/>
          <w:color w:val="0000FF"/>
        </w:rPr>
        <w:t xml:space="preserve">, as the Borrower may request (so long as no Potential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u w:val="single" w:color="auto"/>
          <w:color w:val="0000FF"/>
        </w:rPr>
        <w:t>fifth</w:t>
      </w:r>
      <w:r>
        <w:rPr>
          <w:rFonts w:ascii="Times New Roman" w:cs="Times New Roman" w:eastAsia="Times New Roman" w:hAnsi="Times New Roman"/>
          <w:sz w:val="20"/>
          <w:szCs w:val="20"/>
          <w:u w:val="single" w:color="auto"/>
          <w:color w:val="0000FF"/>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Section 5.7 [Cash Collateral]; </w:t>
      </w:r>
      <w:r>
        <w:rPr>
          <w:rFonts w:ascii="Times New Roman" w:cs="Times New Roman" w:eastAsia="Times New Roman" w:hAnsi="Times New Roman"/>
          <w:sz w:val="20"/>
          <w:szCs w:val="20"/>
          <w:i w:val="1"/>
          <w:iCs w:val="1"/>
          <w:u w:val="single" w:color="auto"/>
          <w:color w:val="0000FF"/>
        </w:rPr>
        <w:t>sixth</w:t>
      </w:r>
      <w:r>
        <w:rPr>
          <w:rFonts w:ascii="Times New Roman" w:cs="Times New Roman" w:eastAsia="Times New Roman" w:hAnsi="Times New Roman"/>
          <w:sz w:val="20"/>
          <w:szCs w:val="20"/>
          <w:u w:val="single" w:color="auto"/>
          <w:color w:val="0000FF"/>
        </w:rPr>
        <w:t xml:space="preserve">, to the payment of any amounts owing to the Lenders, the Issuing Lender or Swingline Loan Lender as a result of any judgment of a court of competent jurisdiction obtained by any Lender, the Issuing Lender or Swingline Loan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u w:val="single" w:color="auto"/>
          <w:color w:val="0000FF"/>
        </w:rPr>
        <w:t>seventh</w:t>
      </w:r>
      <w:r>
        <w:rPr>
          <w:rFonts w:ascii="Times New Roman" w:cs="Times New Roman" w:eastAsia="Times New Roman" w:hAnsi="Times New Roman"/>
          <w:sz w:val="20"/>
          <w:szCs w:val="20"/>
          <w:u w:val="single" w:color="auto"/>
          <w:color w:val="0000FF"/>
        </w:rPr>
        <w:t>, so long as no Potential Default or Event of Default exists, to the payment of any amounts owing to the Borrower as a result of any</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u w:val="single" w:color="auto"/>
          <w:color w:val="0000FF"/>
        </w:rPr>
        <w:t xml:space="preserve">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u w:val="single" w:color="auto"/>
          <w:color w:val="0000FF"/>
        </w:rPr>
        <w:t>eighth</w:t>
      </w:r>
      <w:r>
        <w:rPr>
          <w:rFonts w:ascii="Times New Roman" w:cs="Times New Roman" w:eastAsia="Times New Roman" w:hAnsi="Times New Roman"/>
          <w:sz w:val="20"/>
          <w:szCs w:val="20"/>
          <w:u w:val="single" w:color="auto"/>
          <w:color w:val="0000FF"/>
        </w:rPr>
        <w:t>, to such Defaulting Lender or as otherwise directed by a court of competent jurisdiction; provided that if (x) such payment is a payment of the principal amount of any Loans or Letter of Credit Borrowing in respect of which such Defaulting Lender has not fully funded its appropriate share, and (y) such Loans were made or the related Letters of Credit were issued at a time when the conditions specified in Section 7.2 [Each Loan or Letter of Credit] were satisfied or waived, such payment shall be applied solely to pay the Loans of, and Letter of Credit Borrowings owed to, all Non-Defaulting Lenders on a pro rata basis prior to being applied to the payment of any Loans of, or Letter of Credit Borrowing owed to, such Defaulting Lender until such time as all Loans and funded and unfunded participations in Letter of Credit Obligations and Swing Loans are held by the Lenders pro rata in accordance with the Commitments without giving effect to Section 2.11.1(iv) [Reallocation of Participation to Reduce Fronting Exposure]. Any payments, prepayments or other amounts paid or payable to a Defaulting Lender that are applied (or held) to pay amounts owed by a Defaulting Lender or to post Cash Collateral pursuant to this Section 2.11.1(ii) [Defaulting Lender Waterfall] shall be deemed paid to and redirected by such Defaulting Lender, and each Lender irrevocably consents hereto.</w:t>
      </w:r>
    </w:p>
    <w:p>
      <w:pPr>
        <w:spacing w:after="0" w:line="151" w:lineRule="exact"/>
        <w:rPr>
          <w:sz w:val="20"/>
          <w:szCs w:val="20"/>
          <w:color w:val="auto"/>
        </w:rPr>
      </w:pPr>
    </w:p>
    <w:p>
      <w:pPr>
        <w:ind w:right="740" w:firstLine="1993"/>
        <w:spacing w:after="0" w:line="242" w:lineRule="auto"/>
        <w:tabs>
          <w:tab w:leader="none" w:pos="240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 xml:space="preserve">if any Swing Loans are outstanding or any </w:t>
      </w:r>
      <w:r>
        <w:rPr>
          <w:rFonts w:ascii="Times New Roman" w:cs="Times New Roman" w:eastAsia="Times New Roman" w:hAnsi="Times New Roman"/>
          <w:sz w:val="20"/>
          <w:szCs w:val="20"/>
          <w:color w:val="00C000"/>
          <w:strike w:val="1"/>
        </w:rPr>
        <w:t>Letter of Credit Obligations</w:t>
      </w:r>
      <w:r>
        <w:rPr>
          <w:rFonts w:ascii="Times New Roman" w:cs="Times New Roman" w:eastAsia="Times New Roman" w:hAnsi="Times New Roman"/>
          <w:sz w:val="20"/>
          <w:szCs w:val="20"/>
          <w:color w:val="FF0000"/>
          <w:strike w:val="1"/>
        </w:rPr>
        <w:t xml:space="preserve"> exist at the time such Lender becomes a Defaulting Lender, then:</w:t>
      </w:r>
      <w:r>
        <w:rPr>
          <w:rFonts w:ascii="Times New Roman" w:cs="Times New Roman" w:eastAsia="Times New Roman" w:hAnsi="Times New Roman"/>
          <w:sz w:val="20"/>
          <w:szCs w:val="20"/>
          <w:u w:val="single" w:color="auto"/>
          <w:color w:val="0000FF"/>
          <w:strike w:val="1"/>
        </w:rPr>
        <w:t>Certain Fees.</w:t>
      </w:r>
    </w:p>
    <w:p>
      <w:pPr>
        <w:spacing w:after="0" w:line="140" w:lineRule="exact"/>
        <w:rPr>
          <w:rFonts w:ascii="Times New Roman" w:cs="Times New Roman" w:eastAsia="Times New Roman" w:hAnsi="Times New Roman"/>
          <w:sz w:val="20"/>
          <w:szCs w:val="20"/>
          <w:color w:val="auto"/>
        </w:rPr>
      </w:pPr>
    </w:p>
    <w:p>
      <w:pPr>
        <w:jc w:val="both"/>
        <w:ind w:right="160" w:firstLine="2383"/>
        <w:spacing w:after="0" w:line="230" w:lineRule="auto"/>
        <w:tabs>
          <w:tab w:leader="none" w:pos="3013" w:val="left"/>
        </w:tabs>
        <w:numPr>
          <w:ilvl w:val="1"/>
          <w:numId w:val="7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43" w:lineRule="exact"/>
        <w:rPr>
          <w:rFonts w:ascii="Times New Roman" w:cs="Times New Roman" w:eastAsia="Times New Roman" w:hAnsi="Times New Roman"/>
          <w:sz w:val="20"/>
          <w:szCs w:val="20"/>
          <w:u w:val="single" w:color="auto"/>
          <w:color w:val="0000FF"/>
        </w:rPr>
      </w:pPr>
    </w:p>
    <w:p>
      <w:pPr>
        <w:ind w:firstLine="2327"/>
        <w:spacing w:after="0" w:line="230" w:lineRule="auto"/>
        <w:tabs>
          <w:tab w:leader="none" w:pos="3013" w:val="left"/>
        </w:tabs>
        <w:numPr>
          <w:ilvl w:val="1"/>
          <w:numId w:val="7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Each Defaulting Lender shall be entitled to receive Letter of Credit Fees for any period during which that Lender is a Defaulting Lender only to the extent allocable to its Ratable Share of the stated amount of Letters of Credit for which it has provided Cash Collateral pursuant to Section 5.7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71" w:lineRule="exact"/>
        <w:rPr>
          <w:sz w:val="20"/>
          <w:szCs w:val="20"/>
          <w:color w:val="auto"/>
        </w:rPr>
      </w:pPr>
    </w:p>
    <w:p>
      <w:pPr>
        <w:ind w:left="-200" w:right="20" w:firstLine="2271"/>
        <w:spacing w:after="0" w:line="219" w:lineRule="auto"/>
        <w:tabs>
          <w:tab w:leader="none" w:pos="2813" w:val="left"/>
        </w:tabs>
        <w:numPr>
          <w:ilvl w:val="1"/>
          <w:numId w:val="7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With respect to any Commitment Fee or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w:t>
      </w:r>
      <w:r>
        <w:rPr>
          <w:rFonts w:ascii="Times New Roman" w:cs="Times New Roman" w:eastAsia="Times New Roman" w:hAnsi="Times New Roman"/>
          <w:sz w:val="20"/>
          <w:szCs w:val="20"/>
          <w:u w:val="single" w:color="auto"/>
          <w:color w:val="00C000"/>
        </w:rPr>
        <w:t>Letter of Credit Obligations</w:t>
      </w:r>
      <w:r>
        <w:rPr>
          <w:rFonts w:ascii="Times New Roman" w:cs="Times New Roman" w:eastAsia="Times New Roman" w:hAnsi="Times New Roman"/>
          <w:sz w:val="20"/>
          <w:szCs w:val="20"/>
          <w:u w:val="single" w:color="auto"/>
          <w:color w:val="0000FF"/>
        </w:rPr>
        <w:t xml:space="preserve"> or Swing Loans that has been reallocated to such Non-Defaulting Lender pursuant to clause (iv) below, (y) pay to each Issuing Lender and Swing Loan Lender, as applicable, the amount of any such fee otherwise payable to such Defaulting Lender to the extent allocable to such Issuing Lender’s or Swing Loan Lender’s Fronting Exposure to such Defaulting Lender, and (z) not be required to pay the remaining amount of any such fee.</w:t>
      </w:r>
    </w:p>
    <w:p>
      <w:pPr>
        <w:spacing w:after="0" w:line="141" w:lineRule="exact"/>
        <w:rPr>
          <w:rFonts w:ascii="Times New Roman" w:cs="Times New Roman" w:eastAsia="Times New Roman" w:hAnsi="Times New Roman"/>
          <w:sz w:val="20"/>
          <w:szCs w:val="20"/>
          <w:u w:val="single" w:color="auto"/>
          <w:color w:val="0000FF"/>
        </w:rPr>
      </w:pPr>
    </w:p>
    <w:p>
      <w:pPr>
        <w:ind w:left="-200" w:right="20" w:firstLine="1993"/>
        <w:spacing w:after="0" w:line="217" w:lineRule="auto"/>
        <w:tabs>
          <w:tab w:leader="none" w:pos="2203" w:val="left"/>
        </w:tabs>
        <w:numPr>
          <w:ilvl w:val="0"/>
          <w:numId w:val="7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(a) all</w:t>
      </w:r>
      <w:r>
        <w:rPr>
          <w:rFonts w:ascii="Times New Roman" w:cs="Times New Roman" w:eastAsia="Times New Roman" w:hAnsi="Times New Roman"/>
          <w:sz w:val="20"/>
          <w:szCs w:val="20"/>
          <w:u w:val="single" w:color="auto"/>
          <w:color w:val="0000FF"/>
        </w:rPr>
        <w:t>Reallocation of Participations to Reduce Fronting Exposure. All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any part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the outstanding Swing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Loans and</w:t>
      </w:r>
      <w:r>
        <w:rPr>
          <w:rFonts w:ascii="Times New Roman" w:cs="Times New Roman" w:eastAsia="Times New Roman" w:hAnsi="Times New Roman"/>
          <w:sz w:val="20"/>
          <w:szCs w:val="20"/>
          <w:u w:val="single" w:color="auto"/>
          <w:color w:val="0000FF"/>
        </w:rPr>
        <w:t>such Defaulting Lender’s participation 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Letter of Credit Obligations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of such Defaulting Lender</w:t>
      </w:r>
      <w:r>
        <w:rPr>
          <w:rFonts w:ascii="Times New Roman" w:cs="Times New Roman" w:eastAsia="Times New Roman" w:hAnsi="Times New Roman"/>
          <w:sz w:val="20"/>
          <w:szCs w:val="20"/>
          <w:u w:val="single" w:color="auto"/>
          <w:color w:val="0000FF"/>
        </w:rPr>
        <w:t>and Swing Loans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shall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reallocated among the </w:t>
      </w:r>
      <w:r>
        <w:rPr>
          <w:rFonts w:ascii="Times New Roman" w:cs="Times New Roman" w:eastAsia="Times New Roman" w:hAnsi="Times New Roman"/>
          <w:sz w:val="20"/>
          <w:szCs w:val="20"/>
          <w:color w:val="FF0000"/>
          <w:strike w:val="1"/>
        </w:rPr>
        <w:t>non</w:t>
      </w:r>
      <w:r>
        <w:rPr>
          <w:rFonts w:ascii="Times New Roman" w:cs="Times New Roman" w:eastAsia="Times New Roman" w:hAnsi="Times New Roman"/>
          <w:sz w:val="20"/>
          <w:szCs w:val="20"/>
          <w:u w:val="single" w:color="auto"/>
          <w:color w:val="0000FF"/>
        </w:rPr>
        <w:t>Non</w:t>
      </w:r>
      <w:r>
        <w:rPr>
          <w:rFonts w:ascii="Times New Roman" w:cs="Times New Roman" w:eastAsia="Times New Roman" w:hAnsi="Times New Roman"/>
          <w:sz w:val="20"/>
          <w:szCs w:val="20"/>
          <w:color w:val="000000"/>
        </w:rPr>
        <w:t xml:space="preserve">-Defaulting Lenders in accordance with their respective Ratable Shares </w:t>
      </w:r>
      <w:r>
        <w:rPr>
          <w:rFonts w:ascii="Times New Roman" w:cs="Times New Roman" w:eastAsia="Times New Roman" w:hAnsi="Times New Roman"/>
          <w:sz w:val="20"/>
          <w:szCs w:val="20"/>
          <w:u w:val="single" w:color="auto"/>
          <w:color w:val="0000FF"/>
        </w:rPr>
        <w:t>(calculated without regard to such</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Defaulting Lender’s Commitment)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but only to the extent that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(x)</w:t>
      </w:r>
      <w:r>
        <w:rPr>
          <w:rFonts w:ascii="Times New Roman" w:cs="Times New Roman" w:eastAsia="Times New Roman" w:hAnsi="Times New Roman"/>
          <w:sz w:val="20"/>
          <w:szCs w:val="20"/>
          <w:u w:val="single" w:color="auto"/>
          <w:color w:val="0000FF"/>
        </w:rPr>
        <w:t>such reallocation does not cause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aggregate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Revolving Facility Usage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does not</w:t>
      </w:r>
      <w:r>
        <w:rPr>
          <w:rFonts w:ascii="Times New Roman" w:cs="Times New Roman" w:eastAsia="Times New Roman" w:hAnsi="Times New Roman"/>
          <w:sz w:val="20"/>
          <w:szCs w:val="20"/>
          <w:u w:val="single" w:color="auto"/>
          <w:color w:val="0000FF"/>
        </w:rPr>
        <w:t>of any Non-Defaulting Lender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exceed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the total of all non</w:t>
      </w:r>
      <w:r>
        <w:rPr>
          <w:rFonts w:ascii="Times New Roman" w:cs="Times New Roman" w:eastAsia="Times New Roman" w:hAnsi="Times New Roman"/>
          <w:sz w:val="20"/>
          <w:szCs w:val="20"/>
          <w:u w:val="single" w:color="auto"/>
          <w:color w:val="0000FF"/>
        </w:rPr>
        <w:t>such Non</w:t>
      </w:r>
      <w:r>
        <w:rPr>
          <w:rFonts w:ascii="Times New Roman" w:cs="Times New Roman" w:eastAsia="Times New Roman" w:hAnsi="Times New Roman"/>
          <w:sz w:val="20"/>
          <w:szCs w:val="20"/>
          <w:color w:val="000000"/>
        </w:rPr>
        <w:t>-Defaulting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Lenders'</w:t>
      </w:r>
      <w:r>
        <w:rPr>
          <w:rFonts w:ascii="Times New Roman" w:cs="Times New Roman" w:eastAsia="Times New Roman" w:hAnsi="Times New Roman"/>
          <w:sz w:val="20"/>
          <w:szCs w:val="20"/>
          <w:u w:val="single" w:color="auto"/>
          <w:color w:val="0000FF"/>
        </w:rPr>
        <w:t>Lender’s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Revolving Credit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Commitments, and (y) no Potential Default</w:t>
      </w:r>
      <w:r>
        <w:rPr>
          <w:rFonts w:ascii="Times New Roman" w:cs="Times New Roman" w:eastAsia="Times New Roman" w:hAnsi="Times New Roman"/>
          <w:sz w:val="20"/>
          <w:szCs w:val="20"/>
          <w:u w:val="single" w:color="auto"/>
          <w:color w:val="0000FF"/>
          <w:strike w:val="1"/>
        </w:rPr>
        <w:t>Commitment. Subject to Section 11.13 [Acknowledgement and Consent to Bail-In of Affected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Financial Institutions], no reallocation hereunder shall constitute a waiver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or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Event</w:t>
      </w:r>
      <w:r>
        <w:rPr>
          <w:rFonts w:ascii="Times New Roman" w:cs="Times New Roman" w:eastAsia="Times New Roman" w:hAnsi="Times New Roman"/>
          <w:sz w:val="20"/>
          <w:szCs w:val="20"/>
          <w:u w:val="single" w:color="auto"/>
          <w:color w:val="0000FF"/>
          <w:strike w:val="1"/>
        </w:rPr>
        <w:t>release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of</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Default has occurred and is continuing at such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time;</w:t>
      </w:r>
      <w:r>
        <w:rPr>
          <w:rFonts w:ascii="Times New Roman" w:cs="Times New Roman" w:eastAsia="Times New Roman" w:hAnsi="Times New Roman"/>
          <w:sz w:val="20"/>
          <w:szCs w:val="20"/>
          <w:u w:val="single" w:color="auto"/>
          <w:color w:val="0000FF"/>
          <w:strike w:val="1"/>
        </w:rPr>
        <w:t>any claim of any party hereunder against a Defaulting Lender arising from that Lender having become a Defaulting Lender, including</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any claim of a Non-Defaulting Lender as a result of such Non-Defaulting Lender’s increased exposure following such reallocation.</w:t>
      </w:r>
    </w:p>
    <w:p>
      <w:pPr>
        <w:spacing w:after="0" w:line="141" w:lineRule="exact"/>
        <w:rPr>
          <w:rFonts w:ascii="Times New Roman" w:cs="Times New Roman" w:eastAsia="Times New Roman" w:hAnsi="Times New Roman"/>
          <w:sz w:val="20"/>
          <w:szCs w:val="20"/>
          <w:u w:val="single" w:color="auto"/>
          <w:color w:val="0000FF"/>
        </w:rPr>
      </w:pPr>
    </w:p>
    <w:p>
      <w:pPr>
        <w:ind w:left="-200" w:firstLine="1993"/>
        <w:spacing w:after="0" w:line="219" w:lineRule="auto"/>
        <w:tabs>
          <w:tab w:leader="none" w:pos="2205" w:val="left"/>
        </w:tabs>
        <w:numPr>
          <w:ilvl w:val="0"/>
          <w:numId w:val="7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strike w:val="1"/>
        </w:rPr>
        <w:t>(b) if</w:t>
      </w:r>
      <w:r>
        <w:rPr>
          <w:rFonts w:ascii="Times New Roman" w:cs="Times New Roman" w:eastAsia="Times New Roman" w:hAnsi="Times New Roman"/>
          <w:sz w:val="20"/>
          <w:szCs w:val="20"/>
          <w:u w:val="single" w:color="auto"/>
          <w:color w:val="0000FF"/>
        </w:rPr>
        <w:t>Cash Collateral, Repayment of Swing Loans. If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reallocation described in clause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iv</w:t>
      </w:r>
      <w:r>
        <w:rPr>
          <w:rFonts w:ascii="Times New Roman" w:cs="Times New Roman" w:eastAsia="Times New Roman" w:hAnsi="Times New Roman"/>
          <w:sz w:val="20"/>
          <w:szCs w:val="20"/>
          <w:color w:val="000000"/>
        </w:rPr>
        <w:t>) above cannot,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or can only partially, be effected, the Borrower shall </w:t>
      </w:r>
      <w:r>
        <w:rPr>
          <w:rFonts w:ascii="Times New Roman" w:cs="Times New Roman" w:eastAsia="Times New Roman" w:hAnsi="Times New Roman"/>
          <w:sz w:val="20"/>
          <w:szCs w:val="20"/>
          <w:color w:val="FF0000"/>
          <w:strike w:val="1"/>
        </w:rPr>
        <w:t>within one Business Day following notice by the Administrative Agent</w:t>
      </w:r>
      <w:r>
        <w:rPr>
          <w:rFonts w:ascii="Times New Roman" w:cs="Times New Roman" w:eastAsia="Times New Roman" w:hAnsi="Times New Roman"/>
          <w:sz w:val="20"/>
          <w:szCs w:val="20"/>
          <w:u w:val="single" w:color="auto"/>
          <w:color w:val="00C000"/>
        </w:rPr>
        <w:t>, without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C000"/>
        </w:rPr>
        <w:t>prejudice to any</w:t>
      </w:r>
      <w:r>
        <w:rPr>
          <w:rFonts w:ascii="Times New Roman" w:cs="Times New Roman" w:eastAsia="Times New Roman" w:hAnsi="Times New Roman"/>
          <w:sz w:val="20"/>
          <w:szCs w:val="20"/>
          <w:color w:val="00C000"/>
        </w:rPr>
        <w:t xml:space="preserve"> </w:t>
      </w:r>
      <w:r>
        <w:rPr>
          <w:rFonts w:ascii="Times New Roman" w:cs="Times New Roman" w:eastAsia="Times New Roman" w:hAnsi="Times New Roman"/>
          <w:sz w:val="20"/>
          <w:szCs w:val="20"/>
          <w:u w:val="single" w:color="auto"/>
          <w:color w:val="0000FF"/>
        </w:rPr>
        <w:t>right or remedy available to it hereunder or under Law,</w:t>
      </w:r>
      <w:r>
        <w:rPr>
          <w:rFonts w:ascii="Times New Roman" w:cs="Times New Roman" w:eastAsia="Times New Roman" w:hAnsi="Times New Roman"/>
          <w:sz w:val="20"/>
          <w:szCs w:val="20"/>
          <w:color w:val="00C000"/>
        </w:rPr>
        <w:t xml:space="preserve"> </w:t>
      </w:r>
      <w:r>
        <w:rPr>
          <w:rFonts w:ascii="Times New Roman" w:cs="Times New Roman" w:eastAsia="Times New Roman" w:hAnsi="Times New Roman"/>
          <w:sz w:val="20"/>
          <w:szCs w:val="20"/>
          <w:color w:val="000000"/>
        </w:rPr>
        <w:t>(x) first, prepay</w:t>
      </w:r>
      <w:r>
        <w:rPr>
          <w:rFonts w:ascii="Times New Roman" w:cs="Times New Roman" w:eastAsia="Times New Roman" w:hAnsi="Times New Roman"/>
          <w:sz w:val="20"/>
          <w:szCs w:val="20"/>
          <w:color w:val="00C000"/>
        </w:rPr>
        <w:t xml:space="preserve"> </w:t>
      </w:r>
      <w:r>
        <w:rPr>
          <w:rFonts w:ascii="Times New Roman" w:cs="Times New Roman" w:eastAsia="Times New Roman" w:hAnsi="Times New Roman"/>
          <w:sz w:val="20"/>
          <w:szCs w:val="20"/>
          <w:color w:val="FF0000"/>
          <w:strike w:val="1"/>
        </w:rPr>
        <w:t>such outstanding</w:t>
      </w:r>
      <w:r>
        <w:rPr>
          <w:rFonts w:ascii="Times New Roman" w:cs="Times New Roman" w:eastAsia="Times New Roman" w:hAnsi="Times New Roman"/>
          <w:sz w:val="20"/>
          <w:szCs w:val="20"/>
          <w:color w:val="00C000"/>
        </w:rPr>
        <w:t xml:space="preserve"> </w:t>
      </w:r>
      <w:r>
        <w:rPr>
          <w:rFonts w:ascii="Times New Roman" w:cs="Times New Roman" w:eastAsia="Times New Roman" w:hAnsi="Times New Roman"/>
          <w:sz w:val="20"/>
          <w:szCs w:val="20"/>
          <w:color w:val="000000"/>
        </w:rPr>
        <w:t>Swing Loans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C000"/>
        </w:rPr>
        <w:t xml:space="preserve"> </w:t>
      </w:r>
      <w:r>
        <w:rPr>
          <w:rFonts w:ascii="Times New Roman" w:cs="Times New Roman" w:eastAsia="Times New Roman" w:hAnsi="Times New Roman"/>
          <w:sz w:val="20"/>
          <w:szCs w:val="20"/>
          <w:color w:val="0000FF"/>
        </w:rPr>
        <w:t>in an amount equal</w:t>
      </w:r>
      <w:r>
        <w:rPr>
          <w:rFonts w:ascii="Times New Roman" w:cs="Times New Roman" w:eastAsia="Times New Roman" w:hAnsi="Times New Roman"/>
          <w:sz w:val="20"/>
          <w:szCs w:val="20"/>
          <w:color w:val="00C000"/>
        </w:rPr>
        <w:t xml:space="preserve"> </w:t>
      </w:r>
      <w:r>
        <w:rPr>
          <w:rFonts w:ascii="Times New Roman" w:cs="Times New Roman" w:eastAsia="Times New Roman" w:hAnsi="Times New Roman"/>
          <w:sz w:val="20"/>
          <w:szCs w:val="20"/>
          <w:u w:val="single" w:color="auto"/>
          <w:color w:val="0000FF"/>
        </w:rPr>
        <w:t>to the Swing Loan Lender’s Fronting Exposure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(y) second,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cash collateralize for the benefit of</w:t>
      </w:r>
      <w:r>
        <w:rPr>
          <w:rFonts w:ascii="Times New Roman" w:cs="Times New Roman" w:eastAsia="Times New Roman" w:hAnsi="Times New Roman"/>
          <w:sz w:val="20"/>
          <w:szCs w:val="20"/>
          <w:u w:val="single" w:color="auto"/>
          <w:color w:val="0000FF"/>
        </w:rPr>
        <w:t>Cash Collateralize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Issuing Lender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the Borrower's obligations corresponding to such Defaulting Lender's Letter of Credit Obligations (after giving effect to any partial reallocation pursuant to clause (a) above) in a deposit account held at the Administrative Agent for so long as such Letter of Credit Obligations are outstanding;</w:t>
      </w:r>
      <w:r>
        <w:rPr>
          <w:rFonts w:ascii="Times New Roman" w:cs="Times New Roman" w:eastAsia="Times New Roman" w:hAnsi="Times New Roman"/>
          <w:sz w:val="20"/>
          <w:szCs w:val="20"/>
          <w:u w:val="single" w:color="auto"/>
          <w:color w:val="0000FF"/>
          <w:strike w:val="1"/>
        </w:rPr>
        <w:t>’s Fronting Exposure in accordance with the procedures specified in Section 5.7 [Cash Collateral].</w:t>
      </w:r>
    </w:p>
    <w:p>
      <w:pPr>
        <w:spacing w:after="0" w:line="141" w:lineRule="exact"/>
        <w:rPr>
          <w:rFonts w:ascii="Times New Roman" w:cs="Times New Roman" w:eastAsia="Times New Roman" w:hAnsi="Times New Roman"/>
          <w:sz w:val="20"/>
          <w:szCs w:val="20"/>
          <w:u w:val="single" w:color="auto"/>
          <w:color w:val="0000FF"/>
        </w:rPr>
      </w:pPr>
    </w:p>
    <w:p>
      <w:pPr>
        <w:ind w:left="-200" w:right="80" w:firstLine="2573"/>
        <w:spacing w:after="0" w:line="225" w:lineRule="auto"/>
        <w:tabs>
          <w:tab w:leader="none" w:pos="2797" w:val="left"/>
        </w:tabs>
        <w:numPr>
          <w:ilvl w:val="2"/>
          <w:numId w:val="7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if the Borrower cash collateralizes any portion of such Defaulting Lender's Letter of Credit Obligations pursuant to clause (b) above, the Borrower shall not be required to pay any fees to such Defaulting Lender pursuant to Section 2.9.2 [Letter of Credit Fees] with respect to such Defaulting Lender's Letter of Credit Obligations during the period such Defaulting Lender's Letter of Credit Obligations are cash collateralized;</w:t>
      </w:r>
    </w:p>
    <w:p>
      <w:pPr>
        <w:spacing w:after="0" w:line="143" w:lineRule="exact"/>
        <w:rPr>
          <w:rFonts w:ascii="Times New Roman" w:cs="Times New Roman" w:eastAsia="Times New Roman" w:hAnsi="Times New Roman"/>
          <w:sz w:val="20"/>
          <w:szCs w:val="20"/>
          <w:color w:val="FF0000"/>
          <w:strike w:val="1"/>
        </w:rPr>
      </w:pPr>
    </w:p>
    <w:p>
      <w:pPr>
        <w:jc w:val="both"/>
        <w:ind w:left="-200" w:right="20" w:firstLine="2573"/>
        <w:spacing w:after="0" w:line="230" w:lineRule="auto"/>
        <w:tabs>
          <w:tab w:leader="none" w:pos="2808" w:val="left"/>
        </w:tabs>
        <w:numPr>
          <w:ilvl w:val="2"/>
          <w:numId w:val="7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if the Letter of Credit Obligations of the non-Defaulting Lenders are reallocated pursuant to clause (a) above, then the fees payable to the Lenders pursuant to Section 2.9.2 [Letter of Credit Fees] shall be adjusted in accordance with such non-Defaulting Lenders' Ratable Share; and</w:t>
      </w:r>
    </w:p>
    <w:p>
      <w:pPr>
        <w:spacing w:after="0" w:line="143" w:lineRule="exact"/>
        <w:rPr>
          <w:rFonts w:ascii="Times New Roman" w:cs="Times New Roman" w:eastAsia="Times New Roman" w:hAnsi="Times New Roman"/>
          <w:sz w:val="20"/>
          <w:szCs w:val="20"/>
          <w:color w:val="FF0000"/>
          <w:strike w:val="1"/>
        </w:rPr>
      </w:pPr>
    </w:p>
    <w:p>
      <w:pPr>
        <w:jc w:val="both"/>
        <w:ind w:left="-200" w:right="260" w:firstLine="2573"/>
        <w:spacing w:after="0" w:line="225" w:lineRule="auto"/>
        <w:tabs>
          <w:tab w:leader="none" w:pos="2797" w:val="left"/>
        </w:tabs>
        <w:numPr>
          <w:ilvl w:val="2"/>
          <w:numId w:val="7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if all or any portion of such Defaulting Lender's Letter of Credit Obligations are neither reallocated nor cash collateralized pursuant to clause (a) or (b) above, then</w:t>
      </w:r>
      <w:r>
        <w:rPr>
          <w:rFonts w:ascii="Times New Roman" w:cs="Times New Roman" w:eastAsia="Times New Roman" w:hAnsi="Times New Roman"/>
          <w:sz w:val="20"/>
          <w:szCs w:val="20"/>
          <w:color w:val="00C000"/>
          <w:strike w:val="1"/>
        </w:rPr>
        <w:t>, without prejudice to any</w:t>
      </w:r>
      <w:r>
        <w:rPr>
          <w:rFonts w:ascii="Times New Roman" w:cs="Times New Roman" w:eastAsia="Times New Roman" w:hAnsi="Times New Roman"/>
          <w:sz w:val="20"/>
          <w:szCs w:val="20"/>
          <w:color w:val="FF0000"/>
          <w:strike w:val="1"/>
        </w:rPr>
        <w:t xml:space="preserve"> rights or remedies of the Issuing Lender or any other Lender hereunder, all Letter of Credit Fees payable under Section 2.9.2 [Letter of Credit Fees] with respect to such Defaulting Lender's Letter of Credit Obligations shall be payable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5998210</wp:posOffset>
            </wp:positionH>
            <wp:positionV relativeFrom="paragraph">
              <wp:posOffset>-2328545</wp:posOffset>
            </wp:positionV>
            <wp:extent cx="10077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040"/>
          </w:cols>
          <w:pgMar w:left="520" w:top="1440" w:right="339" w:bottom="1440" w:gutter="0" w:footer="0" w:header="0"/>
        </w:sectPr>
      </w:pPr>
    </w:p>
    <w:bookmarkStart w:id="143" w:name="page144"/>
    <w:bookmarkEnd w:id="143"/>
    <w:p>
      <w:pPr>
        <w:spacing w:after="0" w:line="7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FF0000"/>
          <w:strike w:val="1"/>
        </w:rPr>
        <w:t>Issuing Lender (and not to such Defaulting Lender) until and to the extent that such Letter of Credit Obligations are reallocated and/or cash collateralized; and</w:t>
      </w:r>
    </w:p>
    <w:p>
      <w:pPr>
        <w:spacing w:after="0" w:line="140" w:lineRule="exact"/>
        <w:rPr>
          <w:sz w:val="20"/>
          <w:szCs w:val="20"/>
          <w:color w:val="auto"/>
        </w:rPr>
      </w:pPr>
    </w:p>
    <w:p>
      <w:pPr>
        <w:jc w:val="both"/>
        <w:ind w:right="100" w:firstLine="1993"/>
        <w:spacing w:after="0" w:line="220" w:lineRule="auto"/>
        <w:tabs>
          <w:tab w:leader="none" w:pos="2485" w:val="left"/>
        </w:tabs>
        <w:numPr>
          <w:ilvl w:val="0"/>
          <w:numId w:val="7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so long as such </w:t>
      </w:r>
      <w:r>
        <w:rPr>
          <w:rFonts w:ascii="Times New Roman" w:cs="Times New Roman" w:eastAsia="Times New Roman" w:hAnsi="Times New Roman"/>
          <w:sz w:val="20"/>
          <w:szCs w:val="20"/>
          <w:color w:val="00C000"/>
          <w:strike w:val="1"/>
        </w:rPr>
        <w:t>Lender is a Defaulting Lender,</w:t>
      </w:r>
      <w:r>
        <w:rPr>
          <w:rFonts w:ascii="Times New Roman" w:cs="Times New Roman" w:eastAsia="Times New Roman" w:hAnsi="Times New Roman"/>
          <w:sz w:val="20"/>
          <w:szCs w:val="20"/>
          <w:color w:val="FF0000"/>
          <w:strike w:val="1"/>
        </w:rPr>
        <w:t xml:space="preserve"> PNC </w:t>
      </w:r>
      <w:r>
        <w:rPr>
          <w:rFonts w:ascii="Times New Roman" w:cs="Times New Roman" w:eastAsia="Times New Roman" w:hAnsi="Times New Roman"/>
          <w:sz w:val="20"/>
          <w:szCs w:val="20"/>
          <w:color w:val="00C000"/>
          <w:strike w:val="1"/>
        </w:rPr>
        <w:t>shall not be required to fund any Swing Loans</w:t>
      </w:r>
      <w:r>
        <w:rPr>
          <w:rFonts w:ascii="Times New Roman" w:cs="Times New Roman" w:eastAsia="Times New Roman" w:hAnsi="Times New Roman"/>
          <w:sz w:val="20"/>
          <w:szCs w:val="20"/>
          <w:color w:val="FF0000"/>
          <w:strike w:val="1"/>
        </w:rPr>
        <w:t xml:space="preserve"> and the Issuing Lender shall not be required to issue, amend, increase or extend any Letter of Credit, unless the Issuing Lender is satisfied that the related exposure and the Defaulting Lender's then outstanding Letter of Credit Obligations will be 100% covered by the Revolving Credit Commitments of the non-Defaulting Lenders and/or cash collateral will be provided by the Borrower in accordance with Section 2.11(iii), and participating interests in any newly made Swing Loan or any newly issued or increased Letter of Credit shall be allocated among non-Defaulting Lenders in a manner consistent with Section 2.11(iii)(a) (and such Defaulting Lender shall not participate therein).</w:t>
      </w:r>
    </w:p>
    <w:p>
      <w:pPr>
        <w:spacing w:after="0" w:line="144"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0"/>
          <w:szCs w:val="20"/>
          <w:color w:val="FF0000"/>
          <w:strike w:val="1"/>
        </w:rPr>
        <w:t xml:space="preserve">If (i) a Bankruptcy Event with respect to a parent company of any Lender shall occur following the date hereof and for so long as such event shall continue, or (ii) PNC or the Issuing Lender has a good faith belief that any Lender has defaulted in fulfilling its obligations under one or more other agreements in which such Lender commits to extend credit, PNC shall not be required to fund any Swing Loan and the Issuing Lender shall not be required to issue, amend </w:t>
      </w:r>
      <w:r>
        <w:rPr>
          <w:rFonts w:ascii="Times New Roman" w:cs="Times New Roman" w:eastAsia="Times New Roman" w:hAnsi="Times New Roman"/>
          <w:sz w:val="20"/>
          <w:szCs w:val="20"/>
          <w:color w:val="00C000"/>
          <w:strike w:val="1"/>
        </w:rPr>
        <w:t>or increase any Letter of Credit</w:t>
      </w:r>
      <w:r>
        <w:rPr>
          <w:rFonts w:ascii="Times New Roman" w:cs="Times New Roman" w:eastAsia="Times New Roman" w:hAnsi="Times New Roman"/>
          <w:sz w:val="20"/>
          <w:szCs w:val="20"/>
          <w:color w:val="FF0000"/>
          <w:strike w:val="1"/>
        </w:rPr>
        <w:t>, unless PNC or the Issuing Lender, as the case may be, shall have entered into arrangements with the Borrower or such Lender, satisfactory to PNC or the Issuing Lender, as the case may be, to defease any risk to it in respect of such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-331470</wp:posOffset>
            </wp:positionV>
            <wp:extent cx="16325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0000"/>
          <w:strike w:val="1"/>
        </w:rPr>
        <w:t>In the event that</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u w:val="single" w:color="auto"/>
          <w:color w:val="0000FF"/>
        </w:rPr>
        <w:t>1.1.iiDefaulting Lender Cure.</w:t>
      </w:r>
    </w:p>
    <w:p>
      <w:pPr>
        <w:spacing w:after="0" w:line="173" w:lineRule="exact"/>
        <w:rPr>
          <w:sz w:val="20"/>
          <w:szCs w:val="20"/>
          <w:color w:val="auto"/>
        </w:rPr>
      </w:pPr>
    </w:p>
    <w:p>
      <w:pPr>
        <w:jc w:val="both"/>
        <w:ind w:firstLine="604"/>
        <w:spacing w:after="0" w:line="214" w:lineRule="auto"/>
        <w:rPr>
          <w:sz w:val="20"/>
          <w:szCs w:val="20"/>
          <w:color w:val="auto"/>
        </w:rPr>
      </w:pPr>
      <w:r>
        <w:rPr>
          <w:rFonts w:ascii="Times New Roman" w:cs="Times New Roman" w:eastAsia="Times New Roman" w:hAnsi="Times New Roman"/>
          <w:sz w:val="20"/>
          <w:szCs w:val="20"/>
          <w:u w:val="single" w:color="auto"/>
          <w:color w:val="0000FF"/>
        </w:rPr>
        <w:t>If the Borrower,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Administrative Agent</w:t>
      </w:r>
      <w:r>
        <w:rPr>
          <w:rFonts w:ascii="Times New Roman" w:cs="Times New Roman" w:eastAsia="Times New Roman" w:hAnsi="Times New Roman"/>
          <w:sz w:val="20"/>
          <w:szCs w:val="20"/>
          <w:color w:val="FF0000"/>
          <w:strike w:val="1"/>
        </w:rPr>
        <w:t>, the Borrower, PNC</w:t>
      </w:r>
      <w:r>
        <w:rPr>
          <w:rFonts w:ascii="Times New Roman" w:cs="Times New Roman" w:eastAsia="Times New Roman" w:hAnsi="Times New Roman"/>
          <w:sz w:val="20"/>
          <w:szCs w:val="20"/>
          <w:color w:val="0000FF"/>
        </w:rPr>
        <w:t xml:space="preserve"> and each Swing Loan Lender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Issuing Lender agree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writing that a </w:t>
      </w:r>
      <w:r>
        <w:rPr>
          <w:rFonts w:ascii="Times New Roman" w:cs="Times New Roman" w:eastAsia="Times New Roman" w:hAnsi="Times New Roman"/>
          <w:sz w:val="20"/>
          <w:szCs w:val="20"/>
          <w:color w:val="FF0000"/>
          <w:strike w:val="1"/>
        </w:rPr>
        <w:t>Defaulting Lender has adequately remedied all matters that caused such Lender to be</w:t>
      </w:r>
      <w:r>
        <w:rPr>
          <w:rFonts w:ascii="Times New Roman" w:cs="Times New Roman" w:eastAsia="Times New Roman" w:hAnsi="Times New Roman"/>
          <w:sz w:val="20"/>
          <w:szCs w:val="20"/>
          <w:u w:val="single" w:color="auto"/>
          <w:color w:val="0000FF"/>
        </w:rPr>
        <w:t>Lender is no longer</w:t>
      </w:r>
      <w:r>
        <w:rPr>
          <w:rFonts w:ascii="Times New Roman" w:cs="Times New Roman" w:eastAsia="Times New Roman" w:hAnsi="Times New Roman"/>
          <w:sz w:val="20"/>
          <w:szCs w:val="20"/>
          <w:color w:val="000000"/>
        </w:rPr>
        <w:t xml:space="preserve"> a Defaulting Lender, </w:t>
      </w:r>
      <w:r>
        <w:rPr>
          <w:rFonts w:ascii="Times New Roman" w:cs="Times New Roman" w:eastAsia="Times New Roman" w:hAnsi="Times New Roman"/>
          <w:sz w:val="20"/>
          <w:szCs w:val="20"/>
          <w:color w:val="FF0000"/>
          <w:strike w:val="1"/>
        </w:rPr>
        <w:t>then</w:t>
      </w:r>
      <w:r>
        <w:rPr>
          <w:rFonts w:ascii="Times New Roman" w:cs="Times New Roman" w:eastAsia="Times New Roman" w:hAnsi="Times New Roman"/>
          <w:sz w:val="20"/>
          <w:szCs w:val="20"/>
          <w:color w:val="000000"/>
        </w:rPr>
        <w:t xml:space="preserve"> the Administrative Agent will </w:t>
      </w:r>
      <w:r>
        <w:rPr>
          <w:rFonts w:ascii="Times New Roman" w:cs="Times New Roman" w:eastAsia="Times New Roman" w:hAnsi="Times New Roman"/>
          <w:sz w:val="20"/>
          <w:szCs w:val="20"/>
          <w:color w:val="FF0000"/>
          <w:strike w:val="1"/>
        </w:rPr>
        <w:t>promptly</w:t>
      </w:r>
      <w:r>
        <w:rPr>
          <w:rFonts w:ascii="Times New Roman" w:cs="Times New Roman" w:eastAsia="Times New Roman" w:hAnsi="Times New Roman"/>
          <w:sz w:val="20"/>
          <w:szCs w:val="20"/>
          <w:color w:val="000000"/>
        </w:rPr>
        <w:t xml:space="preserve"> so notify the parties hereto, </w:t>
      </w:r>
      <w:r>
        <w:rPr>
          <w:rFonts w:ascii="Times New Roman" w:cs="Times New Roman" w:eastAsia="Times New Roman" w:hAnsi="Times New Roman"/>
          <w:sz w:val="20"/>
          <w:szCs w:val="20"/>
          <w:color w:val="FF0000"/>
          <w:strike w:val="1"/>
        </w:rPr>
        <w:t>and the Ratable Share of the Swing Loans and Letter of</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Credit Obligations of the Lenders shall be readjusted to reflect the inclusion of such Lender's Commitment, and on such</w:t>
      </w:r>
      <w:r>
        <w:rPr>
          <w:rFonts w:ascii="Times New Roman" w:cs="Times New Roman" w:eastAsia="Times New Roman" w:hAnsi="Times New Roman"/>
          <w:sz w:val="20"/>
          <w:szCs w:val="20"/>
          <w:u w:val="single" w:color="auto"/>
          <w:color w:val="0000FF"/>
          <w:strike w:val="1"/>
        </w:rPr>
        <w:t>whereupon as of</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the effective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date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specified in</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such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Lender shall</w:t>
      </w:r>
      <w:r>
        <w:rPr>
          <w:rFonts w:ascii="Times New Roman" w:cs="Times New Roman" w:eastAsia="Times New Roman" w:hAnsi="Times New Roman"/>
          <w:sz w:val="20"/>
          <w:szCs w:val="20"/>
          <w:u w:val="single" w:color="auto"/>
          <w:color w:val="0000FF"/>
          <w:strike w:val="1"/>
        </w:rPr>
        <w:t>notice and subject to any conditions specified therein (which may include arrangements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with respect to any Cash Collateral), that Lender will, to the extent applicable,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purchase at par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such</w:t>
      </w:r>
      <w:r>
        <w:rPr>
          <w:rFonts w:ascii="Times New Roman" w:cs="Times New Roman" w:eastAsia="Times New Roman" w:hAnsi="Times New Roman"/>
          <w:sz w:val="20"/>
          <w:szCs w:val="20"/>
          <w:u w:val="single" w:color="auto"/>
          <w:color w:val="0000FF"/>
          <w:strike w:val="1"/>
        </w:rPr>
        <w:t>that portion</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of</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strike w:val="1"/>
        </w:rPr>
        <w:t>outstanding</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Loans of</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the other Lenders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strike w:val="1"/>
        </w:rPr>
        <w:t>or take such</w:t>
      </w:r>
      <w:r>
        <w:rPr>
          <w:rFonts w:ascii="Times New Roman" w:cs="Times New Roman" w:eastAsia="Times New Roman" w:hAnsi="Times New Roman"/>
          <w:sz w:val="20"/>
          <w:szCs w:val="20"/>
          <w:color w:val="000000"/>
          <w:strike w:val="1"/>
        </w:rPr>
        <w:t xml:space="preserve"> other </w:t>
      </w:r>
      <w:r>
        <w:rPr>
          <w:rFonts w:ascii="Times New Roman" w:cs="Times New Roman" w:eastAsia="Times New Roman" w:hAnsi="Times New Roman"/>
          <w:sz w:val="20"/>
          <w:szCs w:val="20"/>
          <w:color w:val="FF0000"/>
          <w:strike w:val="1"/>
        </w:rPr>
        <w:t>than Swing Loans)</w:t>
      </w:r>
      <w:r>
        <w:rPr>
          <w:rFonts w:ascii="Times New Roman" w:cs="Times New Roman" w:eastAsia="Times New Roman" w:hAnsi="Times New Roman"/>
          <w:sz w:val="20"/>
          <w:szCs w:val="20"/>
          <w:u w:val="single" w:color="auto"/>
          <w:color w:val="0000FF"/>
          <w:strike w:val="1"/>
        </w:rPr>
        <w:t>actions</w:t>
      </w:r>
      <w:r>
        <w:rPr>
          <w:rFonts w:ascii="Times New Roman" w:cs="Times New Roman" w:eastAsia="Times New Roman" w:hAnsi="Times New Roman"/>
          <w:sz w:val="20"/>
          <w:szCs w:val="20"/>
          <w:color w:val="000000"/>
          <w:strike w:val="1"/>
        </w:rPr>
        <w:t xml:space="preserve"> as the Administrative Agent </w:t>
      </w:r>
      <w:r>
        <w:rPr>
          <w:rFonts w:ascii="Times New Roman" w:cs="Times New Roman" w:eastAsia="Times New Roman" w:hAnsi="Times New Roman"/>
          <w:sz w:val="20"/>
          <w:szCs w:val="20"/>
          <w:color w:val="FF0000"/>
          <w:strike w:val="1"/>
        </w:rPr>
        <w:t>shall</w:t>
      </w:r>
      <w:r>
        <w:rPr>
          <w:rFonts w:ascii="Times New Roman" w:cs="Times New Roman" w:eastAsia="Times New Roman" w:hAnsi="Times New Roman"/>
          <w:sz w:val="20"/>
          <w:szCs w:val="20"/>
          <w:u w:val="single" w:color="auto"/>
          <w:color w:val="0000FF"/>
          <w:strike w:val="1"/>
        </w:rPr>
        <w:t>may</w:t>
      </w:r>
      <w:r>
        <w:rPr>
          <w:rFonts w:ascii="Times New Roman" w:cs="Times New Roman" w:eastAsia="Times New Roman" w:hAnsi="Times New Roman"/>
          <w:sz w:val="20"/>
          <w:szCs w:val="20"/>
          <w:color w:val="000000"/>
          <w:strike w:val="1"/>
        </w:rPr>
        <w:t xml:space="preserve"> determine </w:t>
      </w:r>
      <w:r>
        <w:rPr>
          <w:rFonts w:ascii="Times New Roman" w:cs="Times New Roman" w:eastAsia="Times New Roman" w:hAnsi="Times New Roman"/>
          <w:sz w:val="20"/>
          <w:szCs w:val="20"/>
          <w:color w:val="FF0000"/>
          <w:strike w:val="1"/>
        </w:rPr>
        <w:t>may</w:t>
      </w:r>
      <w:r>
        <w:rPr>
          <w:rFonts w:ascii="Times New Roman" w:cs="Times New Roman" w:eastAsia="Times New Roman" w:hAnsi="Times New Roman"/>
          <w:sz w:val="20"/>
          <w:szCs w:val="20"/>
          <w:u w:val="single" w:color="auto"/>
          <w:color w:val="0000FF"/>
          <w:strike w:val="1"/>
        </w:rPr>
        <w:t>to</w:t>
      </w:r>
      <w:r>
        <w:rPr>
          <w:rFonts w:ascii="Times New Roman" w:cs="Times New Roman" w:eastAsia="Times New Roman" w:hAnsi="Times New Roman"/>
          <w:sz w:val="20"/>
          <w:szCs w:val="20"/>
          <w:color w:val="000000"/>
          <w:strike w:val="1"/>
        </w:rPr>
        <w:t xml:space="preserve"> be necessary </w:t>
      </w:r>
      <w:r>
        <w:rPr>
          <w:rFonts w:ascii="Times New Roman" w:cs="Times New Roman" w:eastAsia="Times New Roman" w:hAnsi="Times New Roman"/>
          <w:sz w:val="20"/>
          <w:szCs w:val="20"/>
          <w:color w:val="FF0000"/>
          <w:strike w:val="1"/>
        </w:rPr>
        <w:t>in</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order for such Lender to hold such Loans in accordance with its Ratable Share. Thereafter, the applicable</w:t>
      </w:r>
      <w:r>
        <w:rPr>
          <w:rFonts w:ascii="Times New Roman" w:cs="Times New Roman" w:eastAsia="Times New Roman" w:hAnsi="Times New Roman"/>
          <w:sz w:val="20"/>
          <w:szCs w:val="20"/>
          <w:u w:val="single" w:color="auto"/>
          <w:color w:val="0000FF"/>
          <w:strike w:val="1"/>
        </w:rPr>
        <w:t>to cause the Loans and funded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and unfunded participations in Letters of Credit and Swing Loans to be held pro rata by the Lenders in accordance with the Commitments (without giving effect to Section 2.11.1(iv) [Reallocation of Participations to Reduce Fronting Exposure]), whereupon such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Lender will</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cease to be a Defaulting Lender; provided that no adjustments will be made retroactively with respect to fees accrued </w:t>
      </w:r>
      <w:r>
        <w:rPr>
          <w:rFonts w:ascii="Times New Roman" w:cs="Times New Roman" w:eastAsia="Times New Roman" w:hAnsi="Times New Roman"/>
          <w:sz w:val="20"/>
          <w:szCs w:val="20"/>
          <w:u w:val="single" w:color="auto"/>
          <w:color w:val="0000FF"/>
          <w:strike w:val="1"/>
        </w:rPr>
        <w:t>or payments made by</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u w:val="single" w:color="auto"/>
          <w:color w:val="0000FF"/>
          <w:strike w:val="1"/>
        </w:rPr>
        <w:t>or on behalf of the Borrower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while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such</w:t>
      </w:r>
      <w:r>
        <w:rPr>
          <w:rFonts w:ascii="Times New Roman" w:cs="Times New Roman" w:eastAsia="Times New Roman" w:hAnsi="Times New Roman"/>
          <w:sz w:val="20"/>
          <w:szCs w:val="20"/>
          <w:u w:val="single" w:color="auto"/>
          <w:color w:val="0000FF"/>
          <w:strike w:val="1"/>
        </w:rPr>
        <w:t>that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Lender was a Defaulting Lender; and provided, further, that except to the extent otherwise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expressly agreed by the affected parties, no change hereunder from Defaulting Lender to Lender will constitute a waiver or release of any claim of any party hereunder arising from </w:t>
      </w:r>
      <w:r>
        <w:rPr>
          <w:rFonts w:ascii="Times New Roman" w:cs="Times New Roman" w:eastAsia="Times New Roman" w:hAnsi="Times New Roman"/>
          <w:sz w:val="20"/>
          <w:szCs w:val="20"/>
          <w:color w:val="FF0000"/>
          <w:strike w:val="1"/>
        </w:rPr>
        <w:t>such</w:t>
      </w:r>
      <w:r>
        <w:rPr>
          <w:rFonts w:ascii="Times New Roman" w:cs="Times New Roman" w:eastAsia="Times New Roman" w:hAnsi="Times New Roman"/>
          <w:sz w:val="20"/>
          <w:szCs w:val="20"/>
          <w:u w:val="single" w:color="auto"/>
          <w:color w:val="0000FF"/>
          <w:strike w:val="1"/>
        </w:rPr>
        <w:t>that</w:t>
      </w:r>
      <w:r>
        <w:rPr>
          <w:rFonts w:ascii="Times New Roman" w:cs="Times New Roman" w:eastAsia="Times New Roman" w:hAnsi="Times New Roman"/>
          <w:sz w:val="20"/>
          <w:szCs w:val="20"/>
          <w:color w:val="000000"/>
          <w:strike w:val="1"/>
        </w:rPr>
        <w:t xml:space="preserve"> Lender’s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-1686560</wp:posOffset>
            </wp:positionV>
            <wp:extent cx="16332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1633220"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-1734185</wp:posOffset>
            </wp:positionV>
            <wp:extent cx="203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0000FF"/>
        </w:rPr>
        <w:t>1.1.iiiNew Swing Loans/Letters of Credit.</w:t>
      </w:r>
    </w:p>
    <w:p>
      <w:pPr>
        <w:spacing w:after="0" w:line="173" w:lineRule="exact"/>
        <w:rPr>
          <w:sz w:val="20"/>
          <w:szCs w:val="20"/>
          <w:color w:val="auto"/>
        </w:rPr>
      </w:pPr>
    </w:p>
    <w:p>
      <w:pPr>
        <w:jc w:val="both"/>
        <w:ind w:firstLine="604"/>
        <w:spacing w:after="0" w:line="230" w:lineRule="auto"/>
        <w:rPr>
          <w:sz w:val="20"/>
          <w:szCs w:val="20"/>
          <w:color w:val="auto"/>
        </w:rPr>
      </w:pPr>
      <w:r>
        <w:rPr>
          <w:rFonts w:ascii="Times New Roman" w:cs="Times New Roman" w:eastAsia="Times New Roman" w:hAnsi="Times New Roman"/>
          <w:sz w:val="20"/>
          <w:szCs w:val="20"/>
          <w:u w:val="single" w:color="auto"/>
          <w:color w:val="0000FF"/>
        </w:rPr>
        <w:t xml:space="preserve">So long as any </w:t>
      </w:r>
      <w:r>
        <w:rPr>
          <w:rFonts w:ascii="Times New Roman" w:cs="Times New Roman" w:eastAsia="Times New Roman" w:hAnsi="Times New Roman"/>
          <w:sz w:val="20"/>
          <w:szCs w:val="20"/>
          <w:u w:val="single" w:color="auto"/>
          <w:color w:val="00C000"/>
        </w:rPr>
        <w:t>Lender is a Defaulting Lender,</w:t>
      </w:r>
      <w:r>
        <w:rPr>
          <w:rFonts w:ascii="Times New Roman" w:cs="Times New Roman" w:eastAsia="Times New Roman" w:hAnsi="Times New Roman"/>
          <w:sz w:val="20"/>
          <w:szCs w:val="20"/>
          <w:u w:val="single" w:color="auto"/>
          <w:color w:val="0000FF"/>
        </w:rPr>
        <w:t xml:space="preserve"> (i) the Swing Loan Lender </w:t>
      </w:r>
      <w:r>
        <w:rPr>
          <w:rFonts w:ascii="Times New Roman" w:cs="Times New Roman" w:eastAsia="Times New Roman" w:hAnsi="Times New Roman"/>
          <w:sz w:val="20"/>
          <w:szCs w:val="20"/>
          <w:u w:val="single" w:color="auto"/>
          <w:color w:val="00C000"/>
        </w:rPr>
        <w:t>shall not be required to fund any Swing Loans</w:t>
      </w:r>
      <w:r>
        <w:rPr>
          <w:rFonts w:ascii="Times New Roman" w:cs="Times New Roman" w:eastAsia="Times New Roman" w:hAnsi="Times New Roman"/>
          <w:sz w:val="20"/>
          <w:szCs w:val="20"/>
          <w:u w:val="single" w:color="auto"/>
          <w:color w:val="0000FF"/>
        </w:rPr>
        <w:t xml:space="preserve"> unless it is satisfied that it will have no Fronting Exposure after giving effect to such Swing Loan and (ii) no Issuing Lender shall be required to issue, extend, renew</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or increase any Letter of Credit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unless it is satisfied that it will have no Fronting Exposure after giving effect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-27940</wp:posOffset>
            </wp:positionV>
            <wp:extent cx="16325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71" w:lineRule="exact"/>
        <w:rPr>
          <w:sz w:val="20"/>
          <w:szCs w:val="20"/>
          <w:color w:val="auto"/>
        </w:rPr>
      </w:pPr>
    </w:p>
    <w:p>
      <w:pPr>
        <w:ind w:left="5340" w:hanging="597"/>
        <w:spacing w:after="0"/>
        <w:tabs>
          <w:tab w:leader="none" w:pos="53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2" w:lineRule="exact"/>
        <w:rPr>
          <w:rFonts w:ascii="Times New Roman" w:cs="Times New Roman" w:eastAsia="Times New Roman" w:hAnsi="Times New Roman"/>
          <w:sz w:val="20"/>
          <w:szCs w:val="20"/>
          <w:color w:val="auto"/>
        </w:rPr>
      </w:pPr>
    </w:p>
    <w:p>
      <w:pPr>
        <w:ind w:left="5120" w:hanging="606"/>
        <w:spacing w:after="0"/>
        <w:tabs>
          <w:tab w:leader="none" w:pos="51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RATES</w:t>
      </w:r>
    </w:p>
    <w:p>
      <w:pPr>
        <w:spacing w:after="0" w:line="17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20"/>
          <w:szCs w:val="20"/>
          <w:color w:val="auto"/>
        </w:rPr>
        <w:t>Interest Rate Options.</w:t>
      </w:r>
    </w:p>
    <w:p>
      <w:pPr>
        <w:spacing w:after="0" w:line="173" w:lineRule="exact"/>
        <w:rPr>
          <w:sz w:val="20"/>
          <w:szCs w:val="20"/>
          <w:color w:val="auto"/>
        </w:rPr>
      </w:pPr>
    </w:p>
    <w:p>
      <w:pPr>
        <w:jc w:val="both"/>
        <w:ind w:left="1200"/>
        <w:spacing w:after="0" w:line="215" w:lineRule="auto"/>
        <w:rPr>
          <w:sz w:val="20"/>
          <w:szCs w:val="20"/>
          <w:color w:val="auto"/>
        </w:rPr>
      </w:pPr>
      <w:r>
        <w:rPr>
          <w:rFonts w:ascii="Times New Roman" w:cs="Times New Roman" w:eastAsia="Times New Roman" w:hAnsi="Times New Roman"/>
          <w:sz w:val="20"/>
          <w:szCs w:val="20"/>
          <w:color w:val="auto"/>
        </w:rPr>
        <w:t xml:space="preserve">The Borrower shall pay interest in respect of the outstanding unpaid principal amount of the Loans as selected by it from the Base Rate Option or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set forth below applicable to the Loans, it being understood that, subject to the provisions of this Agreement, the Borrower may select different Interest Rate Options and different Interest Periods to apply simultaneously to the Loans comprising different Borrowing Tranches and may convert to or renew one or more Interest Rate Options with respect to all or any portion of the Loans comprising any Borrowing Tranche;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be at any one time outstanding more than eight (8) Borrowing Tranches in the aggregate among all of the Loans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an Event of Default exists and is continuing, the Borrower may not request, convert to, or renew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for any Loans </w:t>
      </w:r>
      <w:r>
        <w:rPr>
          <w:rFonts w:ascii="Times New Roman" w:cs="Times New Roman" w:eastAsia="Times New Roman" w:hAnsi="Times New Roman"/>
          <w:sz w:val="20"/>
          <w:szCs w:val="20"/>
          <w:color w:val="0000FF"/>
        </w:rPr>
        <w:t>and the Required Lenders may demand that all existing Borrowing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Tranches bearing interest under the Term SOFR Rate Option shall be converted immediately to the Base Rate Option, subject in all cases to the obligation of the Borrower to pay any indemnity under Section 5.10 [Indemnity] in connection with any such conversion</w:t>
      </w:r>
      <w:r>
        <w:rPr>
          <w:rFonts w:ascii="Times New Roman" w:cs="Times New Roman" w:eastAsia="Times New Roman" w:hAnsi="Times New Roman"/>
          <w:sz w:val="20"/>
          <w:szCs w:val="20"/>
          <w:color w:val="000000"/>
        </w:rPr>
        <w:t>. If at any time the designated rate applicable to any Loan made by any Lender exceeds such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Lender's highest lawful rate, the rate of interest on such Lender's Loan shall be limited to such Lender's highest lawful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-538480</wp:posOffset>
            </wp:positionV>
            <wp:extent cx="34429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1.1.iInterest Rate Options; Swing Line Interest Rate.</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Borrower shall have the right to select from the following Interest Rate Options applicable to the Loans:</w:t>
      </w:r>
    </w:p>
    <w:p>
      <w:pPr>
        <w:spacing w:after="0" w:line="173" w:lineRule="exact"/>
        <w:rPr>
          <w:sz w:val="20"/>
          <w:szCs w:val="20"/>
          <w:color w:val="auto"/>
        </w:rPr>
      </w:pPr>
    </w:p>
    <w:p>
      <w:pPr>
        <w:jc w:val="both"/>
        <w:ind w:right="200" w:firstLine="1993"/>
        <w:spacing w:after="0" w:line="230" w:lineRule="auto"/>
        <w:tabs>
          <w:tab w:leader="none" w:pos="240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Rate Option</w:t>
      </w:r>
      <w:r>
        <w:rPr>
          <w:rFonts w:ascii="Times New Roman" w:cs="Times New Roman" w:eastAsia="Times New Roman" w:hAnsi="Times New Roman"/>
          <w:sz w:val="20"/>
          <w:szCs w:val="20"/>
          <w:color w:val="auto"/>
        </w:rPr>
        <w: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spacing w:after="0" w:line="143" w:lineRule="exact"/>
        <w:rPr>
          <w:rFonts w:ascii="Times New Roman" w:cs="Times New Roman" w:eastAsia="Times New Roman" w:hAnsi="Times New Roman"/>
          <w:sz w:val="20"/>
          <w:szCs w:val="20"/>
          <w:color w:val="auto"/>
        </w:rPr>
      </w:pPr>
    </w:p>
    <w:p>
      <w:pPr>
        <w:jc w:val="both"/>
        <w:ind w:right="160" w:firstLine="1993"/>
        <w:spacing w:after="0" w:line="230" w:lineRule="auto"/>
        <w:tabs>
          <w:tab w:leader="none" w:pos="240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Rate Option</w:t>
      </w:r>
      <w:r>
        <w:rPr>
          <w:rFonts w:ascii="Times New Roman" w:cs="Times New Roman" w:eastAsia="Times New Roman" w:hAnsi="Times New Roman"/>
          <w:sz w:val="20"/>
          <w:szCs w:val="20"/>
          <w:color w:val="000000"/>
        </w:rPr>
        <w:t>: A rate per annum (computed on the basis of a year of 360 days and actual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days elapsed) equal to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Rate as determined for each applicable Interest Period</w:t>
      </w:r>
      <w:r>
        <w:rPr>
          <w:rFonts w:ascii="Times New Roman" w:cs="Times New Roman" w:eastAsia="Times New Roman" w:hAnsi="Times New Roman"/>
          <w:sz w:val="20"/>
          <w:szCs w:val="20"/>
          <w:u w:val="single" w:color="auto"/>
          <w:color w:val="170CF2"/>
        </w:rPr>
        <w:t>, plus the SOFR Adjustment</w:t>
      </w:r>
      <w:r>
        <w:rPr>
          <w:rFonts w:ascii="Times New Roman" w:cs="Times New Roman" w:eastAsia="Times New Roman" w:hAnsi="Times New Roman"/>
          <w:sz w:val="20"/>
          <w:szCs w:val="20"/>
          <w:color w:val="000000"/>
        </w:rPr>
        <w:t xml:space="preserve"> plus the Applicable Margin.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Section 4.3 [Interest After Default], only the Base Rate Option shall apply to the Swing Loans.</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1.1.iiRate Quotations.</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The Borrower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0000FF"/>
        </w:rPr>
        <w:t>1.1.iiiConforming Changes Relating to Term SOFR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71"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u w:val="single" w:color="auto"/>
          <w:color w:val="0000FF"/>
        </w:rPr>
        <w:t>With respect to the Term SOFR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Administrative Agent shall provide notice to the Borrower and the Lenders of each such amendment implementing such Conforming Changes reasonably promptly after such amendment becomes effective.</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Interest Periods.</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 xml:space="preserve">At any time when the Borrower shall select, convert to or renew a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the Borrower shall notify the Administrative Agent thereof at least three (3) Business Days prior to the effective date of such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Option by delivering a Loan Request. The notice shall specify an Interest Period during which such Interest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Rate Option shall apply. Notwithstanding the preceding sentence, the following provisions shall apply to any selection of, renewal of, or conversion to a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Rate Option: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1.1.iAmount of Borrowing Tranche.</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 xml:space="preserve">Each Borrowing Tranche of Loans under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shall be in integral multiples of, and not less than, the respective amounts set forth in Section 2.5.1 [Revolving Credit Loan Requests]; and</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1.1.iiRenewals.</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 xml:space="preserve">In the case of the renewal of a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at the end of an Interest Period, the first day of the new Interest Period shall be the last day of the preceding Interest Period, without duplication in payment of interest for such day.</w:t>
      </w:r>
    </w:p>
    <w:p>
      <w:pPr>
        <w:spacing w:after="0" w:line="140"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1.c</w:t>
      </w:r>
      <w:r>
        <w:rPr>
          <w:sz w:val="20"/>
          <w:szCs w:val="20"/>
          <w:color w:val="auto"/>
        </w:rPr>
        <w:tab/>
      </w:r>
      <w:r>
        <w:rPr>
          <w:rFonts w:ascii="Times New Roman" w:cs="Times New Roman" w:eastAsia="Times New Roman" w:hAnsi="Times New Roman"/>
          <w:sz w:val="20"/>
          <w:szCs w:val="20"/>
          <w:color w:val="auto"/>
        </w:rPr>
        <w:t>Interest After Default.</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To the extent permitted by Law, upon the occurrence of an Event of Default and until such time such Event of Default shall have been cured or waived, at the discretion of the Administrative Agent or upon written demand by the Required Lenders to the Administrative Agent, upon written notice to the Borrower: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1.1.iLetter of Credit Fees, Interest Rate.</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The Letter of Credit Fees and the rate of interest for each Loan otherwise applicable pursuant to Section 2.9.2 [Letter of Credit Fees] or Section 4.1 [Interest Rate Options], respectively, shall be increased by 2.0% per annum;</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1.1.iiOther Obligations.</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Each other Obligation hereunder if not paid when due shall bear interest at a rate per annum equal to the sum of the rate of interest applicable to Revolving Credit Loans under the Base Rate Option plus an additional 2.0% per annum from the time such Obligation becomes due and payable and until it is Paid In Full; and</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1.1.iiiAcknowledgment.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040"/>
          </w:cols>
          <w:pgMar w:left="520" w:top="1440" w:right="339" w:bottom="1440" w:gutter="0" w:footer="0" w:header="0"/>
        </w:sectPr>
      </w:pPr>
    </w:p>
    <w:bookmarkStart w:id="146" w:name="page147"/>
    <w:bookmarkEnd w:id="146"/>
    <w:p>
      <w:pPr>
        <w:spacing w:after="0" w:line="71"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The Borrower acknowledges that the increase in rates referred to in this Section 4.3 reflects, among other things, the fact that such Loans or other amounts have become a substantially greater risk given their default status and that the Lenders are entitled to additional compensation for such risk; and all such interest shall be payable by Borrower upon demand by Administrative Agent.</w:t>
      </w:r>
    </w:p>
    <w:p>
      <w:pPr>
        <w:spacing w:after="0" w:line="144" w:lineRule="exact"/>
        <w:rPr>
          <w:sz w:val="20"/>
          <w:szCs w:val="20"/>
          <w:color w:val="auto"/>
        </w:rPr>
      </w:pPr>
    </w:p>
    <w:p>
      <w:pPr>
        <w:ind w:right="740" w:firstLine="604"/>
        <w:spacing w:after="0" w:line="242" w:lineRule="auto"/>
        <w:rPr>
          <w:sz w:val="20"/>
          <w:szCs w:val="20"/>
          <w:color w:val="auto"/>
        </w:rPr>
      </w:pPr>
      <w:r>
        <w:rPr>
          <w:rFonts w:ascii="Times New Roman" w:cs="Times New Roman" w:eastAsia="Times New Roman" w:hAnsi="Times New Roman"/>
          <w:sz w:val="20"/>
          <w:szCs w:val="20"/>
          <w:color w:val="auto"/>
        </w:rPr>
        <w:t xml:space="preserve">1.d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Unascertainable</w:t>
      </w:r>
      <w:r>
        <w:rPr>
          <w:rFonts w:ascii="Times New Roman" w:cs="Times New Roman" w:eastAsia="Times New Roman" w:hAnsi="Times New Roman"/>
          <w:sz w:val="20"/>
          <w:szCs w:val="20"/>
          <w:color w:val="FF0000"/>
          <w:strike w:val="1"/>
        </w:rPr>
        <w:t>; Illegality</w:t>
      </w:r>
      <w:r>
        <w:rPr>
          <w:rFonts w:ascii="Times New Roman" w:cs="Times New Roman" w:eastAsia="Times New Roman" w:hAnsi="Times New Roman"/>
          <w:sz w:val="20"/>
          <w:szCs w:val="20"/>
          <w:color w:val="auto"/>
        </w:rPr>
        <w:t xml:space="preserve">; Increased Costs; </w:t>
      </w:r>
      <w:r>
        <w:rPr>
          <w:rFonts w:ascii="Times New Roman" w:cs="Times New Roman" w:eastAsia="Times New Roman" w:hAnsi="Times New Roman"/>
          <w:sz w:val="20"/>
          <w:szCs w:val="20"/>
          <w:color w:val="FF0000"/>
          <w:strike w:val="1"/>
        </w:rPr>
        <w:t>Deposits Not Available</w:t>
      </w:r>
      <w:r>
        <w:rPr>
          <w:rFonts w:ascii="Times New Roman" w:cs="Times New Roman" w:eastAsia="Times New Roman" w:hAnsi="Times New Roman"/>
          <w:sz w:val="20"/>
          <w:szCs w:val="20"/>
          <w:u w:val="single" w:color="auto"/>
          <w:color w:val="0000FF"/>
        </w:rPr>
        <w:t>Illegality; Benchmark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Replacement Setting</w:t>
      </w:r>
      <w:r>
        <w:rPr>
          <w:rFonts w:ascii="Times New Roman" w:cs="Times New Roman" w:eastAsia="Times New Roman" w:hAnsi="Times New Roman"/>
          <w:sz w:val="20"/>
          <w:szCs w:val="20"/>
          <w:color w:val="000000"/>
        </w:rPr>
        <w:t>.</w:t>
      </w:r>
    </w:p>
    <w:p>
      <w:pPr>
        <w:spacing w:after="0" w:line="1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1.1.iUnascertainable</w:t>
      </w:r>
      <w:r>
        <w:rPr>
          <w:rFonts w:ascii="Times New Roman" w:cs="Times New Roman" w:eastAsia="Times New Roman" w:hAnsi="Times New Roman"/>
          <w:sz w:val="20"/>
          <w:szCs w:val="20"/>
          <w:u w:val="single" w:color="auto"/>
          <w:color w:val="0000FF"/>
        </w:rPr>
        <w:t>; Increased Costs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0000FF"/>
        </w:rPr>
        <w:t>If, on or prior to the first day of an Interest Period:</w:t>
      </w:r>
    </w:p>
    <w:p>
      <w:pPr>
        <w:spacing w:after="0" w:line="166" w:lineRule="exact"/>
        <w:rPr>
          <w:sz w:val="20"/>
          <w:szCs w:val="20"/>
          <w:color w:val="auto"/>
        </w:rPr>
      </w:pPr>
    </w:p>
    <w:p>
      <w:pPr>
        <w:ind w:left="2460" w:hanging="467"/>
        <w:spacing w:after="0"/>
        <w:tabs>
          <w:tab w:leader="none" w:pos="2460" w:val="left"/>
        </w:tabs>
        <w:numPr>
          <w:ilvl w:val="0"/>
          <w:numId w:val="8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FF0000"/>
        </w:rPr>
        <w:t xml:space="preserve">If on any date on which a LIBOR Rate would otherwise be determined, </w:t>
      </w:r>
      <w:r>
        <w:rPr>
          <w:rFonts w:ascii="Times New Roman" w:cs="Times New Roman" w:eastAsia="Times New Roman" w:hAnsi="Times New Roman"/>
          <w:sz w:val="20"/>
          <w:szCs w:val="20"/>
          <w:color w:val="000000"/>
        </w:rPr>
        <w:t>the Administrative Agent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-53340</wp:posOffset>
            </wp:positionV>
            <wp:extent cx="37160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37160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 xml:space="preserve">determined </w:t>
      </w:r>
      <w:r>
        <w:rPr>
          <w:rFonts w:ascii="Times New Roman" w:cs="Times New Roman" w:eastAsia="Times New Roman" w:hAnsi="Times New Roman"/>
          <w:sz w:val="20"/>
          <w:szCs w:val="20"/>
          <w:color w:val="FF0000"/>
          <w:strike w:val="1"/>
        </w:rPr>
        <w:t>that:</w:t>
      </w:r>
    </w:p>
    <w:p>
      <w:pPr>
        <w:spacing w:after="0" w:line="151" w:lineRule="exact"/>
        <w:rPr>
          <w:sz w:val="20"/>
          <w:szCs w:val="20"/>
          <w:color w:val="auto"/>
        </w:rPr>
      </w:pPr>
    </w:p>
    <w:p>
      <w:pPr>
        <w:ind w:firstLine="1993"/>
        <w:spacing w:after="0" w:line="225" w:lineRule="auto"/>
        <w:tabs>
          <w:tab w:leader="none" w:pos="2384" w:val="left"/>
        </w:tabs>
        <w:numPr>
          <w:ilvl w:val="0"/>
          <w:numId w:val="8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adequate and reasonable means do not exist for ascertaining such LIBOR Rate</w:t>
      </w:r>
      <w:r>
        <w:rPr>
          <w:rFonts w:ascii="Times New Roman" w:cs="Times New Roman" w:eastAsia="Times New Roman" w:hAnsi="Times New Roman"/>
          <w:sz w:val="20"/>
          <w:szCs w:val="20"/>
          <w:u w:val="single" w:color="auto"/>
          <w:color w:val="0000FF"/>
          <w:strike w:val="1"/>
        </w:rPr>
        <w:t>(which determination shall be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conclusive and binding absent manifest error) that (x) the Term SOFR Rate cannot be determined pursuant to the definition thereof; or (y) a fundamental change has occurred with respect to the Term SOFR Rate (including, without limitation, changes in national or international financial, political or economic conditions)</w:t>
      </w:r>
      <w:r>
        <w:rPr>
          <w:rFonts w:ascii="Times New Roman" w:cs="Times New Roman" w:eastAsia="Times New Roman" w:hAnsi="Times New Roman"/>
          <w:sz w:val="20"/>
          <w:szCs w:val="20"/>
          <w:color w:val="000000"/>
          <w:strike w:val="1"/>
        </w:rPr>
        <w:t>, or</w:t>
      </w:r>
    </w:p>
    <w:p>
      <w:pPr>
        <w:spacing w:after="0" w:line="144" w:lineRule="exact"/>
        <w:rPr>
          <w:sz w:val="20"/>
          <w:szCs w:val="20"/>
          <w:color w:val="auto"/>
        </w:rPr>
      </w:pPr>
    </w:p>
    <w:p>
      <w:pPr>
        <w:ind w:right="220" w:firstLine="1993"/>
        <w:spacing w:after="0" w:line="222" w:lineRule="auto"/>
        <w:tabs>
          <w:tab w:leader="none" w:pos="240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a contingency has occurred which materially and adversely affects the London interbank eurodollar market relating to the LIBOR Rate</w:t>
      </w:r>
      <w:r>
        <w:rPr>
          <w:rFonts w:ascii="Times New Roman" w:cs="Times New Roman" w:eastAsia="Times New Roman" w:hAnsi="Times New Roman"/>
          <w:sz w:val="20"/>
          <w:szCs w:val="20"/>
          <w:u w:val="single" w:color="auto"/>
          <w:color w:val="0000FF"/>
          <w:strike w:val="1"/>
        </w:rPr>
        <w:t>any Lender determines that for any reason in connection with any request for a Term SOFR Rate Loan or a</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conversion thereto or a continuation thereof that the Term SOFR Rate for any requested Interest Period with respect to a proposed Term SOFR Rate Loan does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C000"/>
          <w:strike w:val="1"/>
        </w:rPr>
        <w:t>not adequately and fairly reflect the cost to such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Lenders of funding, establishing or maintaining such Loan, and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u w:val="single" w:color="auto"/>
          <w:color w:val="0000FF"/>
          <w:strike w:val="1"/>
        </w:rPr>
        <w:t>such Lender has provided notice of such determination to the Administrative Agent</w:t>
      </w:r>
      <w:r>
        <w:rPr>
          <w:rFonts w:ascii="Times New Roman" w:cs="Times New Roman" w:eastAsia="Times New Roman" w:hAnsi="Times New Roman"/>
          <w:sz w:val="20"/>
          <w:szCs w:val="20"/>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-155575</wp:posOffset>
            </wp:positionV>
            <wp:extent cx="25196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25196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Administrative Agent shall have the rights specified in Section 4.4.3 [Administrative Agent's and Lender's Rights].</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1.1.iiIllegality</w:t>
      </w:r>
      <w:r>
        <w:rPr>
          <w:rFonts w:ascii="Times New Roman" w:cs="Times New Roman" w:eastAsia="Times New Roman" w:hAnsi="Times New Roman"/>
          <w:sz w:val="20"/>
          <w:szCs w:val="20"/>
          <w:color w:val="FF0000"/>
          <w:strike w:val="1"/>
        </w:rPr>
        <w:t>; Increased Costs; Deposits Not Available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1200"/>
        <w:spacing w:after="0" w:line="222" w:lineRule="auto"/>
        <w:rPr>
          <w:sz w:val="20"/>
          <w:szCs w:val="20"/>
          <w:color w:val="auto"/>
        </w:rPr>
      </w:pPr>
      <w:r>
        <w:rPr>
          <w:rFonts w:ascii="Times New Roman" w:cs="Times New Roman" w:eastAsia="Times New Roman" w:hAnsi="Times New Roman"/>
          <w:sz w:val="20"/>
          <w:szCs w:val="20"/>
          <w:color w:val="auto"/>
        </w:rPr>
        <w:t>If at any time any Lender shall have determined</w:t>
      </w:r>
      <w:r>
        <w:rPr>
          <w:rFonts w:ascii="Times New Roman" w:cs="Times New Roman" w:eastAsia="Times New Roman" w:hAnsi="Times New Roman"/>
          <w:sz w:val="20"/>
          <w:szCs w:val="20"/>
          <w:u w:val="single" w:color="auto"/>
          <w:color w:val="0000FF"/>
        </w:rPr>
        <w:t>, or any Official Body shall have asserted,</w:t>
      </w:r>
      <w:r>
        <w:rPr>
          <w:rFonts w:ascii="Times New Roman" w:cs="Times New Roman" w:eastAsia="Times New Roman" w:hAnsi="Times New Roman"/>
          <w:sz w:val="20"/>
          <w:szCs w:val="20"/>
          <w:color w:val="auto"/>
        </w:rPr>
        <w:t xml:space="preserve"> that</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color w:val="auto"/>
        </w:rPr>
        <w:t xml:space="preserve"> the making, maintenance or funding of any </w:t>
      </w:r>
      <w:r>
        <w:rPr>
          <w:rFonts w:ascii="Times New Roman" w:cs="Times New Roman" w:eastAsia="Times New Roman" w:hAnsi="Times New Roman"/>
          <w:sz w:val="20"/>
          <w:szCs w:val="20"/>
          <w:u w:val="single" w:color="auto"/>
          <w:color w:val="0000FF"/>
        </w:rPr>
        <w:t>Term SOFR Rate</w:t>
      </w:r>
      <w:r>
        <w:rPr>
          <w:rFonts w:ascii="Times New Roman" w:cs="Times New Roman" w:eastAsia="Times New Roman" w:hAnsi="Times New Roman"/>
          <w:sz w:val="20"/>
          <w:szCs w:val="20"/>
          <w:color w:val="auto"/>
        </w:rPr>
        <w:t xml:space="preserve"> Loan </w:t>
      </w:r>
      <w:r>
        <w:rPr>
          <w:rFonts w:ascii="Times New Roman" w:cs="Times New Roman" w:eastAsia="Times New Roman" w:hAnsi="Times New Roman"/>
          <w:sz w:val="20"/>
          <w:szCs w:val="20"/>
          <w:color w:val="FF0000"/>
        </w:rPr>
        <w:t>to which a LIBOR</w:t>
      </w:r>
      <w:r>
        <w:rPr>
          <w:rFonts w:ascii="Times New Roman" w:cs="Times New Roman" w:eastAsia="Times New Roman" w:hAnsi="Times New Roman"/>
          <w:sz w:val="20"/>
          <w:szCs w:val="20"/>
          <w:u w:val="single" w:color="auto"/>
          <w:color w:val="0000FF"/>
        </w:rPr>
        <w:t>, or the determination or charging of interest rates based on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Option applies</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has been made impracticable or unlawful by compliance by such Lender in good faith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with any Law or any interpretation or application thereof by any Official Body or with any request or directive of any such Official Body (whether or not having the force of Law), </w:t>
      </w:r>
      <w:r>
        <w:rPr>
          <w:rFonts w:ascii="Times New Roman" w:cs="Times New Roman" w:eastAsia="Times New Roman" w:hAnsi="Times New Roman"/>
          <w:sz w:val="20"/>
          <w:szCs w:val="20"/>
          <w:color w:val="FF0000"/>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-459105</wp:posOffset>
            </wp:positionV>
            <wp:extent cx="9956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995680" cy="825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-75565</wp:posOffset>
            </wp:positionV>
            <wp:extent cx="1384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138430" cy="8255"/>
                    </a:xfrm>
                    <a:prstGeom prst="rect">
                      <a:avLst/>
                    </a:prstGeom>
                    <a:noFill/>
                  </pic:spPr>
                </pic:pic>
              </a:graphicData>
            </a:graphic>
          </wp:anchor>
        </w:drawing>
      </w:r>
    </w:p>
    <w:p>
      <w:pPr>
        <w:spacing w:after="0" w:line="124" w:lineRule="exact"/>
        <w:rPr>
          <w:sz w:val="20"/>
          <w:szCs w:val="20"/>
          <w:color w:val="auto"/>
        </w:rPr>
      </w:pPr>
    </w:p>
    <w:p>
      <w:pPr>
        <w:ind w:right="180" w:firstLine="1993"/>
        <w:spacing w:after="0" w:line="242" w:lineRule="auto"/>
        <w:tabs>
          <w:tab w:leader="none" w:pos="2440" w:val="left"/>
        </w:tabs>
        <w:numPr>
          <w:ilvl w:val="1"/>
          <w:numId w:val="8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such LIBOR Rate Option will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C000"/>
        </w:rPr>
        <w:t>not adequately and fairly reflect the cost to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Lender of the establishment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or maintenance of any such Loan, or</w:t>
      </w:r>
    </w:p>
    <w:p>
      <w:pPr>
        <w:spacing w:after="0" w:line="140" w:lineRule="exact"/>
        <w:rPr>
          <w:rFonts w:ascii="Times New Roman" w:cs="Times New Roman" w:eastAsia="Times New Roman" w:hAnsi="Times New Roman"/>
          <w:sz w:val="20"/>
          <w:szCs w:val="20"/>
          <w:color w:val="FF0000"/>
          <w:strike w:val="1"/>
        </w:rPr>
      </w:pPr>
    </w:p>
    <w:p>
      <w:pPr>
        <w:jc w:val="both"/>
        <w:ind w:left="1200" w:firstLine="8"/>
        <w:spacing w:after="0" w:line="225" w:lineRule="auto"/>
        <w:tabs>
          <w:tab w:leader="none" w:pos="1769" w:val="left"/>
        </w:tabs>
        <w:numPr>
          <w:ilvl w:val="0"/>
          <w:numId w:val="86"/>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after making all reasonable efforts, deposits of the relevant amount in Dollars for the relevant Interest Period for a Loan, or to banks generally, to which a LIBOR Rate Option applies, respectively, are not available to such Lender with respect to such Loan, or to banks generally, in the interbank eurodollar market, </w:t>
      </w:r>
      <w:r>
        <w:rPr>
          <w:rFonts w:ascii="Times New Roman" w:cs="Times New Roman" w:eastAsia="Times New Roman" w:hAnsi="Times New Roman"/>
          <w:sz w:val="20"/>
          <w:szCs w:val="20"/>
          <w:color w:val="000000"/>
          <w:strike w:val="1"/>
        </w:rPr>
        <w:t>then the Administrative Agent shall have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rights specified in Section 4.4.3 [Administrative Agent's and Lender's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-842645</wp:posOffset>
            </wp:positionV>
            <wp:extent cx="25196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2519680" cy="8255"/>
                    </a:xfrm>
                    <a:prstGeom prst="rect">
                      <a:avLst/>
                    </a:prstGeom>
                    <a:noFill/>
                  </pic:spPr>
                </pic:pic>
              </a:graphicData>
            </a:graphic>
          </wp:anchor>
        </w:drawing>
      </w:r>
    </w:p>
    <w:p>
      <w:pPr>
        <w:spacing w:after="0" w:line="1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1.1.iiiAdministrative Agent's and Lender's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71" w:lineRule="exact"/>
        <w:rPr>
          <w:sz w:val="20"/>
          <w:szCs w:val="20"/>
          <w:color w:val="auto"/>
        </w:rPr>
      </w:pPr>
    </w:p>
    <w:p>
      <w:pPr>
        <w:jc w:val="both"/>
        <w:ind w:left="1000"/>
        <w:spacing w:after="0" w:line="212" w:lineRule="auto"/>
        <w:rPr>
          <w:sz w:val="20"/>
          <w:szCs w:val="20"/>
          <w:color w:val="auto"/>
        </w:rPr>
      </w:pPr>
      <w:r>
        <w:rPr>
          <w:rFonts w:ascii="Times New Roman" w:cs="Times New Roman" w:eastAsia="Times New Roman" w:hAnsi="Times New Roman"/>
          <w:sz w:val="20"/>
          <w:szCs w:val="20"/>
          <w:color w:val="auto"/>
        </w:rPr>
        <w:t>In the case of any event specified in Section 4.4.1 [Unascertainable</w:t>
      </w:r>
      <w:r>
        <w:rPr>
          <w:rFonts w:ascii="Times New Roman" w:cs="Times New Roman" w:eastAsia="Times New Roman" w:hAnsi="Times New Roman"/>
          <w:sz w:val="20"/>
          <w:szCs w:val="20"/>
          <w:u w:val="single" w:color="auto"/>
          <w:color w:val="0000FF"/>
        </w:rPr>
        <w:t>; Increased Costs</w:t>
      </w:r>
      <w:r>
        <w:rPr>
          <w:rFonts w:ascii="Times New Roman" w:cs="Times New Roman" w:eastAsia="Times New Roman" w:hAnsi="Times New Roman"/>
          <w:sz w:val="20"/>
          <w:szCs w:val="20"/>
          <w:color w:val="auto"/>
        </w:rPr>
        <w:t>] above, the Administrative Agent shall promptly so notify the Lenders and the Borrower thereof, and in the case of an event specified in Section 4.4.2 [Illegality</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Increased Costs; Deposits Not Available</w:t>
      </w:r>
      <w:r>
        <w:rPr>
          <w:rFonts w:ascii="Times New Roman" w:cs="Times New Roman" w:eastAsia="Times New Roman" w:hAnsi="Times New Roman"/>
          <w:sz w:val="20"/>
          <w:szCs w:val="20"/>
          <w:color w:val="000000"/>
        </w:rPr>
        <w:t>] above, such Lender shall promptly so notify the Administrative Agent and endorse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 certificate to such notice as to the specific circumstances of such notice, and the Administrative Agent shall promptly send copies of such notice and certificate to the other Lenders and the Borrower. Upon such date as shall be specified in such notice (which shall not be earlier than the date such notice is given), the obligation of (A) the Lenders, in the case of such notice given by the Administrative Agent, or (B) such Lender, in the case of such notice given by such Lender, to allow the Borrower to select, convert to or renew a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Rate </w:t>
      </w:r>
      <w:r>
        <w:rPr>
          <w:rFonts w:ascii="Times New Roman" w:cs="Times New Roman" w:eastAsia="Times New Roman" w:hAnsi="Times New Roman"/>
          <w:sz w:val="20"/>
          <w:szCs w:val="20"/>
          <w:color w:val="FF0000"/>
          <w:strike w:val="1"/>
        </w:rPr>
        <w:t>Option</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000000"/>
        </w:rPr>
        <w:t xml:space="preserve"> shall be suspended </w:t>
      </w:r>
      <w:r>
        <w:rPr>
          <w:rFonts w:ascii="Times New Roman" w:cs="Times New Roman" w:eastAsia="Times New Roman" w:hAnsi="Times New Roman"/>
          <w:sz w:val="20"/>
          <w:szCs w:val="20"/>
          <w:color w:val="0000FF"/>
        </w:rPr>
        <w:t>(to the extent of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affected Term SOFR Rate Loan or Interest Periods)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until the Administrative Agent shall have later notified the Borrower,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such Lender shall have later notified the Administrative Agent, of the Administrative Agent's or such Lender's, as the case may be, determination that the circumstances giving rise to such previous determination no longer exist. If at any time the Administrative Agent makes a determination under Section 4.4.1 [Unascertainable</w:t>
      </w:r>
      <w:r>
        <w:rPr>
          <w:rFonts w:ascii="Times New Roman" w:cs="Times New Roman" w:eastAsia="Times New Roman" w:hAnsi="Times New Roman"/>
          <w:sz w:val="20"/>
          <w:szCs w:val="20"/>
          <w:u w:val="single" w:color="auto"/>
          <w:color w:val="0000FF"/>
        </w:rPr>
        <w:t>; Increased Costs</w:t>
      </w:r>
      <w:r>
        <w:rPr>
          <w:rFonts w:ascii="Times New Roman" w:cs="Times New Roman" w:eastAsia="Times New Roman" w:hAnsi="Times New Roman"/>
          <w:sz w:val="20"/>
          <w:szCs w:val="20"/>
          <w:color w:val="000000"/>
        </w:rPr>
        <w:t xml:space="preserve">] and the Borrower has previously notified the Administrative Agent of its selection of, conversion to or renewal of a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Rate Option and </w:t>
      </w:r>
      <w:r>
        <w:rPr>
          <w:rFonts w:ascii="Times New Roman" w:cs="Times New Roman" w:eastAsia="Times New Roman" w:hAnsi="Times New Roman"/>
          <w:sz w:val="20"/>
          <w:szCs w:val="20"/>
          <w:color w:val="FF0000"/>
          <w:strike w:val="1"/>
        </w:rPr>
        <w:t>such Interest</w:t>
      </w:r>
      <w:r>
        <w:rPr>
          <w:rFonts w:ascii="Times New Roman" w:cs="Times New Roman" w:eastAsia="Times New Roman" w:hAnsi="Times New Roman"/>
          <w:sz w:val="20"/>
          <w:szCs w:val="20"/>
          <w:u w:val="single" w:color="auto"/>
          <w:color w:val="0000FF"/>
        </w:rPr>
        <w:t>the Term SOFR</w:t>
      </w:r>
      <w:r>
        <w:rPr>
          <w:rFonts w:ascii="Times New Roman" w:cs="Times New Roman" w:eastAsia="Times New Roman" w:hAnsi="Times New Roman"/>
          <w:sz w:val="20"/>
          <w:szCs w:val="20"/>
          <w:color w:val="000000"/>
        </w:rPr>
        <w:t xml:space="preserve"> Rate Option has not yet gone into effect, such notification shall be deemed to provide for selection of, conversion to or renewal of the Base Rate Option otherwise available with respect to such Loans. If any Lender notifies the Administrative Agent of a determination under Section 4.4.2 [Illegality</w:t>
      </w:r>
      <w:r>
        <w:rPr>
          <w:rFonts w:ascii="Times New Roman" w:cs="Times New Roman" w:eastAsia="Times New Roman" w:hAnsi="Times New Roman"/>
          <w:sz w:val="20"/>
          <w:szCs w:val="20"/>
          <w:color w:val="FF0000"/>
          <w:strike w:val="1"/>
        </w:rPr>
        <w:t>; Increased Costs; Deposits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Not Available</w:t>
      </w:r>
      <w:r>
        <w:rPr>
          <w:rFonts w:ascii="Times New Roman" w:cs="Times New Roman" w:eastAsia="Times New Roman" w:hAnsi="Times New Roman"/>
          <w:sz w:val="20"/>
          <w:szCs w:val="20"/>
          <w:color w:val="000000"/>
        </w:rPr>
        <w:t>], the Borrower shall, subject to the Borrower's indemnification Obligations under Section 5.10 [Indemnity],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as to any Loan of the Lender to which a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Rate Option applies, on the date specified in such notice either convert such Loan to the Base Rate Option otherwise available with respect to such Loan or prepay such Loan in accordance with Section 5.6 [Voluntary Prepayments]. Absent due notice from the Borrower of conversion or prepayment, such Loan shall automatically be converted to the Base Rate Option otherwise available with respect to such Loan upon such specified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-1806575</wp:posOffset>
            </wp:positionV>
            <wp:extent cx="11125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1.1.iv</w:t>
      </w:r>
      <w:r>
        <w:rPr>
          <w:rFonts w:ascii="Times New Roman" w:cs="Times New Roman" w:eastAsia="Times New Roman" w:hAnsi="Times New Roman"/>
          <w:sz w:val="20"/>
          <w:szCs w:val="20"/>
          <w:color w:val="FF0000"/>
          <w:strike w:val="1"/>
        </w:rPr>
        <w:t>Successor LIBOR Rate Index.</w:t>
      </w:r>
      <w:r>
        <w:rPr>
          <w:rFonts w:ascii="Times New Roman" w:cs="Times New Roman" w:eastAsia="Times New Roman" w:hAnsi="Times New Roman"/>
          <w:sz w:val="20"/>
          <w:szCs w:val="20"/>
          <w:u w:val="single" w:color="auto"/>
          <w:color w:val="0000FF"/>
        </w:rPr>
        <w:t>Benchmark Replacement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040"/>
          </w:cols>
          <w:pgMar w:left="52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1000" w:firstLine="8"/>
        <w:spacing w:after="0" w:line="237" w:lineRule="auto"/>
        <w:tabs>
          <w:tab w:leader="none" w:pos="1420" w:val="left"/>
        </w:tabs>
        <w:numPr>
          <w:ilvl w:val="0"/>
          <w:numId w:val="8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If the Administrative Agent determines (which determination shall be final and conclusive, absent manifest error) that either (a) (i) the circumstances set forth in Section 4.1.1 have arisen and are unlikely to be temporary, or (ii) the circumstances set forth in Section 4.1.1 have not arisen but the applicable supervisor or administrator (if any) of the LIBOR Rate or an Official Body having jurisdiction over </w:t>
      </w:r>
      <w:r>
        <w:rPr>
          <w:rFonts w:ascii="Times New Roman" w:cs="Times New Roman" w:eastAsia="Times New Roman" w:hAnsi="Times New Roman"/>
          <w:sz w:val="20"/>
          <w:szCs w:val="20"/>
          <w:color w:val="00C000"/>
          <w:strike w:val="1"/>
        </w:rPr>
        <w:t>the Administrative Agent has</w:t>
      </w:r>
      <w:r>
        <w:rPr>
          <w:rFonts w:ascii="Times New Roman" w:cs="Times New Roman" w:eastAsia="Times New Roman" w:hAnsi="Times New Roman"/>
          <w:sz w:val="20"/>
          <w:szCs w:val="20"/>
          <w:color w:val="FF0000"/>
          <w:strike w:val="1"/>
        </w:rPr>
        <w:t xml:space="preserve"> made a public statement identifying the specific date after which the LIBOR Rate shall no longer be used for determining interest rates for loans (either such date, a "</w:t>
      </w:r>
      <w:r>
        <w:rPr>
          <w:rFonts w:ascii="Times New Roman" w:cs="Times New Roman" w:eastAsia="Times New Roman" w:hAnsi="Times New Roman"/>
          <w:sz w:val="20"/>
          <w:szCs w:val="20"/>
          <w:b w:val="1"/>
          <w:bCs w:val="1"/>
          <w:color w:val="FF0000"/>
          <w:strike w:val="1"/>
        </w:rPr>
        <w:t>LIBOR Termination Date</w:t>
      </w:r>
      <w:r>
        <w:rPr>
          <w:rFonts w:ascii="Times New Roman" w:cs="Times New Roman" w:eastAsia="Times New Roman" w:hAnsi="Times New Roman"/>
          <w:sz w:val="20"/>
          <w:szCs w:val="20"/>
          <w:color w:val="FF0000"/>
          <w:strike w:val="1"/>
        </w:rPr>
        <w:t>"), or (b) a rate other than the LIBOR Rate has become a widely recognized benchmark rate for newly originated loans in Dollars in the U.S. market, then the Administrative Agent may (</w:t>
      </w:r>
      <w:r>
        <w:rPr>
          <w:rFonts w:ascii="Times New Roman" w:cs="Times New Roman" w:eastAsia="Times New Roman" w:hAnsi="Times New Roman"/>
          <w:sz w:val="20"/>
          <w:szCs w:val="20"/>
          <w:color w:val="00C000"/>
          <w:strike w:val="1"/>
        </w:rPr>
        <w:t>in consultation with 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Borrower</w:t>
      </w:r>
      <w:r>
        <w:rPr>
          <w:rFonts w:ascii="Times New Roman" w:cs="Times New Roman" w:eastAsia="Times New Roman" w:hAnsi="Times New Roman"/>
          <w:sz w:val="20"/>
          <w:szCs w:val="20"/>
          <w:color w:val="FF0000"/>
          <w:strike w:val="1"/>
        </w:rPr>
        <w:t>) choose a replacement index for the LIBOR Rate and make adjustments to applicable margins and related</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amendments to this Agreement as referred to below such that, to the extent practicable, the all-in interest rate based on the replacement index will be substantially equivalent to the all-in LIBOR Rate-based interest rate in effect prior to its replacement.</w:t>
      </w:r>
    </w:p>
    <w:p>
      <w:pPr>
        <w:spacing w:after="0" w:line="144" w:lineRule="exact"/>
        <w:rPr>
          <w:rFonts w:ascii="Times New Roman" w:cs="Times New Roman" w:eastAsia="Times New Roman" w:hAnsi="Times New Roman"/>
          <w:sz w:val="20"/>
          <w:szCs w:val="20"/>
          <w:color w:val="FF0000"/>
          <w:strike w:val="1"/>
        </w:rPr>
      </w:pPr>
    </w:p>
    <w:p>
      <w:pPr>
        <w:jc w:val="both"/>
        <w:ind w:left="1000" w:firstLine="8"/>
        <w:spacing w:after="0" w:line="225" w:lineRule="auto"/>
        <w:tabs>
          <w:tab w:leader="none" w:pos="1636" w:val="left"/>
        </w:tabs>
        <w:numPr>
          <w:ilvl w:val="0"/>
          <w:numId w:val="87"/>
        </w:numPr>
        <w:rPr>
          <w:rFonts w:ascii="Times New Roman" w:cs="Times New Roman" w:eastAsia="Times New Roman" w:hAnsi="Times New Roman"/>
          <w:sz w:val="20"/>
          <w:szCs w:val="20"/>
          <w:color w:val="FF0000"/>
        </w:rPr>
      </w:pPr>
      <w:r>
        <w:rPr>
          <w:rFonts w:ascii="Times New Roman" w:cs="Times New Roman" w:eastAsia="Times New Roman" w:hAnsi="Times New Roman"/>
          <w:sz w:val="20"/>
          <w:szCs w:val="20"/>
          <w:color w:val="00C000"/>
          <w:strike w:val="1"/>
        </w:rPr>
        <w:t xml:space="preserve">The Administrative Agent </w:t>
      </w:r>
      <w:r>
        <w:rPr>
          <w:rFonts w:ascii="Times New Roman" w:cs="Times New Roman" w:eastAsia="Times New Roman" w:hAnsi="Times New Roman"/>
          <w:sz w:val="20"/>
          <w:szCs w:val="20"/>
          <w:color w:val="FF0000"/>
          <w:strike w:val="1"/>
        </w:rPr>
        <w:t>and the Borrower shall enter into an amendment to this Agreement to reflect the</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 xml:space="preserve">replacement index, the adjusted margins and such other related amendments as may be appropriate, in the discretion of </w:t>
      </w:r>
      <w:r>
        <w:rPr>
          <w:rFonts w:ascii="Times New Roman" w:cs="Times New Roman" w:eastAsia="Times New Roman" w:hAnsi="Times New Roman"/>
          <w:sz w:val="20"/>
          <w:szCs w:val="20"/>
          <w:color w:val="00C000"/>
          <w:strike w:val="1"/>
        </w:rPr>
        <w:t>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Administrative Agent</w:t>
      </w:r>
      <w:r>
        <w:rPr>
          <w:rFonts w:ascii="Times New Roman" w:cs="Times New Roman" w:eastAsia="Times New Roman" w:hAnsi="Times New Roman"/>
          <w:sz w:val="20"/>
          <w:szCs w:val="20"/>
          <w:color w:val="FF0000"/>
          <w:strike w:val="1"/>
        </w:rPr>
        <w:t>, for the implementation and administration of the replacement index-based rate. Upon execution of</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the amendment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-1609725</wp:posOffset>
            </wp:positionV>
            <wp:extent cx="16452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1645285" cy="825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-459105</wp:posOffset>
            </wp:positionV>
            <wp:extent cx="403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40386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6813550</wp:posOffset>
            </wp:positionH>
            <wp:positionV relativeFrom="paragraph">
              <wp:posOffset>-331470</wp:posOffset>
            </wp:positionV>
            <wp:extent cx="1962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196215" cy="8255"/>
                    </a:xfrm>
                    <a:prstGeom prst="rect">
                      <a:avLst/>
                    </a:prstGeom>
                    <a:noFill/>
                  </pic:spPr>
                </pic:pic>
              </a:graphicData>
            </a:graphic>
          </wp:anchor>
        </w:drawing>
      </w:r>
    </w:p>
    <w:p>
      <w:pPr>
        <w:spacing w:after="0" w:line="12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u w:val="single" w:color="auto"/>
          <w:color w:val="0000FF"/>
        </w:rPr>
        <w:t>(a)</w:t>
      </w:r>
    </w:p>
    <w:p>
      <w:pPr>
        <w:spacing w:after="0" w:line="173" w:lineRule="exact"/>
        <w:rPr>
          <w:sz w:val="20"/>
          <w:szCs w:val="20"/>
          <w:color w:val="auto"/>
        </w:rPr>
      </w:pPr>
    </w:p>
    <w:p>
      <w:pPr>
        <w:ind w:left="-200" w:right="60" w:firstLine="1993"/>
        <w:spacing w:after="0" w:line="230" w:lineRule="auto"/>
        <w:tabs>
          <w:tab w:leader="none" w:pos="2205" w:val="left"/>
        </w:tabs>
        <w:numPr>
          <w:ilvl w:val="0"/>
          <w:numId w:val="8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Benchmark Replacement. Notwithstanding anything to the contrary herein or in any other Loan Document (and any agreement executed in connection with an Interest Rate Hedge shall be deemed not to be a “Loan Document” for purposes of this Section 4.4.4), if a Benchmark Transition Event and its related Benchmark Replacement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040"/>
          </w:cols>
          <w:pgMar w:left="520" w:top="1440" w:right="339" w:bottom="1440" w:gutter="0" w:footer="0" w:header="0"/>
        </w:sectPr>
      </w:pPr>
    </w:p>
    <w:bookmarkStart w:id="149" w:name="page150"/>
    <w:bookmarkEnd w:id="149"/>
    <w:p>
      <w:pPr>
        <w:spacing w:after="0" w:line="7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20"/>
          <w:szCs w:val="20"/>
          <w:u w:val="single" w:color="auto"/>
          <w:color w:val="0000FF"/>
        </w:rPr>
        <w:t>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20"/>
          <w:szCs w:val="20"/>
          <w:u w:val="single" w:color="auto"/>
          <w:color w:val="00C000"/>
        </w:rPr>
        <w:t>th)</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C000"/>
        </w:rPr>
        <w:t>Business Day after the date</w:t>
      </w:r>
      <w:r>
        <w:rPr>
          <w:rFonts w:ascii="Times New Roman" w:cs="Times New Roman" w:eastAsia="Times New Roman" w:hAnsi="Times New Roman"/>
          <w:sz w:val="20"/>
          <w:szCs w:val="20"/>
          <w:color w:val="00C000"/>
        </w:rPr>
        <w:t xml:space="preserve"> </w:t>
      </w:r>
      <w:r>
        <w:rPr>
          <w:rFonts w:ascii="Times New Roman" w:cs="Times New Roman" w:eastAsia="Times New Roman" w:hAnsi="Times New Roman"/>
          <w:sz w:val="20"/>
          <w:szCs w:val="20"/>
          <w:u w:val="single" w:color="auto"/>
          <w:color w:val="0000FF"/>
        </w:rPr>
        <w:t>notice of such Benchmark Replacement</w:t>
      </w:r>
      <w:r>
        <w:rPr>
          <w:rFonts w:ascii="Times New Roman" w:cs="Times New Roman" w:eastAsia="Times New Roman" w:hAnsi="Times New Roman"/>
          <w:sz w:val="20"/>
          <w:szCs w:val="20"/>
          <w:color w:val="00C000"/>
        </w:rPr>
        <w:t xml:space="preserve"> is provided to the Lenders </w:t>
      </w:r>
      <w:r>
        <w:rPr>
          <w:rFonts w:ascii="Times New Roman" w:cs="Times New Roman" w:eastAsia="Times New Roman" w:hAnsi="Times New Roman"/>
          <w:sz w:val="20"/>
          <w:szCs w:val="20"/>
          <w:u w:val="single" w:color="auto"/>
          <w:color w:val="0000FF"/>
        </w:rPr>
        <w:t>without any amendment to, or further action</w:t>
      </w:r>
      <w:r>
        <w:rPr>
          <w:rFonts w:ascii="Times New Roman" w:cs="Times New Roman" w:eastAsia="Times New Roman" w:hAnsi="Times New Roman"/>
          <w:sz w:val="20"/>
          <w:szCs w:val="20"/>
          <w:color w:val="00C000"/>
        </w:rPr>
        <w:t xml:space="preserve"> </w:t>
      </w:r>
      <w:r>
        <w:rPr>
          <w:rFonts w:ascii="Times New Roman" w:cs="Times New Roman" w:eastAsia="Times New Roman" w:hAnsi="Times New Roman"/>
          <w:sz w:val="20"/>
          <w:szCs w:val="20"/>
          <w:u w:val="single" w:color="auto"/>
          <w:color w:val="0000FF"/>
        </w:rPr>
        <w:t>or consent of any other party to, this Agreement or any other Loan Document so long as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the Administrative Agent has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not received, by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such time, written notice of objection to such Benchmark Replacement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-283210</wp:posOffset>
            </wp:positionV>
            <wp:extent cx="13665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1366520" cy="825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-155575</wp:posOffset>
            </wp:positionV>
            <wp:extent cx="15652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124" w:lineRule="exact"/>
        <w:rPr>
          <w:sz w:val="20"/>
          <w:szCs w:val="20"/>
          <w:color w:val="auto"/>
        </w:rPr>
      </w:pPr>
    </w:p>
    <w:p>
      <w:pPr>
        <w:ind w:right="120" w:firstLine="1993"/>
        <w:spacing w:after="0" w:line="202" w:lineRule="auto"/>
        <w:tabs>
          <w:tab w:leader="none" w:pos="2403" w:val="left"/>
        </w:tabs>
        <w:numPr>
          <w:ilvl w:val="1"/>
          <w:numId w:val="8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Benchmark Replacement Conforming Changes. In connection with the use, administration, adoption or implementation of a Benchmark Replacement,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u w:val="single" w:color="auto"/>
          <w:color w:val="0000FF"/>
        </w:rPr>
        <w:t>will have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Borrower</w:t>
      </w:r>
      <w:r>
        <w:rPr>
          <w:rFonts w:ascii="Times New Roman" w:cs="Times New Roman" w:eastAsia="Times New Roman" w:hAnsi="Times New Roman"/>
          <w:sz w:val="20"/>
          <w:szCs w:val="20"/>
          <w:u w:val="single" w:color="auto"/>
          <w:color w:val="0000FF"/>
        </w:rPr>
        <w:t>right to make Conforming Changes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from time to time and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notwithstanding anything to the contrary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herein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this Agreement or the</w:t>
      </w:r>
      <w:r>
        <w:rPr>
          <w:rFonts w:ascii="Times New Roman" w:cs="Times New Roman" w:eastAsia="Times New Roman" w:hAnsi="Times New Roman"/>
          <w:sz w:val="20"/>
          <w:szCs w:val="20"/>
          <w:u w:val="single" w:color="auto"/>
          <w:color w:val="0000FF"/>
        </w:rPr>
        <w:t>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other Loan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Documents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(including, without limitation, Section 11.1 [Modifications, Amendments or Waivers], such amendment shall</w:t>
      </w:r>
      <w:r>
        <w:rPr>
          <w:rFonts w:ascii="Times New Roman" w:cs="Times New Roman" w:eastAsia="Times New Roman" w:hAnsi="Times New Roman"/>
          <w:sz w:val="20"/>
          <w:szCs w:val="20"/>
          <w:u w:val="single" w:color="auto"/>
          <w:color w:val="0000FF"/>
          <w:strike w:val="1"/>
        </w:rPr>
        <w:t>Document, any amendments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implementing such Conforming Changes will</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become effective without any further action or consent of any other party to this Agreement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at 5:00 p.m. Eastern Time on the tenth (10</w:t>
      </w:r>
      <w:r>
        <w:rPr>
          <w:rFonts w:ascii="Times New Roman" w:cs="Times New Roman" w:eastAsia="Times New Roman" w:hAnsi="Times New Roman"/>
          <w:sz w:val="26"/>
          <w:szCs w:val="26"/>
          <w:color w:val="00C000"/>
          <w:strike w:val="1"/>
          <w:vertAlign w:val="superscript"/>
        </w:rPr>
        <w:t>th</w:t>
      </w:r>
      <w:r>
        <w:rPr>
          <w:rFonts w:ascii="Times New Roman" w:cs="Times New Roman" w:eastAsia="Times New Roman" w:hAnsi="Times New Roman"/>
          <w:sz w:val="20"/>
          <w:szCs w:val="20"/>
          <w:color w:val="00C000"/>
          <w:strike w:val="1"/>
        </w:rPr>
        <w:t>) Business Day after the date</w:t>
      </w:r>
      <w:r>
        <w:rPr>
          <w:rFonts w:ascii="Times New Roman" w:cs="Times New Roman" w:eastAsia="Times New Roman" w:hAnsi="Times New Roman"/>
          <w:sz w:val="20"/>
          <w:szCs w:val="20"/>
          <w:color w:val="FF0000"/>
          <w:strike w:val="1"/>
        </w:rPr>
        <w:t xml:space="preserve"> the amendment </w:t>
      </w:r>
      <w:r>
        <w:rPr>
          <w:rFonts w:ascii="Times New Roman" w:cs="Times New Roman" w:eastAsia="Times New Roman" w:hAnsi="Times New Roman"/>
          <w:sz w:val="20"/>
          <w:szCs w:val="20"/>
          <w:color w:val="00C000"/>
          <w:strike w:val="1"/>
        </w:rPr>
        <w:t>is provided to the Lenders</w:t>
      </w:r>
      <w:r>
        <w:rPr>
          <w:rFonts w:ascii="Times New Roman" w:cs="Times New Roman" w:eastAsia="Times New Roman" w:hAnsi="Times New Roman"/>
          <w:sz w:val="20"/>
          <w:szCs w:val="20"/>
          <w:color w:val="FF0000"/>
          <w:strike w:val="1"/>
        </w:rPr>
        <w:t xml:space="preserve">, unless </w:t>
      </w:r>
      <w:r>
        <w:rPr>
          <w:rFonts w:ascii="Times New Roman" w:cs="Times New Roman" w:eastAsia="Times New Roman" w:hAnsi="Times New Roman"/>
          <w:sz w:val="20"/>
          <w:szCs w:val="20"/>
          <w:color w:val="00C000"/>
          <w:strike w:val="1"/>
        </w:rPr>
        <w:t>the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 xml:space="preserve">Administrative Agent </w:t>
      </w:r>
      <w:r>
        <w:rPr>
          <w:rFonts w:ascii="Times New Roman" w:cs="Times New Roman" w:eastAsia="Times New Roman" w:hAnsi="Times New Roman"/>
          <w:sz w:val="20"/>
          <w:szCs w:val="20"/>
          <w:color w:val="FF0000"/>
          <w:strike w:val="1"/>
        </w:rPr>
        <w:t>receives, on or before such tenth (10</w:t>
      </w:r>
      <w:r>
        <w:rPr>
          <w:rFonts w:ascii="Times New Roman" w:cs="Times New Roman" w:eastAsia="Times New Roman" w:hAnsi="Times New Roman"/>
          <w:sz w:val="26"/>
          <w:szCs w:val="26"/>
          <w:color w:val="FF0000"/>
          <w:strike w:val="1"/>
          <w:vertAlign w:val="superscript"/>
        </w:rPr>
        <w:t>th</w:t>
      </w:r>
      <w:r>
        <w:rPr>
          <w:rFonts w:ascii="Times New Roman" w:cs="Times New Roman" w:eastAsia="Times New Roman" w:hAnsi="Times New Roman"/>
          <w:sz w:val="20"/>
          <w:szCs w:val="20"/>
          <w:color w:val="FF0000"/>
          <w:strike w:val="1"/>
        </w:rPr>
        <w:t>) Business Day, a written notice from the Required Lenders stating that such</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Lenders object to such amendment</w:t>
      </w:r>
      <w:r>
        <w:rPr>
          <w:rFonts w:ascii="Times New Roman" w:cs="Times New Roman" w:eastAsia="Times New Roman" w:hAnsi="Times New Roman"/>
          <w:sz w:val="20"/>
          <w:szCs w:val="20"/>
          <w:u w:val="single" w:color="auto"/>
          <w:color w:val="0000FF"/>
          <w:strike w:val="1"/>
        </w:rPr>
        <w:t>or any other Loan Document</w:t>
      </w:r>
      <w:r>
        <w:rPr>
          <w:rFonts w:ascii="Times New Roman" w:cs="Times New Roman" w:eastAsia="Times New Roman" w:hAnsi="Times New Roman"/>
          <w:sz w:val="20"/>
          <w:szCs w:val="20"/>
          <w:color w:val="000000"/>
          <w:strike w:val="1"/>
        </w:rPr>
        <w:t>.</w:t>
      </w:r>
    </w:p>
    <w:p>
      <w:pPr>
        <w:spacing w:after="0" w:line="146" w:lineRule="exact"/>
        <w:rPr>
          <w:rFonts w:ascii="Times New Roman" w:cs="Times New Roman" w:eastAsia="Times New Roman" w:hAnsi="Times New Roman"/>
          <w:sz w:val="20"/>
          <w:szCs w:val="20"/>
          <w:u w:val="single" w:color="auto"/>
          <w:color w:val="0000FF"/>
        </w:rPr>
      </w:pPr>
    </w:p>
    <w:p>
      <w:pPr>
        <w:jc w:val="both"/>
        <w:ind w:firstLine="1208"/>
        <w:spacing w:after="0" w:line="222" w:lineRule="auto"/>
        <w:tabs>
          <w:tab w:leader="none" w:pos="1718" w:val="left"/>
        </w:tabs>
        <w:numPr>
          <w:ilvl w:val="0"/>
          <w:numId w:val="9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Selection of the replacement index, adjustments to the applicable margins, and amendments to this Agreement (i) will be determined with due consideration to the then-current market practices for determining and implementing a rate of interest for newly originated loans in the United States and loans converted from a LIBOR Rate-based rate to a replacement index-based rate, and (ii) may also reflect adjustments to account for (x) the effects of the transition from the LIBOR Rate to the replacement index and (y) yield- or risk-based differences between the LIBOR Rate and the replacement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-1481455</wp:posOffset>
            </wp:positionV>
            <wp:extent cx="2165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21653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-1097915</wp:posOffset>
            </wp:positionV>
            <wp:extent cx="19380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1938020" cy="8255"/>
                    </a:xfrm>
                    <a:prstGeom prst="rect">
                      <a:avLst/>
                    </a:prstGeom>
                    <a:noFill/>
                  </pic:spPr>
                </pic:pic>
              </a:graphicData>
            </a:graphic>
          </wp:anchor>
        </w:drawing>
      </w:r>
    </w:p>
    <w:p>
      <w:pPr>
        <w:spacing w:after="0" w:line="124" w:lineRule="exact"/>
        <w:rPr>
          <w:sz w:val="20"/>
          <w:szCs w:val="20"/>
          <w:color w:val="auto"/>
        </w:rPr>
      </w:pPr>
    </w:p>
    <w:p>
      <w:pPr>
        <w:ind w:right="60" w:firstLine="1208"/>
        <w:spacing w:after="0" w:line="220" w:lineRule="auto"/>
        <w:tabs>
          <w:tab w:leader="none" w:pos="1599" w:val="left"/>
        </w:tabs>
        <w:numPr>
          <w:ilvl w:val="0"/>
          <w:numId w:val="9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Until an amendment reflecting a new replacement index in accordance with this Section 4.4.4 is effective, each advance, conversion and renewal of a Loan under the LIBOR Rate Option will continue to bear interest with reference to the LIBOR Rate; provided however, that if the Administrative Agent determines (which determination shall be final and conclusive, absent manifest error) that a LIBOR Termination Date has occurred, then following the LIBOR Termination Date, all Loans as to which the LIBOR Rate Option would otherwise apply shall automatically be converted to the Base Rate Option until such time as an amendment reflecting a replacement index and related matters as described above is implemented.</w:t>
      </w:r>
    </w:p>
    <w:p>
      <w:pPr>
        <w:spacing w:after="0" w:line="144" w:lineRule="exact"/>
        <w:rPr>
          <w:rFonts w:ascii="Times New Roman" w:cs="Times New Roman" w:eastAsia="Times New Roman" w:hAnsi="Times New Roman"/>
          <w:sz w:val="20"/>
          <w:szCs w:val="20"/>
          <w:color w:val="FF0000"/>
          <w:strike w:val="1"/>
        </w:rPr>
      </w:pPr>
    </w:p>
    <w:p>
      <w:pPr>
        <w:ind w:right="300" w:firstLine="1208"/>
        <w:spacing w:after="0" w:line="242" w:lineRule="auto"/>
        <w:tabs>
          <w:tab w:leader="none" w:pos="1655" w:val="left"/>
        </w:tabs>
        <w:numPr>
          <w:ilvl w:val="0"/>
          <w:numId w:val="91"/>
        </w:numPr>
        <w:rPr>
          <w:rFonts w:ascii="Times New Roman" w:cs="Times New Roman" w:eastAsia="Times New Roman" w:hAnsi="Times New Roman"/>
          <w:sz w:val="20"/>
          <w:szCs w:val="20"/>
          <w:color w:val="FF0000"/>
        </w:rPr>
      </w:pPr>
      <w:r>
        <w:rPr>
          <w:rFonts w:ascii="Times New Roman" w:cs="Times New Roman" w:eastAsia="Times New Roman" w:hAnsi="Times New Roman"/>
          <w:sz w:val="20"/>
          <w:szCs w:val="20"/>
          <w:color w:val="00C000"/>
          <w:strike w:val="1"/>
        </w:rPr>
        <w:t xml:space="preserve">Notwithstanding anything to the contrary contained herein, </w:t>
      </w:r>
      <w:r>
        <w:rPr>
          <w:rFonts w:ascii="Times New Roman" w:cs="Times New Roman" w:eastAsia="Times New Roman" w:hAnsi="Times New Roman"/>
          <w:sz w:val="20"/>
          <w:szCs w:val="20"/>
          <w:color w:val="FF0000"/>
          <w:strike w:val="1"/>
        </w:rPr>
        <w:t>if at any time the replacement index is less than zero, at</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such times, such index shall be deemed to be zero for purposes of this Agreement</w:t>
      </w:r>
    </w:p>
    <w:p>
      <w:pPr>
        <w:spacing w:after="0" w:line="140" w:lineRule="exact"/>
        <w:rPr>
          <w:rFonts w:ascii="Times New Roman" w:cs="Times New Roman" w:eastAsia="Times New Roman" w:hAnsi="Times New Roman"/>
          <w:sz w:val="20"/>
          <w:szCs w:val="20"/>
          <w:color w:val="FF0000"/>
        </w:rPr>
      </w:pPr>
    </w:p>
    <w:p>
      <w:pPr>
        <w:ind w:right="140" w:firstLine="1993"/>
        <w:spacing w:after="0" w:line="225" w:lineRule="auto"/>
        <w:tabs>
          <w:tab w:leader="none" w:pos="2405" w:val="left"/>
        </w:tabs>
        <w:numPr>
          <w:ilvl w:val="1"/>
          <w:numId w:val="9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Notices; Standards for Decisions and Determinations. The Administrative Agent will promptly notify the Borrower and the Lenders of (A) the implementation of any Benchmark Replacement, and (B) the effectiveness of any Conforming Changes in connection with the use, administration, adoption or implementation of a Benchmark Replacement. </w:t>
      </w:r>
      <w:r>
        <w:rPr>
          <w:rFonts w:ascii="Times New Roman" w:cs="Times New Roman" w:eastAsia="Times New Roman" w:hAnsi="Times New Roman"/>
          <w:sz w:val="20"/>
          <w:szCs w:val="20"/>
          <w:u w:val="single" w:color="auto"/>
          <w:color w:val="00C000"/>
        </w:rPr>
        <w:t>The Administrative Agent</w:t>
      </w:r>
      <w:r>
        <w:rPr>
          <w:rFonts w:ascii="Times New Roman" w:cs="Times New Roman" w:eastAsia="Times New Roman" w:hAnsi="Times New Roman"/>
          <w:sz w:val="20"/>
          <w:szCs w:val="20"/>
          <w:u w:val="single" w:color="auto"/>
          <w:color w:val="0000FF"/>
        </w:rPr>
        <w:t xml:space="preserve"> will notify the Borrower of (x) the removal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-842645</wp:posOffset>
            </wp:positionV>
            <wp:extent cx="283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71"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20"/>
          <w:szCs w:val="20"/>
          <w:u w:val="single" w:color="auto"/>
          <w:color w:val="0000FF"/>
        </w:rPr>
        <w:t>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44" w:lineRule="exact"/>
        <w:rPr>
          <w:sz w:val="20"/>
          <w:szCs w:val="20"/>
          <w:color w:val="auto"/>
        </w:rPr>
      </w:pPr>
    </w:p>
    <w:p>
      <w:pPr>
        <w:ind w:firstLine="1993"/>
        <w:spacing w:after="0" w:line="215" w:lineRule="auto"/>
        <w:tabs>
          <w:tab w:leader="none" w:pos="2403" w:val="left"/>
        </w:tabs>
        <w:numPr>
          <w:ilvl w:val="0"/>
          <w:numId w:val="9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Unavailability of Tenor of Benchmark. Notwithstanding anything to the contrary herein or in any other Loan Document, at any time (including in connection with the implementation of a Benchmark Replacement), (A) if the then-current Benchmark is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may modify the definition of “Interest Period” (or any similar or analogous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may modify the definition of “Interest Period”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any similar or analogous definition) for all Benchmark settings at or after such time to reinstate such previously removed tenor.</w:t>
      </w:r>
    </w:p>
    <w:p>
      <w:pPr>
        <w:spacing w:after="0" w:line="149" w:lineRule="exact"/>
        <w:rPr>
          <w:rFonts w:ascii="Times New Roman" w:cs="Times New Roman" w:eastAsia="Times New Roman" w:hAnsi="Times New Roman"/>
          <w:sz w:val="20"/>
          <w:szCs w:val="20"/>
          <w:u w:val="single" w:color="auto"/>
          <w:color w:val="0000FF"/>
        </w:rPr>
      </w:pPr>
    </w:p>
    <w:p>
      <w:pPr>
        <w:ind w:right="40" w:firstLine="1993"/>
        <w:spacing w:after="0" w:line="219" w:lineRule="auto"/>
        <w:tabs>
          <w:tab w:leader="none" w:pos="2405" w:val="left"/>
        </w:tabs>
        <w:numPr>
          <w:ilvl w:val="0"/>
          <w:numId w:val="9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Benchmark Unavailability Period. Upon the Borrower’s receipt of notice of the commencement of a Benchmark Unavailability Period, the Borrower may revoke any pending request for a Loan bearing interest based on the Term SOFR Rate, conversion to or continuation of Loans bearing interest based on the Term SOFR Rate to be made, converted or continued during any Benchmark Unavailability Period and, failing that, the Borrower will be deemed to have converted any such request into a request for a Loan of or conversion to Loans bearing interest under the Base Rate Option.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-1691005</wp:posOffset>
            </wp:positionV>
            <wp:extent cx="13309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1330960"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-1179830</wp:posOffset>
            </wp:positionV>
            <wp:extent cx="13627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2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1.e</w:t>
      </w:r>
      <w:r>
        <w:rPr>
          <w:sz w:val="20"/>
          <w:szCs w:val="20"/>
          <w:color w:val="auto"/>
        </w:rPr>
        <w:tab/>
      </w:r>
      <w:r>
        <w:rPr>
          <w:rFonts w:ascii="Times New Roman" w:cs="Times New Roman" w:eastAsia="Times New Roman" w:hAnsi="Times New Roman"/>
          <w:sz w:val="20"/>
          <w:szCs w:val="20"/>
          <w:color w:val="auto"/>
        </w:rPr>
        <w:t>Selection of Interest Rate Options.</w:t>
      </w:r>
    </w:p>
    <w:p>
      <w:pPr>
        <w:spacing w:after="0" w:line="173"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color w:val="auto"/>
        </w:rPr>
        <w:t xml:space="preserve">If the Borrower fails to select a new Interest Period to apply to any Borrowing Tranche of Loans under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Option at the expiration of an existing Interest Period applicable to such Borrowing Tranche in accordance with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the provisions of Section 4.2 [Interest Periods], the Borrower shall be deemed to have converted such Borrowing Tranche to the Base Rate Option, as applicable to Revolving Credit Loans commencing upon the last day of the existing Interest Period. </w:t>
      </w:r>
      <w:r>
        <w:rPr>
          <w:rFonts w:ascii="Times New Roman" w:cs="Times New Roman" w:eastAsia="Times New Roman" w:hAnsi="Times New Roman"/>
          <w:sz w:val="20"/>
          <w:szCs w:val="20"/>
          <w:color w:val="0000FF"/>
        </w:rPr>
        <w:t>If the Borrower provides any Loan Request related to a Loan at the Term SOFR Rate Option but fails to identify an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Interest Period therefor, such Loan Request shall be deemed to request an Interest Period of one (1) month. Any Loan Request that fails to select an Interest Rate Option shall be deemed to be a request for the Base Rate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-285115</wp:posOffset>
            </wp:positionV>
            <wp:extent cx="60058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600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71" w:lineRule="exact"/>
        <w:rPr>
          <w:sz w:val="20"/>
          <w:szCs w:val="20"/>
          <w:color w:val="auto"/>
        </w:rPr>
      </w:pPr>
    </w:p>
    <w:p>
      <w:pPr>
        <w:ind w:left="5200" w:hanging="602"/>
        <w:spacing w:after="0"/>
        <w:tabs>
          <w:tab w:leader="none" w:pos="52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w:t>
      </w:r>
    </w:p>
    <w:p>
      <w:pPr>
        <w:spacing w:after="0" w:line="173"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20"/>
          <w:szCs w:val="20"/>
          <w:color w:val="auto"/>
        </w:rPr>
        <w:t>Payments.</w:t>
      </w:r>
    </w:p>
    <w:p>
      <w:pPr>
        <w:spacing w:after="0" w:line="173"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20"/>
          <w:szCs w:val="20"/>
          <w:color w:val="auto"/>
        </w:rPr>
        <w:t xml:space="preserve">All payments and prepayments to be made in respect of principal, interest, Commitment Fees, Letter of Credit Fees or other fees or amounts due from the Borrower hereunder shall be payable prior to 11:00 a.m. on the date when due without presentment, demand, protest or notice of any kind, all of which are hereby expressly waived by the Borrower, and without set-off, counterclaim or other deduction of any nature, and an action therefor shall immediately accrue. Such payments shall be made to the Administrative Agent at the Principal Office for the account of PNC with respect to the Swing Loans and for the ratable accounts of the Lenders with respect to the Revolving Credit Loans in U.S. Dollars and in immediately available funds, and the Administrative Agent shall promptly distribute such amounts to the Lenders in immediately available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payments are received by 11:00 a.m. by the Administrative Agent with respect to the Loans and such payments are not distributed to the Lenders on the same day received by the Administrative Agent, the Administrative Agent shall pay the Lenders interest at the Federal Funds Effective Rate with respect to the amount of such payments for each day held by the Administrative Agent and not distributed to the Lenders. The Administrative Agent's and each Lender's statement of account, ledger or other relevant record shall, in the absence of manifest error, be conclusive as the statement of the amount of principal of and interest on the Loans and other amounts owing under this Agreement.</w:t>
      </w:r>
    </w:p>
    <w:p>
      <w:pPr>
        <w:spacing w:after="0" w:line="152"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Pro Rata Treatment of Lenders.</w:t>
      </w:r>
    </w:p>
    <w:p>
      <w:pPr>
        <w:spacing w:after="0" w:line="173" w:lineRule="exact"/>
        <w:rPr>
          <w:sz w:val="20"/>
          <w:szCs w:val="20"/>
          <w:color w:val="auto"/>
        </w:rPr>
      </w:pPr>
    </w:p>
    <w:p>
      <w:pPr>
        <w:jc w:val="both"/>
        <w:ind w:left="1000"/>
        <w:spacing w:after="0" w:line="216" w:lineRule="auto"/>
        <w:rPr>
          <w:sz w:val="20"/>
          <w:szCs w:val="20"/>
          <w:color w:val="auto"/>
        </w:rPr>
      </w:pPr>
      <w:r>
        <w:rPr>
          <w:rFonts w:ascii="Times New Roman" w:cs="Times New Roman" w:eastAsia="Times New Roman" w:hAnsi="Times New Roman"/>
          <w:sz w:val="20"/>
          <w:szCs w:val="20"/>
          <w:color w:val="auto"/>
        </w:rPr>
        <w:t>Each borrowing of Revolving Credit Loans shall be allocated to each Lender according to its Ratable Share, and each selection of, conversion to or renewal of any Interest Rate Option and each payment or prepayment by the Borrower with respect to principal, interest, Commitment Fees and Letter of Credit Fees (but excluding the Issuing Lender's fronting fee) shall (except as otherwise may be provided with respect to a Defaulting Lender and except as provided in Sections 4.4.3 [Administrative Agent's and Lender's Rights] in the case of an event specified in Section 4.4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Unascertainable; Etc.], 5.6.2 [Replacement of a Lender] or 5.8.1 [Increased Costs]) be payable ratably among the Lenders entitled to such payment in accordance with the amount of principal, interest, Commitment Fees and Letter of Credit Fees, as set forth in this Agreement. Notwithstanding any of the foregoing, each borrowing or payment or prepayment by the Borrower of principal, interest, fees or other amounts from the Borrower with respect to Swing Loans shall be made by or to PNC according to Section 2.6.5 [Borrowings to Repay Swing Loans].</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1.c</w:t>
      </w:r>
      <w:r>
        <w:rPr>
          <w:sz w:val="20"/>
          <w:szCs w:val="20"/>
          <w:color w:val="auto"/>
        </w:rPr>
        <w:tab/>
      </w:r>
      <w:r>
        <w:rPr>
          <w:rFonts w:ascii="Times New Roman" w:cs="Times New Roman" w:eastAsia="Times New Roman" w:hAnsi="Times New Roman"/>
          <w:sz w:val="20"/>
          <w:szCs w:val="20"/>
          <w:color w:val="auto"/>
        </w:rPr>
        <w:t>Sharing of Payments by Lenders.</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If any Lender shall, by exercising any right of setoff, counterclaim or banker's lien,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040"/>
          </w:cols>
          <w:pgMar w:left="520" w:top="1440" w:right="339" w:bottom="1440" w:gutter="0" w:footer="0" w:header="0"/>
        </w:sectPr>
      </w:pPr>
    </w:p>
    <w:bookmarkStart w:id="152" w:name="page153"/>
    <w:bookmarkEnd w:id="152"/>
    <w:p>
      <w:pPr>
        <w:spacing w:after="0" w:line="71"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 xml:space="preserve">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44" w:lineRule="exact"/>
        <w:rPr>
          <w:sz w:val="20"/>
          <w:szCs w:val="20"/>
          <w:color w:val="auto"/>
        </w:rPr>
      </w:pPr>
    </w:p>
    <w:p>
      <w:pPr>
        <w:ind w:firstLine="1993"/>
        <w:spacing w:after="0" w:line="230" w:lineRule="auto"/>
        <w:tabs>
          <w:tab w:leader="none" w:pos="240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spacing w:after="0" w:line="143" w:lineRule="exact"/>
        <w:rPr>
          <w:rFonts w:ascii="Times New Roman" w:cs="Times New Roman" w:eastAsia="Times New Roman" w:hAnsi="Times New Roman"/>
          <w:sz w:val="20"/>
          <w:szCs w:val="20"/>
          <w:color w:val="auto"/>
        </w:rPr>
      </w:pPr>
    </w:p>
    <w:p>
      <w:pPr>
        <w:ind w:right="240" w:firstLine="1993"/>
        <w:spacing w:after="0" w:line="225" w:lineRule="auto"/>
        <w:tabs>
          <w:tab w:leader="none" w:pos="240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5.3 shall not be construed to apply to (x) any payment made by the Loan Parties pursuant to and in accordance with the express terms of the Loan Documents or (y) any payment obtained by a Lender as consideration for the assignment of or sale of a participation in any of its Loans or Participation Advances to any assignee or participant, other than to the Borrower or any Subsidiary thereof (as to which the provisions of this Section 5.3 shall apply).</w:t>
      </w:r>
    </w:p>
    <w:p>
      <w:pPr>
        <w:spacing w:after="0" w:line="144"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1.d</w:t>
      </w:r>
      <w:r>
        <w:rPr>
          <w:sz w:val="20"/>
          <w:szCs w:val="20"/>
          <w:color w:val="auto"/>
        </w:rPr>
        <w:tab/>
      </w:r>
      <w:r>
        <w:rPr>
          <w:rFonts w:ascii="Times New Roman" w:cs="Times New Roman" w:eastAsia="Times New Roman" w:hAnsi="Times New Roman"/>
          <w:sz w:val="20"/>
          <w:szCs w:val="20"/>
          <w:u w:val="single" w:color="auto"/>
          <w:color w:val="0000FF"/>
        </w:rPr>
        <w:t>Administrative Agent’s Clawback.</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0000FF"/>
        </w:rPr>
        <w:t>1.1.iFunding by Lenders; Presumption by Administrative Agent.</w:t>
      </w:r>
    </w:p>
    <w:p>
      <w:pPr>
        <w:spacing w:after="0" w:line="173" w:lineRule="exact"/>
        <w:rPr>
          <w:sz w:val="20"/>
          <w:szCs w:val="20"/>
          <w:color w:val="auto"/>
        </w:rPr>
      </w:pPr>
    </w:p>
    <w:p>
      <w:pPr>
        <w:jc w:val="both"/>
        <w:ind w:firstLine="604"/>
        <w:spacing w:after="0" w:line="214" w:lineRule="auto"/>
        <w:rPr>
          <w:sz w:val="20"/>
          <w:szCs w:val="20"/>
          <w:color w:val="auto"/>
        </w:rPr>
      </w:pPr>
      <w:r>
        <w:rPr>
          <w:rFonts w:ascii="Times New Roman" w:cs="Times New Roman" w:eastAsia="Times New Roman" w:hAnsi="Times New Roman"/>
          <w:sz w:val="20"/>
          <w:szCs w:val="20"/>
          <w:u w:val="single" w:color="auto"/>
          <w:color w:val="0000FF"/>
        </w:rPr>
        <w:t>Unless the Administrative Agent shall have received notice from a Lender, prior to the proposed date of any Borrowing Tranche of Loans that such Lender will not make available to the Administrative Agent such Lender’s Ratable Share, the Administrative Agent may assume that such Lender has made such share available on such date in accordance with Section 2.6.1 [Making Revolving Credit Loans]. In such event, if a Lender has not in fact made its share of the applicable Borrowing Tranche of Loans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the Borrower, the interest rate applicable to Loans under the Base Rate Option.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Tranche of Loans to the Administrative Agent, then the amount so paid shall constitute such Lender’s Loan included in such Borrowing Tranche of Loans. Any payment by the Borrower shall be without prejudice to any claim the Borrower may have against a Lender that shall have failed to make such payment to the Administrative Agent.</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u w:val="single" w:color="auto"/>
          <w:color w:val="0000FF"/>
        </w:rPr>
        <w:t>1.1.ii</w:t>
      </w:r>
      <w:r>
        <w:rPr>
          <w:rFonts w:ascii="Times New Roman" w:cs="Times New Roman" w:eastAsia="Times New Roman" w:hAnsi="Times New Roman"/>
          <w:sz w:val="20"/>
          <w:szCs w:val="20"/>
          <w:color w:val="FF0000"/>
          <w:strike w:val="1"/>
        </w:rPr>
        <w:t>5.4</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Payments by Borrower;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Presumptions by Administrative Agent.</w:t>
      </w:r>
    </w:p>
    <w:p>
      <w:pPr>
        <w:spacing w:after="0" w:line="173" w:lineRule="exact"/>
        <w:rPr>
          <w:sz w:val="20"/>
          <w:szCs w:val="20"/>
          <w:color w:val="auto"/>
        </w:rPr>
      </w:pPr>
    </w:p>
    <w:p>
      <w:pPr>
        <w:jc w:val="both"/>
        <w:ind w:firstLine="604"/>
        <w:spacing w:after="0" w:line="242" w:lineRule="auto"/>
        <w:rPr>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7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4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1.e</w:t>
      </w:r>
      <w:r>
        <w:rPr>
          <w:sz w:val="20"/>
          <w:szCs w:val="20"/>
          <w:color w:val="auto"/>
        </w:rPr>
        <w:tab/>
      </w:r>
      <w:r>
        <w:rPr>
          <w:rFonts w:ascii="Times New Roman" w:cs="Times New Roman" w:eastAsia="Times New Roman" w:hAnsi="Times New Roman"/>
          <w:sz w:val="20"/>
          <w:szCs w:val="20"/>
          <w:color w:val="auto"/>
        </w:rPr>
        <w:t>Interest Payment Dates.</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 xml:space="preserve">Interest on Loans to which the Base Rate Option applies shall be due and payable in arrears on each Payment Date. Interest on Loans to which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applies shall be due and payable on the last day of each Interest Period for those Loans and, if such Interest Period is longer than three (3) </w:t>
      </w:r>
      <w:r>
        <w:rPr>
          <w:rFonts w:ascii="Times New Roman" w:cs="Times New Roman" w:eastAsia="Times New Roman" w:hAnsi="Times New Roman"/>
          <w:sz w:val="20"/>
          <w:szCs w:val="20"/>
          <w:color w:val="FF0000"/>
          <w:strike w:val="1"/>
        </w:rPr>
        <w:t>Months</w:t>
      </w:r>
      <w:r>
        <w:rPr>
          <w:rFonts w:ascii="Times New Roman" w:cs="Times New Roman" w:eastAsia="Times New Roman" w:hAnsi="Times New Roman"/>
          <w:sz w:val="20"/>
          <w:szCs w:val="20"/>
          <w:u w:val="single" w:color="auto"/>
          <w:color w:val="0000FF"/>
        </w:rPr>
        <w:t>months</w:t>
      </w:r>
      <w:r>
        <w:rPr>
          <w:rFonts w:ascii="Times New Roman" w:cs="Times New Roman" w:eastAsia="Times New Roman" w:hAnsi="Times New Roman"/>
          <w:sz w:val="20"/>
          <w:szCs w:val="20"/>
          <w:color w:val="auto"/>
        </w:rPr>
        <w:t xml:space="preserve">, also on the 90th day of such Interest Period. Interest on the principal amount of each Loan or other monetary Obligation shall be due and payable on demand after such principal amount or other monetary Obligation becomes due and payable (whether on the stated Expiration Date, upon acceleration or otherwise). </w:t>
      </w:r>
      <w:r>
        <w:rPr>
          <w:rFonts w:ascii="Times New Roman" w:cs="Times New Roman" w:eastAsia="Times New Roman" w:hAnsi="Times New Roman"/>
          <w:sz w:val="20"/>
          <w:szCs w:val="20"/>
          <w:u w:val="single" w:color="auto"/>
          <w:color w:val="0000FF"/>
        </w:rPr>
        <w:t>Interest shall be computed to, but excluding, the date payment is due.</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1.f</w:t>
      </w:r>
      <w:r>
        <w:rPr>
          <w:sz w:val="20"/>
          <w:szCs w:val="20"/>
          <w:color w:val="auto"/>
        </w:rPr>
        <w:tab/>
      </w:r>
      <w:r>
        <w:rPr>
          <w:rFonts w:ascii="Times New Roman" w:cs="Times New Roman" w:eastAsia="Times New Roman" w:hAnsi="Times New Roman"/>
          <w:sz w:val="19"/>
          <w:szCs w:val="19"/>
          <w:color w:val="auto"/>
        </w:rPr>
        <w:t>Voluntary Prepayments.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1.1.iRight to Prepay.</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 xml:space="preserve">The Borrower shall have the right at its option from time to time to prepay the Loans in whole or part without premium or penalty (except as provided in Section 5.6.2 [Replacement of a Lender] below, in Section 5.8.1 [Increased Costs </w:t>
      </w:r>
      <w:r>
        <w:rPr>
          <w:rFonts w:ascii="Times New Roman" w:cs="Times New Roman" w:eastAsia="Times New Roman" w:hAnsi="Times New Roman"/>
          <w:sz w:val="20"/>
          <w:szCs w:val="20"/>
          <w:u w:val="single" w:color="auto"/>
          <w:color w:val="0000FF"/>
        </w:rPr>
        <w:t>Generally</w:t>
      </w:r>
      <w:r>
        <w:rPr>
          <w:rFonts w:ascii="Times New Roman" w:cs="Times New Roman" w:eastAsia="Times New Roman" w:hAnsi="Times New Roman"/>
          <w:sz w:val="20"/>
          <w:szCs w:val="20"/>
          <w:color w:val="auto"/>
        </w:rPr>
        <w:t>] and Section 5.10 [Indemnity]). Whenever the Borrower desires to prepay any part of the Loans, it shall provide a prepayment notice to the Administrative Agent by 1:00 p.m. at least one (1) Business Day prior to the date of prepayment of the Revolving Credit Loans or no later than 1:00 p.m. on the date of prepayment of Swing Loans, setting forth the following information:</w:t>
      </w:r>
    </w:p>
    <w:p>
      <w:pPr>
        <w:spacing w:after="0" w:line="144" w:lineRule="exact"/>
        <w:rPr>
          <w:sz w:val="20"/>
          <w:szCs w:val="20"/>
          <w:color w:val="auto"/>
        </w:rPr>
      </w:pPr>
    </w:p>
    <w:p>
      <w:pPr>
        <w:ind w:left="2400" w:hanging="407"/>
        <w:spacing w:after="0"/>
        <w:tabs>
          <w:tab w:leader="none" w:pos="24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which shall be a Business Day, on which the proposed prepayment is to be made;</w:t>
      </w:r>
    </w:p>
    <w:p>
      <w:pPr>
        <w:spacing w:after="0" w:line="165"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indicating the application of the prepayment between the Revolving Credit Loans and Swing</w:t>
      </w: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151" w:lineRule="exact"/>
        <w:rPr>
          <w:sz w:val="20"/>
          <w:szCs w:val="20"/>
          <w:color w:val="auto"/>
        </w:rPr>
      </w:pPr>
    </w:p>
    <w:p>
      <w:pPr>
        <w:ind w:right="540" w:firstLine="1993"/>
        <w:spacing w:after="0" w:line="242" w:lineRule="auto"/>
        <w:tabs>
          <w:tab w:leader="none" w:pos="240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statement indicating the application of the prepayment between Loans to which the Base Rate Option applies and Loans to which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applies; and</w:t>
      </w:r>
    </w:p>
    <w:p>
      <w:pPr>
        <w:spacing w:after="0" w:line="140" w:lineRule="exact"/>
        <w:rPr>
          <w:rFonts w:ascii="Times New Roman" w:cs="Times New Roman" w:eastAsia="Times New Roman" w:hAnsi="Times New Roman"/>
          <w:sz w:val="20"/>
          <w:szCs w:val="20"/>
          <w:color w:val="auto"/>
        </w:rPr>
      </w:pPr>
    </w:p>
    <w:p>
      <w:pPr>
        <w:jc w:val="both"/>
        <w:ind w:right="160" w:firstLine="1993"/>
        <w:spacing w:after="0" w:line="230" w:lineRule="auto"/>
        <w:tabs>
          <w:tab w:leader="none" w:pos="240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principal amount of such prepayment, which shall not be less than the lesser of (i</w:t>
      </w:r>
      <w:r>
        <w:rPr>
          <w:rFonts w:ascii="Times New Roman" w:cs="Times New Roman" w:eastAsia="Times New Roman" w:hAnsi="Times New Roman"/>
          <w:sz w:val="20"/>
          <w:szCs w:val="20"/>
          <w:color w:val="FF0000"/>
          <w:strike w:val="1"/>
        </w:rPr>
        <w:t>) (ii</w:t>
      </w:r>
      <w:r>
        <w:rPr>
          <w:rFonts w:ascii="Times New Roman" w:cs="Times New Roman" w:eastAsia="Times New Roman" w:hAnsi="Times New Roman"/>
          <w:sz w:val="20"/>
          <w:szCs w:val="20"/>
          <w:color w:val="auto"/>
        </w:rPr>
        <w:t>) $100,000 for any Swing Loan or (ii) $1,000,000 for any Revolving Credit Loan (or any lesser amount which constitutes the remaining amount of such Loan).</w:t>
      </w:r>
    </w:p>
    <w:p>
      <w:pPr>
        <w:spacing w:after="0" w:line="144" w:lineRule="exact"/>
        <w:rPr>
          <w:sz w:val="20"/>
          <w:szCs w:val="20"/>
          <w:color w:val="auto"/>
        </w:rPr>
      </w:pPr>
    </w:p>
    <w:p>
      <w:pPr>
        <w:ind w:left="1200"/>
        <w:spacing w:after="0" w:line="242" w:lineRule="auto"/>
        <w:rPr>
          <w:sz w:val="20"/>
          <w:szCs w:val="20"/>
          <w:color w:val="auto"/>
        </w:rPr>
      </w:pPr>
      <w:r>
        <w:rPr>
          <w:rFonts w:ascii="Times New Roman" w:cs="Times New Roman" w:eastAsia="Times New Roman" w:hAnsi="Times New Roman"/>
          <w:sz w:val="20"/>
          <w:szCs w:val="20"/>
          <w:color w:val="auto"/>
        </w:rPr>
        <w:t>All prepayment notices shall be irrevocable, provided that any prepayment notice may state that such notice is conditioned upon the effectiveness of other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71" w:lineRule="exact"/>
        <w:rPr>
          <w:sz w:val="20"/>
          <w:szCs w:val="20"/>
          <w:color w:val="auto"/>
        </w:rPr>
      </w:pPr>
    </w:p>
    <w:p>
      <w:pPr>
        <w:jc w:val="both"/>
        <w:ind w:left="1200"/>
        <w:spacing w:after="0" w:line="217" w:lineRule="auto"/>
        <w:rPr>
          <w:sz w:val="20"/>
          <w:szCs w:val="20"/>
          <w:color w:val="auto"/>
        </w:rPr>
      </w:pPr>
      <w:r>
        <w:rPr>
          <w:rFonts w:ascii="Times New Roman" w:cs="Times New Roman" w:eastAsia="Times New Roman" w:hAnsi="Times New Roman"/>
          <w:sz w:val="20"/>
          <w:szCs w:val="20"/>
          <w:color w:val="auto"/>
        </w:rPr>
        <w:t xml:space="preserve">facilities, indentures or similar agreements or other transactions, in which case such notice may be revoked by the Borrower if such condition is not satisfied. The principal amount of the Loans for which a prepayment notice is given, together with interest on such principal amount, shall be due and payable on the date specified in such prepayment notice as the date on which the proposed prepayment is to be made. Except as provided in Section 4.4.3 [Administrative Agent's and Lender's Rights], if the Borrower prepays a Loan but fails to specify the applicable Borrowing Tranche which the Borrower is prepaying, the prepayment shall be applied first to Loans to which the Base Rate Option applies, then to Loans to which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Option applies. Any prepayment hereunder shall be subject to the Borrower's Obligation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indemnify the Lenders under Section 5.10 [Indemnity].</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1.1.iiReplacement of a Lender.</w:t>
      </w:r>
    </w:p>
    <w:p>
      <w:pPr>
        <w:spacing w:after="0" w:line="173" w:lineRule="exact"/>
        <w:rPr>
          <w:sz w:val="20"/>
          <w:szCs w:val="20"/>
          <w:color w:val="auto"/>
        </w:rPr>
      </w:pPr>
    </w:p>
    <w:p>
      <w:pPr>
        <w:jc w:val="both"/>
        <w:ind w:left="1200"/>
        <w:spacing w:after="0" w:line="215" w:lineRule="auto"/>
        <w:rPr>
          <w:sz w:val="20"/>
          <w:szCs w:val="20"/>
          <w:color w:val="auto"/>
        </w:rPr>
      </w:pPr>
      <w:r>
        <w:rPr>
          <w:rFonts w:ascii="Times New Roman" w:cs="Times New Roman" w:eastAsia="Times New Roman" w:hAnsi="Times New Roman"/>
          <w:sz w:val="20"/>
          <w:szCs w:val="20"/>
          <w:color w:val="auto"/>
        </w:rPr>
        <w:t>In the event any Lender (i) gives notice under Section 4.4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Unascertainable, Etc.], (ii) requests compensation under Section 5.8.1 [Increased Costs </w:t>
      </w:r>
      <w:r>
        <w:rPr>
          <w:rFonts w:ascii="Times New Roman" w:cs="Times New Roman" w:eastAsia="Times New Roman" w:hAnsi="Times New Roman"/>
          <w:sz w:val="20"/>
          <w:szCs w:val="20"/>
          <w:u w:val="single" w:color="auto"/>
          <w:color w:val="0000FF"/>
        </w:rPr>
        <w:t>Generally</w:t>
      </w:r>
      <w:r>
        <w:rPr>
          <w:rFonts w:ascii="Times New Roman" w:cs="Times New Roman" w:eastAsia="Times New Roman" w:hAnsi="Times New Roman"/>
          <w:sz w:val="20"/>
          <w:szCs w:val="20"/>
          <w:color w:val="auto"/>
        </w:rPr>
        <w:t>], or requires the Borrower to pay any Indemnified Taxes or additional amount to any Lender or any Official Body for the account of any Lender pursuant to Section 5.9 [Taxes], (iii) is a Defaulting Lender, (iv) becomes subject to the control of an Official Body (other than normal and customary supervision), or (v) is a Non-Consenting Lender referred to in Section 11.1 [Modifications, Amendments or Waivers], then in any such event the Borrower may, at its sole expense, upon notice to such Lender and the Administrative Agent, require such Lender to assign and delegate, without recourse (in accordance with and subject to the restrictions contained in, and consents required by, Section 11.8 [Successors and Assigns]), all of its interests, rights (other than existing rights to payments pursuant to Sections 5.8.1 [Increased Costs] or 5.9 [Taxes]) and obligations under this Agreement and the related Loan Documents to an assignee that shall assume such obligations (which assignee may be another Lender, if a Lender accepts such assignment), provided that:</w:t>
      </w:r>
    </w:p>
    <w:p>
      <w:pPr>
        <w:spacing w:after="0" w:line="142" w:lineRule="exact"/>
        <w:rPr>
          <w:sz w:val="20"/>
          <w:szCs w:val="20"/>
          <w:color w:val="auto"/>
        </w:rPr>
      </w:pPr>
    </w:p>
    <w:p>
      <w:pPr>
        <w:ind w:left="2400" w:hanging="407"/>
        <w:spacing w:after="0"/>
        <w:tabs>
          <w:tab w:leader="none" w:pos="24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to the Administrative Agent the assignment fee specified in Section 11.8</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[Successors and Assigns];</w:t>
      </w:r>
    </w:p>
    <w:p>
      <w:pPr>
        <w:spacing w:after="0" w:line="150" w:lineRule="exact"/>
        <w:rPr>
          <w:rFonts w:ascii="Times New Roman" w:cs="Times New Roman" w:eastAsia="Times New Roman" w:hAnsi="Times New Roman"/>
          <w:sz w:val="20"/>
          <w:szCs w:val="20"/>
          <w:color w:val="auto"/>
        </w:rPr>
      </w:pPr>
    </w:p>
    <w:p>
      <w:pPr>
        <w:ind w:right="320" w:firstLine="1993"/>
        <w:spacing w:after="0" w:line="225" w:lineRule="auto"/>
        <w:tabs>
          <w:tab w:leader="none" w:pos="240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shall have received payment of an amount equal to the outstanding principal of its Loans and Participation Advances, accrued interest thereon, accrued fees and all other amounts payable to it hereunder and under the other Loan Documents (including any amounts under Section 5.10 [Indemnity]) from the assignee (to the extent of such outstanding principal and accrued interest and fees) or the Borrower (in the case of all other amounts);</w:t>
      </w:r>
    </w:p>
    <w:p>
      <w:pPr>
        <w:spacing w:after="0" w:line="143" w:lineRule="exact"/>
        <w:rPr>
          <w:rFonts w:ascii="Times New Roman" w:cs="Times New Roman" w:eastAsia="Times New Roman" w:hAnsi="Times New Roman"/>
          <w:sz w:val="20"/>
          <w:szCs w:val="20"/>
          <w:color w:val="auto"/>
        </w:rPr>
      </w:pPr>
    </w:p>
    <w:p>
      <w:pPr>
        <w:ind w:right="260" w:firstLine="1993"/>
        <w:spacing w:after="0" w:line="230" w:lineRule="auto"/>
        <w:tabs>
          <w:tab w:leader="none" w:pos="240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such assignment resulting from a claim for compensation under Section 5.8.1 [Increased Costs Generally] or payments required to be made pursuant to Section 5.9 [Taxes], such assignment will result in a reduction in such compensation or payments thereafter; and</w:t>
      </w:r>
    </w:p>
    <w:p>
      <w:pPr>
        <w:spacing w:after="0" w:line="143"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w:t>
      </w:r>
    </w:p>
    <w:p>
      <w:pPr>
        <w:spacing w:after="0" w:line="173" w:lineRule="exact"/>
        <w:rPr>
          <w:sz w:val="20"/>
          <w:szCs w:val="20"/>
          <w:color w:val="auto"/>
        </w:rPr>
      </w:pPr>
    </w:p>
    <w:p>
      <w:pPr>
        <w:ind w:right="620"/>
        <w:spacing w:after="0" w:line="242"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1.1.iiiDesignation of a Different Lending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71" w:lineRule="exact"/>
        <w:rPr>
          <w:sz w:val="20"/>
          <w:szCs w:val="20"/>
          <w:color w:val="auto"/>
        </w:rPr>
      </w:pPr>
    </w:p>
    <w:p>
      <w:pPr>
        <w:jc w:val="both"/>
        <w:ind w:left="1200"/>
        <w:spacing w:after="0" w:line="214" w:lineRule="auto"/>
        <w:rPr>
          <w:sz w:val="20"/>
          <w:szCs w:val="20"/>
          <w:color w:val="auto"/>
        </w:rPr>
      </w:pPr>
      <w:r>
        <w:rPr>
          <w:rFonts w:ascii="Times New Roman" w:cs="Times New Roman" w:eastAsia="Times New Roman" w:hAnsi="Times New Roman"/>
          <w:sz w:val="20"/>
          <w:szCs w:val="20"/>
          <w:color w:val="auto"/>
        </w:rPr>
        <w:t xml:space="preserve">If any Lender requests compensation under Section 5.8.1 [Increased Costs </w:t>
      </w:r>
      <w:r>
        <w:rPr>
          <w:rFonts w:ascii="Times New Roman" w:cs="Times New Roman" w:eastAsia="Times New Roman" w:hAnsi="Times New Roman"/>
          <w:sz w:val="20"/>
          <w:szCs w:val="20"/>
          <w:u w:val="single" w:color="auto"/>
          <w:color w:val="0000FF"/>
        </w:rPr>
        <w:t>Generally</w:t>
      </w:r>
      <w:r>
        <w:rPr>
          <w:rFonts w:ascii="Times New Roman" w:cs="Times New Roman" w:eastAsia="Times New Roman" w:hAnsi="Times New Roman"/>
          <w:sz w:val="20"/>
          <w:szCs w:val="20"/>
          <w:color w:val="auto"/>
        </w:rPr>
        <w:t>], or the Borrower is or will be required to pay any Indemnified Taxes or additional amounts to any Lender or any Official Body for the account of any Lender pursuant to Section 5.9 [Taxes], then such Lender shall (at the request of the Borrower)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w:t>
      </w:r>
    </w:p>
    <w:p>
      <w:pPr>
        <w:spacing w:after="0" w:line="3" w:lineRule="exact"/>
        <w:rPr>
          <w:sz w:val="20"/>
          <w:szCs w:val="20"/>
          <w:color w:val="auto"/>
        </w:rPr>
      </w:pPr>
    </w:p>
    <w:p>
      <w:pPr>
        <w:jc w:val="both"/>
        <w:ind w:left="1200" w:firstLine="8"/>
        <w:spacing w:after="0" w:line="219" w:lineRule="auto"/>
        <w:tabs>
          <w:tab w:leader="none" w:pos="144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would eliminate or reduce amounts payable pursuant to Section 5.8.1 [Increased Costs </w:t>
      </w:r>
      <w:r>
        <w:rPr>
          <w:rFonts w:ascii="Times New Roman" w:cs="Times New Roman" w:eastAsia="Times New Roman" w:hAnsi="Times New Roman"/>
          <w:sz w:val="20"/>
          <w:szCs w:val="20"/>
          <w:u w:val="single" w:color="auto"/>
          <w:color w:val="0000FF"/>
        </w:rPr>
        <w:t>Generally</w:t>
      </w:r>
      <w:r>
        <w:rPr>
          <w:rFonts w:ascii="Times New Roman" w:cs="Times New Roman" w:eastAsia="Times New Roman" w:hAnsi="Times New Roman"/>
          <w:sz w:val="20"/>
          <w:szCs w:val="20"/>
          <w:color w:val="auto"/>
        </w:rPr>
        <w:t>] or Section 5.9 [Taxes], as the case may be, in the future, and (ii) would not subject such Lender to any material unreimbursed cost or expense and would not otherwise be materially disadvantageous to such Lender. The Borrower hereby agrees to pay all reasonable costs and out of pocket expenses incurred by any Lender in connection with any such designation or assignment.</w:t>
      </w:r>
    </w:p>
    <w:p>
      <w:pPr>
        <w:spacing w:after="0" w:line="145"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1.g</w:t>
      </w:r>
      <w:r>
        <w:rPr>
          <w:sz w:val="20"/>
          <w:szCs w:val="20"/>
          <w:color w:val="auto"/>
        </w:rPr>
        <w:tab/>
      </w:r>
      <w:r>
        <w:rPr>
          <w:rFonts w:ascii="Times New Roman" w:cs="Times New Roman" w:eastAsia="Times New Roman" w:hAnsi="Times New Roman"/>
          <w:sz w:val="20"/>
          <w:szCs w:val="20"/>
          <w:color w:val="FF0000"/>
          <w:strike w:val="1"/>
        </w:rPr>
        <w:t xml:space="preserve">[Reserved]. </w:t>
      </w:r>
      <w:r>
        <w:rPr>
          <w:rFonts w:ascii="Times New Roman" w:cs="Times New Roman" w:eastAsia="Times New Roman" w:hAnsi="Times New Roman"/>
          <w:sz w:val="20"/>
          <w:szCs w:val="20"/>
          <w:u w:val="single" w:color="auto"/>
          <w:color w:val="0000FF"/>
          <w:strike w:val="1"/>
        </w:rPr>
        <w:t>Cash Collateral.</w:t>
      </w:r>
    </w:p>
    <w:p>
      <w:pPr>
        <w:spacing w:after="0" w:line="173" w:lineRule="exact"/>
        <w:rPr>
          <w:sz w:val="20"/>
          <w:szCs w:val="20"/>
          <w:color w:val="auto"/>
        </w:rPr>
      </w:pPr>
    </w:p>
    <w:p>
      <w:pPr>
        <w:jc w:val="both"/>
        <w:ind w:firstLine="604"/>
        <w:spacing w:after="0" w:line="222" w:lineRule="auto"/>
        <w:rPr>
          <w:sz w:val="20"/>
          <w:szCs w:val="20"/>
          <w:color w:val="auto"/>
        </w:rPr>
      </w:pPr>
      <w:r>
        <w:rPr>
          <w:rFonts w:ascii="Times New Roman" w:cs="Times New Roman" w:eastAsia="Times New Roman" w:hAnsi="Times New Roman"/>
          <w:sz w:val="20"/>
          <w:szCs w:val="20"/>
          <w:u w:val="single" w:color="auto"/>
          <w:color w:val="0000FF"/>
        </w:rPr>
        <w:t>At any time that there shall exist a Defaulting Lender, within one (1) Business Day following the written request of the Administrative Agent or the Issuing Lender (with a copy to the Administrative Agent) the Borrower shall Cash Collateralize the Issuing Lender’s Fronting Exposure with respect to such Defaulting Lender (determined after giving effect to Section 2.11.1(iv) [Reallocation of Participations to Reduce Fronting Exposure] and any Cash Collateral provided by such Defaulting Lender) in an amount not less than the Minimum Collateral Amount.</w:t>
      </w:r>
    </w:p>
    <w:p>
      <w:pPr>
        <w:spacing w:after="0" w:line="1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0000FF"/>
        </w:rPr>
        <w:t>1.1.iGrant of Security Interest.</w:t>
      </w:r>
    </w:p>
    <w:p>
      <w:pPr>
        <w:spacing w:after="0" w:line="173" w:lineRule="exact"/>
        <w:rPr>
          <w:sz w:val="20"/>
          <w:szCs w:val="20"/>
          <w:color w:val="auto"/>
        </w:rPr>
      </w:pPr>
    </w:p>
    <w:p>
      <w:pPr>
        <w:jc w:val="both"/>
        <w:ind w:firstLine="604"/>
        <w:spacing w:after="0" w:line="217" w:lineRule="auto"/>
        <w:rPr>
          <w:sz w:val="20"/>
          <w:szCs w:val="20"/>
          <w:color w:val="auto"/>
        </w:rPr>
      </w:pPr>
      <w:r>
        <w:rPr>
          <w:rFonts w:ascii="Times New Roman" w:cs="Times New Roman" w:eastAsia="Times New Roman" w:hAnsi="Times New Roman"/>
          <w:sz w:val="20"/>
          <w:szCs w:val="20"/>
          <w:u w:val="single" w:color="auto"/>
          <w:color w:val="0000FF"/>
        </w:rPr>
        <w:t>The Borrower, and to the extent provided by any Defaulting Lender, such Defaulting Lender, hereby grants to the Administrative Agent, for the benefit of the Issuing Lender, and agrees to maintain, a first priority security interest in all such Cash Collateral as security for the Defaulting Lenders’ obligation to fund participations in respect of Letter of Credit Obligations, to be applied pursuant to Section 5.7.2 below. If at any time the Administrative Agent determines that Cash Collateral is subject to any right or claim of any Person other than the Administrative Agent and the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u w:val="single" w:color="auto"/>
          <w:color w:val="0000FF"/>
        </w:rPr>
        <w:t>1.1.iiApplication.</w:t>
      </w:r>
    </w:p>
    <w:p>
      <w:pPr>
        <w:spacing w:after="0" w:line="173" w:lineRule="exact"/>
        <w:rPr>
          <w:sz w:val="20"/>
          <w:szCs w:val="20"/>
          <w:color w:val="auto"/>
        </w:rPr>
      </w:pPr>
    </w:p>
    <w:p>
      <w:pPr>
        <w:jc w:val="both"/>
        <w:ind w:firstLine="604"/>
        <w:spacing w:after="0" w:line="222" w:lineRule="auto"/>
        <w:rPr>
          <w:sz w:val="20"/>
          <w:szCs w:val="20"/>
          <w:color w:val="auto"/>
        </w:rPr>
      </w:pPr>
      <w:r>
        <w:rPr>
          <w:rFonts w:ascii="Times New Roman" w:cs="Times New Roman" w:eastAsia="Times New Roman" w:hAnsi="Times New Roman"/>
          <w:sz w:val="20"/>
          <w:szCs w:val="20"/>
          <w:u w:val="single" w:color="auto"/>
          <w:color w:val="0000FF"/>
        </w:rPr>
        <w:t>Notwithstanding anything to the contrary contained in this Agreement, Cash Collateral provided under this Section 5.7 or Section 2.11 [Defaulting Lender] in respect of Letters of Credit shall be applied to the satisfaction of the Defaulting Lender’s obligation to fund participations in respect of Letter of Credit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0000FF"/>
        </w:rPr>
        <w:t>1.1.iiiTermination of Requirement.</w:t>
      </w:r>
    </w:p>
    <w:p>
      <w:pPr>
        <w:spacing w:after="0" w:line="173" w:lineRule="exact"/>
        <w:rPr>
          <w:sz w:val="20"/>
          <w:szCs w:val="20"/>
          <w:color w:val="auto"/>
        </w:rPr>
      </w:pPr>
    </w:p>
    <w:p>
      <w:pPr>
        <w:jc w:val="both"/>
        <w:ind w:firstLine="604"/>
        <w:spacing w:after="0" w:line="230" w:lineRule="auto"/>
        <w:rPr>
          <w:sz w:val="20"/>
          <w:szCs w:val="20"/>
          <w:color w:val="auto"/>
        </w:rPr>
      </w:pPr>
      <w:r>
        <w:rPr>
          <w:rFonts w:ascii="Times New Roman" w:cs="Times New Roman" w:eastAsia="Times New Roman" w:hAnsi="Times New Roman"/>
          <w:sz w:val="20"/>
          <w:szCs w:val="20"/>
          <w:u w:val="single" w:color="auto"/>
          <w:color w:val="0000FF"/>
        </w:rPr>
        <w:t>Cash Collateral (or the appropriate portion thereof) provided to reduce the Issuing Lender’s Fronting Exposure shall no longer be required to be held as Cash Collateral pursuant to this Section 5.7 following (i) the elimination of the applicable Fronting Exposure (including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u w:val="single" w:color="auto"/>
          <w:color w:val="0000FF"/>
        </w:rPr>
        <w:t>the termination of Defaulting Lender status of the applicable Lender), or (ii) the determination by the Administrative Agent and the Issuing Lender that there exists excess Cash Collateral; provided that, subject to Section 2.11 [Default Lenders] the Person providing Cash Collateral and the Issuing Lender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Section 5.7.1 above.</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1.h</w:t>
      </w:r>
      <w:r>
        <w:rPr>
          <w:sz w:val="20"/>
          <w:szCs w:val="20"/>
          <w:color w:val="auto"/>
        </w:rPr>
        <w:tab/>
      </w:r>
      <w:r>
        <w:rPr>
          <w:rFonts w:ascii="Times New Roman" w:cs="Times New Roman" w:eastAsia="Times New Roman" w:hAnsi="Times New Roman"/>
          <w:sz w:val="20"/>
          <w:szCs w:val="20"/>
          <w:color w:val="auto"/>
        </w:rPr>
        <w:t>Increased Costs.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1.1.iIncreased Costs Generally.</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If any Change in Law shall:</w:t>
      </w:r>
    </w:p>
    <w:p>
      <w:pPr>
        <w:spacing w:after="0" w:line="173" w:lineRule="exact"/>
        <w:rPr>
          <w:sz w:val="20"/>
          <w:szCs w:val="20"/>
          <w:color w:val="auto"/>
        </w:rPr>
      </w:pPr>
    </w:p>
    <w:p>
      <w:pPr>
        <w:ind w:right="220" w:firstLine="1993"/>
        <w:spacing w:after="0" w:line="230" w:lineRule="auto"/>
        <w:tabs>
          <w:tab w:leader="none" w:pos="240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reflected in the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or the Issuing Lender;</w:t>
      </w:r>
    </w:p>
    <w:p>
      <w:pPr>
        <w:spacing w:after="0" w:line="143" w:lineRule="exact"/>
        <w:rPr>
          <w:rFonts w:ascii="Times New Roman" w:cs="Times New Roman" w:eastAsia="Times New Roman" w:hAnsi="Times New Roman"/>
          <w:sz w:val="20"/>
          <w:szCs w:val="20"/>
          <w:color w:val="auto"/>
        </w:rPr>
      </w:pPr>
    </w:p>
    <w:p>
      <w:pPr>
        <w:ind w:right="380" w:firstLine="1993"/>
        <w:spacing w:after="0" w:line="230" w:lineRule="auto"/>
        <w:tabs>
          <w:tab w:leader="none" w:pos="240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(ii) through (iv) of the definition of Excluded Taxes and (C) Connection Income Taxes) on its loans, loan principal, letters of credit, commitments, or other obligations, or its deposits, reserves, other liabilities or capital attributable thereto; or</w:t>
      </w:r>
    </w:p>
    <w:p>
      <w:pPr>
        <w:spacing w:after="0" w:line="143" w:lineRule="exact"/>
        <w:rPr>
          <w:rFonts w:ascii="Times New Roman" w:cs="Times New Roman" w:eastAsia="Times New Roman" w:hAnsi="Times New Roman"/>
          <w:sz w:val="20"/>
          <w:szCs w:val="20"/>
          <w:color w:val="auto"/>
        </w:rPr>
      </w:pPr>
    </w:p>
    <w:p>
      <w:pPr>
        <w:ind w:right="160" w:firstLine="1993"/>
        <w:spacing w:after="0" w:line="242" w:lineRule="auto"/>
        <w:tabs>
          <w:tab w:leader="none" w:pos="240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on any Lender, the Issuing Lender or the </w:t>
      </w:r>
      <w:r>
        <w:rPr>
          <w:rFonts w:ascii="Times New Roman" w:cs="Times New Roman" w:eastAsia="Times New Roman" w:hAnsi="Times New Roman"/>
          <w:sz w:val="20"/>
          <w:szCs w:val="20"/>
          <w:color w:val="FF0000"/>
          <w:strike w:val="1"/>
        </w:rPr>
        <w:t>London interbank</w:t>
      </w:r>
      <w:r>
        <w:rPr>
          <w:rFonts w:ascii="Times New Roman" w:cs="Times New Roman" w:eastAsia="Times New Roman" w:hAnsi="Times New Roman"/>
          <w:sz w:val="20"/>
          <w:szCs w:val="20"/>
          <w:u w:val="single" w:color="auto"/>
          <w:color w:val="0000FF"/>
        </w:rPr>
        <w:t>relevant</w:t>
      </w:r>
      <w:r>
        <w:rPr>
          <w:rFonts w:ascii="Times New Roman" w:cs="Times New Roman" w:eastAsia="Times New Roman" w:hAnsi="Times New Roman"/>
          <w:sz w:val="20"/>
          <w:szCs w:val="20"/>
          <w:color w:val="auto"/>
        </w:rPr>
        <w:t xml:space="preserve"> market any other condition, cost or expense (other than Taxes) affecting this Agreement or Loans made by such Lender or any Letter of Credit or participation therein;</w:t>
      </w:r>
    </w:p>
    <w:p>
      <w:pPr>
        <w:spacing w:after="0" w:line="140"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 Lender or other Recipient, the Borrower will pay to such Lender, the Issuing Lender or other Recipient, as the case may be, such additional amount or amounts as will compensate such Lender or the Issuing Lender, as the case may be, for such additional costs incurred or reduction suffered.</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1.1.iiCapital Requirements.</w:t>
      </w:r>
    </w:p>
    <w:p>
      <w:pPr>
        <w:spacing w:after="0" w:line="173" w:lineRule="exact"/>
        <w:rPr>
          <w:sz w:val="20"/>
          <w:szCs w:val="20"/>
          <w:color w:val="auto"/>
        </w:rPr>
      </w:pPr>
    </w:p>
    <w:p>
      <w:pPr>
        <w:jc w:val="both"/>
        <w:ind w:left="1200"/>
        <w:spacing w:after="0" w:line="217" w:lineRule="auto"/>
        <w:rPr>
          <w:sz w:val="20"/>
          <w:szCs w:val="20"/>
          <w:color w:val="auto"/>
        </w:rPr>
      </w:pPr>
      <w:r>
        <w:rPr>
          <w:rFonts w:ascii="Times New Roman" w:cs="Times New Roman" w:eastAsia="Times New Roman" w:hAnsi="Times New Roman"/>
          <w:sz w:val="20"/>
          <w:szCs w:val="20"/>
          <w:color w:val="auto"/>
        </w:rPr>
        <w:t>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71"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such Lender's or the Issuing Lender's holding company with respect to capital adequacy), then from time to time the Borrower will pay to such Lender or the Issuing Lender, as the case may be, such additional amount or amounts as will compensate such Lender or the Issuing Lender or such Lender's or the Issuing Lender's holding company for any such reduction suffered.</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1.1.iiiCertificates for Reimbursement; Repayment of Outstanding Loans; Borrowing of New Loans.</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A certificate of a Lender or the Issuing Lender setting forth in reasonable detail the amount or amounts necessary to compensate such Lender or the Issuing Lender or its holding company, as the case may be, as specified in Sections 5.8.1 [Increased Costs Generally] or 5.8.2 [Capital Requirements] and delivered to the Borrower shall be conclusive absent manifest error. The Borrower shall pay such Lender or the Issuing Lender, as the case may be, the amount shown as due on any such certificate within ten (10) days after receipt thereof.</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1.1.ivDelay in Requests.</w:t>
      </w:r>
    </w:p>
    <w:p>
      <w:pPr>
        <w:spacing w:after="0" w:line="173"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 xml:space="preserve">Failure or delay on the part of any Lender or the Issuing Lender to demand compensation pursuant to this Section shall not constitute a waiver of such Lender's or the Issuing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the Issuing Lender pursuant to this Section for any increased costs incurred or reductions suffered more than six (6) months prior to the date that such Lender or the Issuing Lender, as the case may be, notifies the Borrower in writing of the Change in Law giving rise to such increased costs or reductions and of such Lender's or the Issuing Lender's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148"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1.i</w:t>
      </w:r>
      <w:r>
        <w:rPr>
          <w:sz w:val="20"/>
          <w:szCs w:val="20"/>
          <w:color w:val="auto"/>
        </w:rPr>
        <w:tab/>
      </w:r>
      <w:r>
        <w:rPr>
          <w:rFonts w:ascii="Times New Roman" w:cs="Times New Roman" w:eastAsia="Times New Roman" w:hAnsi="Times New Roman"/>
          <w:sz w:val="19"/>
          <w:szCs w:val="19"/>
          <w:color w:val="auto"/>
        </w:rPr>
        <w:t>Taxes.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1.1.iIssuing Lender.</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For purposes of this Section 5.9, the term "Lender" includes the Issuing Lender and the term "applicable Law" includes</w:t>
      </w:r>
    </w:p>
    <w:p>
      <w:pPr>
        <w:ind w:left="1000"/>
        <w:spacing w:after="0"/>
        <w:rPr>
          <w:sz w:val="20"/>
          <w:szCs w:val="20"/>
          <w:color w:val="auto"/>
        </w:rPr>
      </w:pPr>
      <w:r>
        <w:rPr>
          <w:rFonts w:ascii="Times New Roman" w:cs="Times New Roman" w:eastAsia="Times New Roman" w:hAnsi="Times New Roman"/>
          <w:sz w:val="20"/>
          <w:szCs w:val="20"/>
          <w:color w:val="auto"/>
        </w:rPr>
        <w:t>FATCA.</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1.1.iiPayments Free of Taxes.</w:t>
      </w:r>
    </w:p>
    <w:p>
      <w:pPr>
        <w:spacing w:after="0" w:line="173"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5.9 [Taxes])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040"/>
          </w:cols>
          <w:pgMar w:left="520" w:top="1440" w:right="339" w:bottom="1440" w:gutter="0" w:footer="0" w:header="0"/>
        </w:sectPr>
      </w:pPr>
    </w:p>
    <w:bookmarkStart w:id="158" w:name="page159"/>
    <w:bookmarkEnd w:id="158"/>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applicable Recipient receives an amount equal to the sum it would have received had no such deduction or withholding been made.</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1.1.iiiPayment of Other Taxes by the Loan Parties.</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The Loan Parties shall timely pay to the relevant Official Body in accordance with applicable Law, or at the option of the Administrative Agent timely reimburse it for the payment of, any Other Taxes.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1.1.ivIndemnification by the Loan Parties.</w:t>
      </w:r>
    </w:p>
    <w:p>
      <w:pPr>
        <w:spacing w:after="0" w:line="173"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color w:val="auto"/>
        </w:rPr>
        <w:t>The Loan Parties shall jointly and severally indemnify each Recipient, within ten (10) Business Days after demand therefor, for the full amount of any Indemnified Taxes (including Indemnified Taxes imposed or asserted on or attributable to amounts payable under this Section 5.9 [Taxes])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1.1.vIndemnification by the Lenders.</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Each Lender shall severally indemnify the Administrative Agent, within ten (10) Business Days after demand therefor, for</w:t>
      </w:r>
    </w:p>
    <w:p>
      <w:pPr>
        <w:jc w:val="both"/>
        <w:ind w:left="1000" w:firstLine="8"/>
        <w:spacing w:after="0" w:line="213" w:lineRule="auto"/>
        <w:tabs>
          <w:tab w:leader="none" w:pos="129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Section 11.8.4 [Participations]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5.9.5 [Indemnification by the Lenders].</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1.1.viEvidence of Payments.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As soon as practicable after any payment of Taxes by any Loan Party to an Official Body pursuant to this Section 5.9 [Taxes],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040"/>
          </w:cols>
          <w:pgMar w:left="520" w:top="1440" w:right="339" w:bottom="1440" w:gutter="0" w:footer="0" w:header="0"/>
        </w:sectPr>
      </w:pPr>
    </w:p>
    <w:bookmarkStart w:id="159" w:name="page160"/>
    <w:bookmarkEnd w:id="159"/>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1.1.viiStatus of Lenders.</w:t>
      </w:r>
    </w:p>
    <w:p>
      <w:pPr>
        <w:spacing w:after="0" w:line="173" w:lineRule="exact"/>
        <w:rPr>
          <w:sz w:val="20"/>
          <w:szCs w:val="20"/>
          <w:color w:val="auto"/>
        </w:rPr>
      </w:pPr>
    </w:p>
    <w:p>
      <w:pPr>
        <w:ind w:left="-200" w:right="80" w:firstLine="1993"/>
        <w:spacing w:after="0" w:line="215" w:lineRule="auto"/>
        <w:tabs>
          <w:tab w:leader="none" w:pos="220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5.9.7(ii)(A),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49" w:lineRule="exact"/>
        <w:rPr>
          <w:rFonts w:ascii="Times New Roman" w:cs="Times New Roman" w:eastAsia="Times New Roman" w:hAnsi="Times New Roman"/>
          <w:sz w:val="20"/>
          <w:szCs w:val="20"/>
          <w:color w:val="auto"/>
        </w:rPr>
      </w:pPr>
    </w:p>
    <w:p>
      <w:pPr>
        <w:ind w:left="2200" w:hanging="407"/>
        <w:spacing w:after="0"/>
        <w:tabs>
          <w:tab w:leader="none" w:pos="22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Borrower,</w:t>
      </w:r>
    </w:p>
    <w:p>
      <w:pPr>
        <w:spacing w:after="0" w:line="172" w:lineRule="exact"/>
        <w:rPr>
          <w:rFonts w:ascii="Times New Roman" w:cs="Times New Roman" w:eastAsia="Times New Roman" w:hAnsi="Times New Roman"/>
          <w:sz w:val="20"/>
          <w:szCs w:val="20"/>
          <w:color w:val="auto"/>
        </w:rPr>
      </w:pPr>
    </w:p>
    <w:p>
      <w:pPr>
        <w:ind w:left="-200" w:firstLine="2416"/>
        <w:spacing w:after="0" w:line="225" w:lineRule="auto"/>
        <w:tabs>
          <w:tab w:leader="none" w:pos="2815"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44" w:lineRule="exact"/>
        <w:rPr>
          <w:rFonts w:ascii="Times New Roman" w:cs="Times New Roman" w:eastAsia="Times New Roman" w:hAnsi="Times New Roman"/>
          <w:sz w:val="20"/>
          <w:szCs w:val="20"/>
          <w:color w:val="auto"/>
        </w:rPr>
      </w:pPr>
    </w:p>
    <w:p>
      <w:pPr>
        <w:ind w:left="-200" w:right="200" w:firstLine="2416"/>
        <w:spacing w:after="0" w:line="225" w:lineRule="auto"/>
        <w:tabs>
          <w:tab w:leader="none" w:pos="2815"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4" w:lineRule="exact"/>
        <w:rPr>
          <w:sz w:val="20"/>
          <w:szCs w:val="20"/>
          <w:color w:val="auto"/>
        </w:rPr>
      </w:pPr>
    </w:p>
    <w:p>
      <w:pPr>
        <w:ind w:left="1000" w:right="60" w:firstLine="1622"/>
        <w:spacing w:after="0" w:line="220" w:lineRule="auto"/>
        <w:rPr>
          <w:sz w:val="20"/>
          <w:szCs w:val="20"/>
          <w:color w:val="auto"/>
        </w:rPr>
      </w:pPr>
      <w:r>
        <w:rPr>
          <w:rFonts w:ascii="Times New Roman" w:cs="Times New Roman" w:eastAsia="Times New Roman" w:hAnsi="Times New Roman"/>
          <w:sz w:val="20"/>
          <w:szCs w:val="20"/>
          <w:color w:val="auto"/>
        </w:rPr>
        <w:t>(i)in the case of a Foreign Lender claiming the benefits of an income tax treaty to which the United States is a party (x) with respect to payments of interest under any Loan Document, executed originals of IRS Form W-8BEN</w:t>
      </w:r>
      <w:r>
        <w:rPr>
          <w:rFonts w:ascii="Times New Roman" w:cs="Times New Roman" w:eastAsia="Times New Roman" w:hAnsi="Times New Roman"/>
          <w:sz w:val="20"/>
          <w:szCs w:val="20"/>
          <w:u w:val="single" w:color="auto"/>
          <w:color w:val="0000FF"/>
        </w:rPr>
        <w:t>-E (or W-8BEN if applicable)</w:t>
      </w:r>
      <w:r>
        <w:rPr>
          <w:rFonts w:ascii="Times New Roman" w:cs="Times New Roman" w:eastAsia="Times New Roman" w:hAnsi="Times New Roman"/>
          <w:sz w:val="20"/>
          <w:szCs w:val="20"/>
          <w:color w:val="auto"/>
        </w:rPr>
        <w:t xml:space="preserve"> establishing an exemption from, or reduction of, U.S. federal withholding Tax pursuant to the "interest" article of such tax treaty and (y) with respect to any other applicable payments under any Loan Document, IRS Form W-8BEN</w:t>
      </w:r>
      <w:r>
        <w:rPr>
          <w:rFonts w:ascii="Times New Roman" w:cs="Times New Roman" w:eastAsia="Times New Roman" w:hAnsi="Times New Roman"/>
          <w:sz w:val="20"/>
          <w:szCs w:val="20"/>
          <w:u w:val="single" w:color="auto"/>
          <w:color w:val="0000FF"/>
        </w:rPr>
        <w:t>-E (or W-8BEN if applicable)</w:t>
      </w:r>
      <w:r>
        <w:rPr>
          <w:rFonts w:ascii="Times New Roman" w:cs="Times New Roman" w:eastAsia="Times New Roman" w:hAnsi="Times New Roman"/>
          <w:sz w:val="20"/>
          <w:szCs w:val="20"/>
          <w:color w:val="auto"/>
        </w:rPr>
        <w:t xml:space="preserve"> establishing an exemption from, or reduction of, U.S. federal withholding Tax pursuant to the "business profits" or "other income" article of such tax treaty;</w:t>
      </w:r>
    </w:p>
    <w:p>
      <w:pPr>
        <w:spacing w:after="0" w:line="1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(ii)executed originals of IRS Form W-8ECI;</w:t>
      </w:r>
    </w:p>
    <w:p>
      <w:pPr>
        <w:spacing w:after="0" w:line="173" w:lineRule="exact"/>
        <w:rPr>
          <w:sz w:val="20"/>
          <w:szCs w:val="20"/>
          <w:color w:val="auto"/>
        </w:rPr>
      </w:pPr>
    </w:p>
    <w:p>
      <w:pPr>
        <w:ind w:left="1000" w:right="260" w:firstLine="1510"/>
        <w:spacing w:after="0" w:line="222" w:lineRule="auto"/>
        <w:rPr>
          <w:sz w:val="20"/>
          <w:szCs w:val="20"/>
          <w:color w:val="auto"/>
        </w:rPr>
      </w:pPr>
      <w:r>
        <w:rPr>
          <w:rFonts w:ascii="Times New Roman" w:cs="Times New Roman" w:eastAsia="Times New Roman" w:hAnsi="Times New Roman"/>
          <w:sz w:val="20"/>
          <w:szCs w:val="20"/>
          <w:color w:val="auto"/>
        </w:rPr>
        <w:t xml:space="preserve">(iii)in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5.9.7 (A)</w:t>
      </w:r>
      <w:r>
        <w:rPr>
          <w:rFonts w:ascii="Times New Roman" w:cs="Times New Roman" w:eastAsia="Times New Roman" w:hAnsi="Times New Roman"/>
          <w:sz w:val="20"/>
          <w:szCs w:val="20"/>
          <w:color w:val="auto"/>
        </w:rPr>
        <w:t xml:space="preserve"> to the effect that such Foreign Lender is not (A) a "bank" within the meaning of Section 881(c)(3)(A) of the Code, (B) a "10 percent shareholder" of the Borrower within the meaning of Section 881(c)(3)(B) of the Code, or (C) a "controlled foreign corporation" described in Section 881(c)(3)(C) of the Code (a "</w:t>
      </w:r>
      <w:r>
        <w:rPr>
          <w:rFonts w:ascii="Times New Roman" w:cs="Times New Roman" w:eastAsia="Times New Roman" w:hAnsi="Times New Roman"/>
          <w:sz w:val="20"/>
          <w:szCs w:val="20"/>
          <w:b w:val="1"/>
          <w:bCs w:val="1"/>
          <w:color w:val="auto"/>
        </w:rPr>
        <w:t>U.S. Tax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040"/>
          </w:cols>
          <w:pgMar w:left="520" w:top="1440" w:right="339" w:bottom="1440" w:gutter="0" w:footer="0" w:header="0"/>
        </w:sectPr>
      </w:pPr>
    </w:p>
    <w:bookmarkStart w:id="160" w:name="page161"/>
    <w:bookmarkEnd w:id="160"/>
    <w:p>
      <w:pPr>
        <w:spacing w:after="0" w:line="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Certificate</w:t>
      </w:r>
      <w:r>
        <w:rPr>
          <w:rFonts w:ascii="Times New Roman" w:cs="Times New Roman" w:eastAsia="Times New Roman" w:hAnsi="Times New Roman"/>
          <w:sz w:val="20"/>
          <w:szCs w:val="20"/>
          <w:color w:val="auto"/>
        </w:rPr>
        <w:t>") and (y) executed originals of IRS Form W-8BEN</w:t>
      </w:r>
      <w:r>
        <w:rPr>
          <w:rFonts w:ascii="Times New Roman" w:cs="Times New Roman" w:eastAsia="Times New Roman" w:hAnsi="Times New Roman"/>
          <w:sz w:val="20"/>
          <w:szCs w:val="20"/>
          <w:u w:val="single" w:color="auto"/>
          <w:color w:val="0000FF"/>
        </w:rPr>
        <w:t>-E (or W-8BEN if applicable)</w:t>
      </w:r>
      <w:r>
        <w:rPr>
          <w:rFonts w:ascii="Times New Roman" w:cs="Times New Roman" w:eastAsia="Times New Roman" w:hAnsi="Times New Roman"/>
          <w:sz w:val="20"/>
          <w:szCs w:val="20"/>
          <w:color w:val="auto"/>
        </w:rPr>
        <w:t>; or</w:t>
      </w:r>
    </w:p>
    <w:p>
      <w:pPr>
        <w:spacing w:after="0" w:line="177" w:lineRule="exact"/>
        <w:rPr>
          <w:sz w:val="20"/>
          <w:szCs w:val="20"/>
          <w:color w:val="auto"/>
        </w:rPr>
      </w:pPr>
    </w:p>
    <w:p>
      <w:pPr>
        <w:jc w:val="both"/>
        <w:ind w:left="1200" w:right="80" w:firstLine="1521"/>
        <w:spacing w:after="0" w:line="220" w:lineRule="auto"/>
        <w:rPr>
          <w:sz w:val="20"/>
          <w:szCs w:val="20"/>
          <w:color w:val="auto"/>
        </w:rPr>
      </w:pPr>
      <w:r>
        <w:rPr>
          <w:rFonts w:ascii="Times New Roman" w:cs="Times New Roman" w:eastAsia="Times New Roman" w:hAnsi="Times New Roman"/>
          <w:sz w:val="20"/>
          <w:szCs w:val="20"/>
          <w:color w:val="auto"/>
        </w:rPr>
        <w:t>(iv)to the extent a Foreign Lender is not the beneficial owner, executed originals of IRS Form W-8IMY, accompanied by IRS Form W-8ECI, IRS Form W-8BEN</w:t>
      </w:r>
      <w:r>
        <w:rPr>
          <w:rFonts w:ascii="Times New Roman" w:cs="Times New Roman" w:eastAsia="Times New Roman" w:hAnsi="Times New Roman"/>
          <w:sz w:val="20"/>
          <w:szCs w:val="20"/>
          <w:u w:val="single" w:color="auto"/>
          <w:color w:val="0000FF"/>
        </w:rPr>
        <w:t>-E (or W-8BEN if applicable)</w:t>
      </w:r>
      <w:r>
        <w:rPr>
          <w:rFonts w:ascii="Times New Roman" w:cs="Times New Roman" w:eastAsia="Times New Roman" w:hAnsi="Times New Roman"/>
          <w:sz w:val="20"/>
          <w:szCs w:val="20"/>
          <w:color w:val="auto"/>
        </w:rPr>
        <w:t xml:space="preserve">, a U.S. Tax Compliance Certificate substantially in the form of </w:t>
      </w:r>
      <w:r>
        <w:rPr>
          <w:rFonts w:ascii="Times New Roman" w:cs="Times New Roman" w:eastAsia="Times New Roman" w:hAnsi="Times New Roman"/>
          <w:sz w:val="20"/>
          <w:szCs w:val="20"/>
          <w:u w:val="single" w:color="auto"/>
          <w:color w:val="auto"/>
        </w:rPr>
        <w:t>Exhibit 5.9.7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5.9.7(C)</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5.9.7(D)</w:t>
      </w:r>
      <w:r>
        <w:rPr>
          <w:rFonts w:ascii="Times New Roman" w:cs="Times New Roman" w:eastAsia="Times New Roman" w:hAnsi="Times New Roman"/>
          <w:sz w:val="20"/>
          <w:szCs w:val="20"/>
          <w:color w:val="auto"/>
        </w:rPr>
        <w:t xml:space="preserve"> on behalf of each such direct and indirect partner;</w:t>
      </w:r>
    </w:p>
    <w:p>
      <w:pPr>
        <w:spacing w:after="0" w:line="144" w:lineRule="exact"/>
        <w:rPr>
          <w:sz w:val="20"/>
          <w:szCs w:val="20"/>
          <w:color w:val="auto"/>
        </w:rPr>
      </w:pPr>
    </w:p>
    <w:p>
      <w:pPr>
        <w:ind w:right="200" w:firstLine="2416"/>
        <w:spacing w:after="0" w:line="220" w:lineRule="auto"/>
        <w:tabs>
          <w:tab w:leader="none" w:pos="301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44" w:lineRule="exact"/>
        <w:rPr>
          <w:rFonts w:ascii="Times New Roman" w:cs="Times New Roman" w:eastAsia="Times New Roman" w:hAnsi="Times New Roman"/>
          <w:sz w:val="20"/>
          <w:szCs w:val="20"/>
          <w:color w:val="auto"/>
        </w:rPr>
      </w:pPr>
    </w:p>
    <w:p>
      <w:pPr>
        <w:ind w:right="40" w:firstLine="2416"/>
        <w:spacing w:after="0" w:line="214" w:lineRule="auto"/>
        <w:tabs>
          <w:tab w:leader="none" w:pos="301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pursuant to FATCA if such Lender were to fail to comply with the applicable reporting, registration or other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3" w:lineRule="exact"/>
        <w:rPr>
          <w:rFonts w:ascii="Times New Roman" w:cs="Times New Roman" w:eastAsia="Times New Roman" w:hAnsi="Times New Roman"/>
          <w:sz w:val="20"/>
          <w:szCs w:val="20"/>
          <w:color w:val="auto"/>
        </w:rPr>
      </w:pPr>
    </w:p>
    <w:p>
      <w:pPr>
        <w:ind w:right="20" w:firstLine="1"/>
        <w:spacing w:after="0" w:line="219" w:lineRule="auto"/>
        <w:tabs>
          <w:tab w:leader="none" w:pos="2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all amendments made to FATCA after the date of this Agreement.</w:t>
      </w:r>
    </w:p>
    <w:p>
      <w:pPr>
        <w:spacing w:after="0" w:line="145" w:lineRule="exact"/>
        <w:rPr>
          <w:sz w:val="20"/>
          <w:szCs w:val="20"/>
          <w:color w:val="auto"/>
        </w:rPr>
      </w:pPr>
    </w:p>
    <w:p>
      <w:pPr>
        <w:jc w:val="both"/>
        <w:ind w:firstLine="604"/>
        <w:spacing w:after="0" w:line="230"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1.1.viiiTreatment of Certain Refunds.</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If any party determines, in its sole discretion exercised in good faith, that it has received a refund of any Taxes as to which it has been indemnified pursuant to this Section 5.9 [Taxes] (including by the payment of additional amounts pursuant to this Section 5.9 [Taxes]), it shall pay to the indemnifying party an amount equal to such refund (but only to the extent of indemnity payments made under this Section 5.9 [Taxes]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71" w:lineRule="exact"/>
        <w:rPr>
          <w:sz w:val="20"/>
          <w:szCs w:val="20"/>
          <w:color w:val="auto"/>
        </w:rPr>
      </w:pPr>
    </w:p>
    <w:p>
      <w:pPr>
        <w:jc w:val="both"/>
        <w:ind w:left="1000"/>
        <w:spacing w:after="0" w:line="237" w:lineRule="auto"/>
        <w:rPr>
          <w:sz w:val="20"/>
          <w:szCs w:val="20"/>
          <w:color w:val="auto"/>
        </w:rPr>
      </w:pPr>
      <w:r>
        <w:rPr>
          <w:rFonts w:ascii="Times New Roman" w:cs="Times New Roman" w:eastAsia="Times New Roman" w:hAnsi="Times New Roman"/>
          <w:sz w:val="20"/>
          <w:szCs w:val="20"/>
          <w:color w:val="auto"/>
        </w:rPr>
        <w:t>indemnified party incurred in connection with obtaining such refund, shall repay to such indemnified party the amount paid over pursuant to this Section 5.9.8 [Treatment of Certain Refunds] (plus any penalties, interest or other charges imposed by the relevant Official Body) in the event that such indemnified party is required to repay such refund to such Official Body. Notwithstanding anything to the contrary in this Section 5.9.8 [Treatment of Certain Refunds]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in no event will the indemnified party be required to pay any amount to an indemnifying party pursuant to this Section 5.9.8 [Treatment of Certain Refunds]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1.1.ixSurvival.</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Each party's obligations under this Section 5.9 [Taxes] shall survive the resignation of the Administrative Agent or any assignment of rights by, or the replacement of, a Lender, the termination of the Commitments and the repayment, satisfaction or discharge of all Obligations.</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1.j</w:t>
      </w:r>
      <w:r>
        <w:rPr>
          <w:sz w:val="20"/>
          <w:szCs w:val="20"/>
          <w:color w:val="auto"/>
        </w:rPr>
        <w:tab/>
      </w:r>
      <w:r>
        <w:rPr>
          <w:rFonts w:ascii="Times New Roman" w:cs="Times New Roman" w:eastAsia="Times New Roman" w:hAnsi="Times New Roman"/>
          <w:sz w:val="19"/>
          <w:szCs w:val="19"/>
          <w:color w:val="auto"/>
        </w:rPr>
        <w:t>Indemnity.</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In addition to the compensation or payments required by Section 5.8 [Increased Costs] or Section 5.9 [Taxes], the Borrower shall indemnify each Lender against all liabilities, losses or expenses (including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which such Lender sustains or incurs as a consequence of any:</w:t>
      </w:r>
    </w:p>
    <w:p>
      <w:pPr>
        <w:spacing w:after="0" w:line="144" w:lineRule="exact"/>
        <w:rPr>
          <w:sz w:val="20"/>
          <w:szCs w:val="20"/>
          <w:color w:val="auto"/>
        </w:rPr>
      </w:pPr>
    </w:p>
    <w:p>
      <w:pPr>
        <w:ind w:left="-200" w:right="20" w:firstLine="1993"/>
        <w:spacing w:after="0" w:line="230" w:lineRule="auto"/>
        <w:tabs>
          <w:tab w:leader="none" w:pos="220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prepayment, conversion or renewal of any Loan to which a </w:t>
      </w:r>
      <w:r>
        <w:rPr>
          <w:rFonts w:ascii="Times New Roman" w:cs="Times New Roman" w:eastAsia="Times New Roman" w:hAnsi="Times New Roman"/>
          <w:sz w:val="20"/>
          <w:szCs w:val="20"/>
          <w:color w:val="FF0000"/>
          <w:strike w:val="1"/>
        </w:rPr>
        <w:t>LIBOR</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Rate Option applies on a day other than the last day of the corresponding Interest Period (whether or not such payment or prepayment is mandatory, voluntary or automatic and whether or not such payment or prepayment is then due),</w:t>
      </w:r>
    </w:p>
    <w:p>
      <w:pPr>
        <w:spacing w:after="0" w:line="143" w:lineRule="exact"/>
        <w:rPr>
          <w:rFonts w:ascii="Times New Roman" w:cs="Times New Roman" w:eastAsia="Times New Roman" w:hAnsi="Times New Roman"/>
          <w:sz w:val="20"/>
          <w:szCs w:val="20"/>
          <w:color w:val="auto"/>
        </w:rPr>
      </w:pPr>
    </w:p>
    <w:p>
      <w:pPr>
        <w:ind w:left="-200" w:right="60" w:firstLine="1993"/>
        <w:spacing w:after="0" w:line="222" w:lineRule="auto"/>
        <w:tabs>
          <w:tab w:leader="none" w:pos="220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attempt by the Borrower to revoke (expressly, by later inconsistent notices or otherwise) in whole or part any Loan Requests under Section 2.5 [Revolving Credit Loan Requests; Swing Loan Requests] or Section 4.2 [Interest Periods] or notice relating to prepayments under Section 5.6 [Voluntary Prepayments] </w:t>
      </w:r>
      <w:r>
        <w:rPr>
          <w:rFonts w:ascii="Times New Roman" w:cs="Times New Roman" w:eastAsia="Times New Roman" w:hAnsi="Times New Roman"/>
          <w:sz w:val="20"/>
          <w:szCs w:val="20"/>
          <w:color w:val="0000FF"/>
        </w:rPr>
        <w:t>or failure by the Borrower (for a reason other than the failure of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Lender to make a Loan) to prepay, borrow, continue or convert any Loan other than a Loan under the Base Rate Option on the date or in the amount notified by the Borrower</w:t>
      </w:r>
      <w:r>
        <w:rPr>
          <w:rFonts w:ascii="Times New Roman" w:cs="Times New Roman" w:eastAsia="Times New Roman" w:hAnsi="Times New Roman"/>
          <w:sz w:val="20"/>
          <w:szCs w:val="20"/>
          <w:color w:val="000000"/>
        </w:rPr>
        <w:t>, or</w:t>
      </w:r>
    </w:p>
    <w:p>
      <w:pPr>
        <w:spacing w:after="0" w:line="144" w:lineRule="exact"/>
        <w:rPr>
          <w:rFonts w:ascii="Times New Roman" w:cs="Times New Roman" w:eastAsia="Times New Roman" w:hAnsi="Times New Roman"/>
          <w:sz w:val="20"/>
          <w:szCs w:val="20"/>
          <w:color w:val="auto"/>
        </w:rPr>
      </w:pPr>
    </w:p>
    <w:p>
      <w:pPr>
        <w:ind w:left="-200" w:right="180" w:firstLine="1993"/>
        <w:spacing w:after="0" w:line="242" w:lineRule="auto"/>
        <w:tabs>
          <w:tab w:leader="none" w:pos="2205" w:val="left"/>
        </w:tabs>
        <w:numPr>
          <w:ilvl w:val="0"/>
          <w:numId w:val="10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any assignment of a Loan under the Term SOFR Rate Option on a day other than the last day of the Interest Period therefor as a result of a request by the Borrower pursuant to Section 5.12 [Replacement of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-669290</wp:posOffset>
            </wp:positionV>
            <wp:extent cx="35560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3556000" cy="8255"/>
                    </a:xfrm>
                    <a:prstGeom prst="rect">
                      <a:avLst/>
                    </a:prstGeom>
                    <a:noFill/>
                  </pic:spPr>
                </pic:pic>
              </a:graphicData>
            </a:graphic>
          </wp:anchor>
        </w:drawing>
      </w:r>
    </w:p>
    <w:p>
      <w:pPr>
        <w:spacing w:after="0" w:line="120" w:lineRule="exact"/>
        <w:rPr>
          <w:sz w:val="20"/>
          <w:szCs w:val="20"/>
          <w:color w:val="auto"/>
        </w:rPr>
      </w:pPr>
    </w:p>
    <w:p>
      <w:pPr>
        <w:ind w:left="1000"/>
        <w:spacing w:after="0" w:line="242" w:lineRule="auto"/>
        <w:rPr>
          <w:sz w:val="20"/>
          <w:szCs w:val="20"/>
          <w:color w:val="auto"/>
        </w:rPr>
      </w:pPr>
      <w:r>
        <w:rPr>
          <w:rFonts w:ascii="Times New Roman" w:cs="Times New Roman" w:eastAsia="Times New Roman" w:hAnsi="Times New Roman"/>
          <w:sz w:val="20"/>
          <w:szCs w:val="20"/>
          <w:color w:val="auto"/>
        </w:rPr>
        <w:t>If any Lender sustains or incurs any such loss or expense, it shall from time to time notify the Borrower of the amount determined in good faith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040"/>
          </w:cols>
          <w:pgMar w:left="520" w:top="1440" w:right="339" w:bottom="1440" w:gutter="0" w:footer="0" w:header="0"/>
        </w:sectPr>
      </w:pPr>
    </w:p>
    <w:bookmarkStart w:id="162" w:name="page163"/>
    <w:bookmarkEnd w:id="162"/>
    <w:p>
      <w:pPr>
        <w:spacing w:after="0" w:line="71"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(which determination may include such assumptions, allocations of costs and expenses and averaging or attribution methods as such Lender shall deem reasonable) to be necessary to indemnify such Lender for such loss or expense. Such notice shall set forth in reasonable detail the basis for such determination. Such amount shall be due and payable by the Borrower to such Lender ten (10) Business Days after such notice is given.</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1.k</w:t>
      </w:r>
      <w:r>
        <w:rPr>
          <w:sz w:val="20"/>
          <w:szCs w:val="20"/>
          <w:color w:val="auto"/>
        </w:rPr>
        <w:tab/>
      </w:r>
      <w:r>
        <w:rPr>
          <w:rFonts w:ascii="Times New Roman" w:cs="Times New Roman" w:eastAsia="Times New Roman" w:hAnsi="Times New Roman"/>
          <w:sz w:val="20"/>
          <w:szCs w:val="20"/>
          <w:color w:val="auto"/>
        </w:rPr>
        <w:t>Settlement Date Procedures.</w:t>
      </w:r>
    </w:p>
    <w:p>
      <w:pPr>
        <w:spacing w:after="0" w:line="173"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color w:val="auto"/>
        </w:rPr>
        <w:t>In order to minimize the transfer of funds between the Lenders and the Administrative Agent, the Borrower may borrow, repay and reborrow Swing Loans and PNC may make Swing Loans as provided in Section 2.1.2 [Swing Loan Commitments] hereof during the period between Settlement Dates. The Administrative Agent shall notify each Lender of its Ratable Share of the total of the Revolving Credit Loans and the Swing Loans (each a "</w:t>
      </w:r>
      <w:r>
        <w:rPr>
          <w:rFonts w:ascii="Times New Roman" w:cs="Times New Roman" w:eastAsia="Times New Roman" w:hAnsi="Times New Roman"/>
          <w:sz w:val="20"/>
          <w:szCs w:val="20"/>
          <w:b w:val="1"/>
          <w:bCs w:val="1"/>
          <w:color w:val="auto"/>
        </w:rPr>
        <w:t>Required Share</w:t>
      </w:r>
      <w:r>
        <w:rPr>
          <w:rFonts w:ascii="Times New Roman" w:cs="Times New Roman" w:eastAsia="Times New Roman" w:hAnsi="Times New Roman"/>
          <w:sz w:val="20"/>
          <w:szCs w:val="20"/>
          <w:color w:val="auto"/>
        </w:rPr>
        <w:t>"). On such Settlement Date, each Lender shall pay to the Administrative Agent the amount equal to the difference between its Required Share and its Revolving Credit Loans, and the Administrative Agent shall pay to each Lender its Ratable Share of all payments made by the Borrower to the Administrative Agent with respect to the Revolving Credit Loans. The Administrative Agent shall also effect settlement in accordance with the foregoing sentence on the proposed Borrowing Dates for Revolving Credit Loans and on any mandatory prepayment date as provided for herein and may at its option effect settlement on any other Business Day. These settlement procedures are established solely as a matter of administrative convenience, and nothing contained in this Section 5.11 shall relieve the Lenders of their obligations to fund Revolving Credit Loans on dates other than a Settlement Date pursuant to Section 2.1.2 [Swing Loan Commitment].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 to the Administrative Agent with respect to the Revolving Credit Loans.</w:t>
      </w:r>
    </w:p>
    <w:p>
      <w:pPr>
        <w:spacing w:after="0" w:line="156"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u w:val="single" w:color="auto"/>
          <w:color w:val="0000FF"/>
        </w:rPr>
        <w:t>1.l</w:t>
      </w:r>
      <w:r>
        <w:rPr>
          <w:sz w:val="20"/>
          <w:szCs w:val="20"/>
          <w:color w:val="auto"/>
        </w:rPr>
        <w:tab/>
      </w:r>
      <w:r>
        <w:rPr>
          <w:rFonts w:ascii="Times New Roman" w:cs="Times New Roman" w:eastAsia="Times New Roman" w:hAnsi="Times New Roman"/>
          <w:sz w:val="19"/>
          <w:szCs w:val="19"/>
          <w:u w:val="single" w:color="auto"/>
          <w:color w:val="0000FF"/>
        </w:rPr>
        <w:t>Replacement of a Lender.</w:t>
      </w:r>
    </w:p>
    <w:p>
      <w:pPr>
        <w:spacing w:after="0" w:line="173" w:lineRule="exact"/>
        <w:rPr>
          <w:sz w:val="20"/>
          <w:szCs w:val="20"/>
          <w:color w:val="auto"/>
        </w:rPr>
      </w:pPr>
    </w:p>
    <w:p>
      <w:pPr>
        <w:jc w:val="both"/>
        <w:ind w:left="1000"/>
        <w:spacing w:after="0" w:line="216" w:lineRule="auto"/>
        <w:rPr>
          <w:sz w:val="20"/>
          <w:szCs w:val="20"/>
          <w:color w:val="auto"/>
        </w:rPr>
      </w:pPr>
      <w:r>
        <w:rPr>
          <w:rFonts w:ascii="Times New Roman" w:cs="Times New Roman" w:eastAsia="Times New Roman" w:hAnsi="Times New Roman"/>
          <w:sz w:val="20"/>
          <w:szCs w:val="20"/>
          <w:u w:val="single" w:color="auto"/>
          <w:color w:val="0000FF"/>
        </w:rPr>
        <w:t>If any Lender requests compensation under Section 5.8 [Increased Costs], or if the Borrower is required to pay any Indemnified Taxes or additional amounts to any Lender or any Official Body for the account of any Lender pursuant to Section 5.9 [Taxes] and, in each case, such Lender has declined or is unable to designate a different lending office in accordance with Section 5.13 [Designation of a Different Lending Office],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Section 11.8 [Successors and Assigns]), all of its interests, rights (other than its existing rights to payments pursuant to Section 5.8 [Increased Cost] or Section 5.9 [Taxes]) and obligations under this Agreement and the related Loan Documents to an eligible assignee that shall assume such obligations (which assignee may be another Lender, if a Lender accepts such assignment); provided that:</w:t>
      </w:r>
    </w:p>
    <w:p>
      <w:pPr>
        <w:spacing w:after="0" w:line="144" w:lineRule="exact"/>
        <w:rPr>
          <w:sz w:val="20"/>
          <w:szCs w:val="20"/>
          <w:color w:val="auto"/>
        </w:rPr>
      </w:pPr>
    </w:p>
    <w:p>
      <w:pPr>
        <w:ind w:left="-200" w:right="380" w:firstLine="1993"/>
        <w:spacing w:after="0" w:line="242" w:lineRule="auto"/>
        <w:tabs>
          <w:tab w:leader="none" w:pos="2205" w:val="left"/>
        </w:tabs>
        <w:numPr>
          <w:ilvl w:val="0"/>
          <w:numId w:val="10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Borrower shall have paid to the Administrative Agent the assignment fee (if any) specified in Section 11.8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040"/>
          </w:cols>
          <w:pgMar w:left="520" w:top="1440" w:right="339" w:bottom="1440" w:gutter="0" w:footer="0" w:header="0"/>
        </w:sectPr>
      </w:pPr>
    </w:p>
    <w:bookmarkStart w:id="163" w:name="page164"/>
    <w:bookmarkEnd w:id="163"/>
    <w:p>
      <w:pPr>
        <w:spacing w:after="0" w:line="71" w:lineRule="exact"/>
        <w:rPr>
          <w:sz w:val="20"/>
          <w:szCs w:val="20"/>
          <w:color w:val="auto"/>
        </w:rPr>
      </w:pPr>
    </w:p>
    <w:p>
      <w:pPr>
        <w:ind w:right="320" w:firstLine="1993"/>
        <w:spacing w:after="0" w:line="225" w:lineRule="auto"/>
        <w:tabs>
          <w:tab w:leader="none" w:pos="2403" w:val="left"/>
        </w:tabs>
        <w:numPr>
          <w:ilvl w:val="0"/>
          <w:numId w:val="10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such Lender shall have received payment of an amount equal to the outstanding principal of its Loans and participations in Letter of Credit Borrowings, accrued interest thereon, accrued fees and all other amounts payable to it hereunder and under the other Loan Documents (including any amounts under Section 5.10 [Indemnity]) from the assignee (to the extent of such outstanding principal and accrued interest and fees) or the Borrower (in the case of all other amounts);</w:t>
      </w:r>
    </w:p>
    <w:p>
      <w:pPr>
        <w:spacing w:after="0" w:line="143" w:lineRule="exact"/>
        <w:rPr>
          <w:rFonts w:ascii="Times New Roman" w:cs="Times New Roman" w:eastAsia="Times New Roman" w:hAnsi="Times New Roman"/>
          <w:sz w:val="20"/>
          <w:szCs w:val="20"/>
          <w:u w:val="single" w:color="auto"/>
          <w:color w:val="0000FF"/>
        </w:rPr>
      </w:pPr>
    </w:p>
    <w:p>
      <w:pPr>
        <w:ind w:right="20" w:firstLine="1993"/>
        <w:spacing w:after="0" w:line="230" w:lineRule="auto"/>
        <w:tabs>
          <w:tab w:leader="none" w:pos="2405" w:val="left"/>
        </w:tabs>
        <w:numPr>
          <w:ilvl w:val="0"/>
          <w:numId w:val="10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case of any such assignment resulting from a claim for compensation under Section 5.8 [Increased Costs] or payments required to be made pursuant to Section 5.9 [Taxes], such assignment will result in a reduction in such compensation or payments thereafter;</w:t>
      </w:r>
    </w:p>
    <w:p>
      <w:pPr>
        <w:spacing w:after="0" w:line="143" w:lineRule="exact"/>
        <w:rPr>
          <w:rFonts w:ascii="Times New Roman" w:cs="Times New Roman" w:eastAsia="Times New Roman" w:hAnsi="Times New Roman"/>
          <w:sz w:val="20"/>
          <w:szCs w:val="20"/>
          <w:u w:val="single" w:color="auto"/>
          <w:color w:val="0000FF"/>
        </w:rPr>
      </w:pPr>
    </w:p>
    <w:p>
      <w:pPr>
        <w:ind w:left="2400" w:hanging="407"/>
        <w:spacing w:after="0"/>
        <w:tabs>
          <w:tab w:leader="none" w:pos="2400" w:val="left"/>
        </w:tabs>
        <w:numPr>
          <w:ilvl w:val="0"/>
          <w:numId w:val="10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such assignment does not conflict with applicable Law; and</w:t>
      </w:r>
    </w:p>
    <w:p>
      <w:pPr>
        <w:spacing w:after="0" w:line="172" w:lineRule="exact"/>
        <w:rPr>
          <w:rFonts w:ascii="Times New Roman" w:cs="Times New Roman" w:eastAsia="Times New Roman" w:hAnsi="Times New Roman"/>
          <w:sz w:val="20"/>
          <w:szCs w:val="20"/>
          <w:u w:val="single" w:color="auto"/>
          <w:color w:val="0000FF"/>
        </w:rPr>
      </w:pPr>
    </w:p>
    <w:p>
      <w:pPr>
        <w:ind w:right="320" w:firstLine="1993"/>
        <w:spacing w:after="0" w:line="242" w:lineRule="auto"/>
        <w:tabs>
          <w:tab w:leader="none" w:pos="2405" w:val="left"/>
        </w:tabs>
        <w:numPr>
          <w:ilvl w:val="0"/>
          <w:numId w:val="10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case of any assignment resulting from a Lender becoming a Non-Consenting Lender, the applicable assignee shall have consented to the applicable amendment, waiver or consent.</w:t>
      </w:r>
    </w:p>
    <w:p>
      <w:pPr>
        <w:spacing w:after="0" w:line="140" w:lineRule="exact"/>
        <w:rPr>
          <w:sz w:val="20"/>
          <w:szCs w:val="20"/>
          <w:color w:val="auto"/>
        </w:rPr>
      </w:pPr>
    </w:p>
    <w:p>
      <w:pPr>
        <w:ind w:firstLine="604"/>
        <w:spacing w:after="0" w:line="242" w:lineRule="auto"/>
        <w:rPr>
          <w:sz w:val="20"/>
          <w:szCs w:val="20"/>
          <w:color w:val="auto"/>
        </w:rPr>
      </w:pPr>
      <w:r>
        <w:rPr>
          <w:rFonts w:ascii="Times New Roman" w:cs="Times New Roman" w:eastAsia="Times New Roman" w:hAnsi="Times New Roman"/>
          <w:sz w:val="20"/>
          <w:szCs w:val="20"/>
          <w:u w:val="single" w:color="auto"/>
          <w:color w:val="0000FF"/>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4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1.m</w:t>
        <w:tab/>
        <w:t>Designation of a Different Lending Office.</w:t>
      </w:r>
    </w:p>
    <w:p>
      <w:pPr>
        <w:spacing w:after="0" w:line="173" w:lineRule="exact"/>
        <w:rPr>
          <w:sz w:val="20"/>
          <w:szCs w:val="20"/>
          <w:color w:val="auto"/>
        </w:rPr>
      </w:pPr>
    </w:p>
    <w:p>
      <w:pPr>
        <w:ind w:firstLine="604"/>
        <w:spacing w:after="0" w:line="217" w:lineRule="auto"/>
        <w:rPr>
          <w:sz w:val="20"/>
          <w:szCs w:val="20"/>
          <w:color w:val="auto"/>
        </w:rPr>
      </w:pPr>
      <w:r>
        <w:rPr>
          <w:rFonts w:ascii="Times New Roman" w:cs="Times New Roman" w:eastAsia="Times New Roman" w:hAnsi="Times New Roman"/>
          <w:sz w:val="20"/>
          <w:szCs w:val="20"/>
          <w:u w:val="single" w:color="auto"/>
          <w:color w:val="0000FF"/>
        </w:rPr>
        <w:t>If any Lender requests compensation under Section 5.8 [Increased Costs], or the Borrower is or will be required to pay any Indemnified Taxes or additional amounts to any Lender or any Official Body for the account of any Lender pursuant to Section 5.9 [Taxes],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5.8 [Increased Costs] or Section 5.9 [Taxes],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48" w:lineRule="exact"/>
        <w:rPr>
          <w:sz w:val="20"/>
          <w:szCs w:val="20"/>
          <w:color w:val="auto"/>
        </w:rPr>
      </w:pPr>
    </w:p>
    <w:p>
      <w:pPr>
        <w:ind w:left="4100" w:hanging="610"/>
        <w:spacing w:after="0"/>
        <w:tabs>
          <w:tab w:leader="none" w:pos="41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REPRESENTATIONS AND WARRANTIES</w:t>
      </w:r>
    </w:p>
    <w:p>
      <w:pPr>
        <w:spacing w:after="0" w:line="172"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1.a    Representations and Warranties.</w:t>
      </w:r>
    </w:p>
    <w:p>
      <w:pPr>
        <w:spacing w:after="0" w:line="173"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color w:val="auto"/>
        </w:rPr>
        <w:t>The Loan Parties, jointly and severally, represent and warrant to the Administrative Agent and each of the Lenders as follows:</w:t>
      </w:r>
    </w:p>
    <w:p>
      <w:pPr>
        <w:spacing w:after="0" w:line="1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1.1.iOrganization and Qualification; Power and Authority; Compliance With Laws; Title to Properties; Event of Default.</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Each Loan Party and each Subsidiary of each Loan Party (i) is a corporation, partnership or limited liability company duly organized, validly existing and in good standing under the laws of its jurisdiction of organization, (ii) has the lawful power to own or lease its properties and to engage in the business it presently conducts or proposes to conduct, (iii) is duly licensed or qualified and in good standing in each jurisdiction where the property owned or leased by it or the nature of the business transacted by it or both makes such licensing or qualification necessary, except where the failure to be so would not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71" w:lineRule="exact"/>
        <w:rPr>
          <w:sz w:val="20"/>
          <w:szCs w:val="20"/>
          <w:color w:val="auto"/>
        </w:rPr>
      </w:pPr>
    </w:p>
    <w:p>
      <w:pPr>
        <w:jc w:val="both"/>
        <w:ind w:left="1000"/>
        <w:spacing w:after="0"/>
        <w:rPr>
          <w:sz w:val="20"/>
          <w:szCs w:val="20"/>
          <w:color w:val="auto"/>
        </w:rPr>
      </w:pPr>
      <w:r>
        <w:rPr>
          <w:rFonts w:ascii="Times New Roman" w:cs="Times New Roman" w:eastAsia="Times New Roman" w:hAnsi="Times New Roman"/>
          <w:sz w:val="20"/>
          <w:szCs w:val="20"/>
          <w:color w:val="auto"/>
        </w:rPr>
        <w:t>Material Adverse Change, (iv) has full power to enter into, execute, deliver and carry out this Agreement and the other Loan Documents to which it is a party, to incur the Indebtedness contemplated by the Loan Documents and to perform its Obligations under the Loan Documents to which it is a party, and all such actions have been duly authorized by all necessary proceedings on its part, (v) is in compliance in all material respects with all applicable Laws (other than Environmental Laws which are specifically addressed in Section 6.1.14 [Environmental Matters]) in all jurisdictions in which any Loan Party or Subsidiary of any Loan Party is presently or will be doing business except where the failure to do so would not constitute a Material Adverse Change, and (vi) has good and marketable title to or valid leasehold interest in all properties, assets and other rights which it purports to own or lease or which are reflected as owned or leased on its books and records, free and clear of all Liens and encumbrances except Permitted Liens. No Event of Default or Potential Default exists or is continuing.</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1.1.iiCapitalization and Ownership.</w:t>
      </w:r>
    </w:p>
    <w:p>
      <w:pPr>
        <w:spacing w:after="0" w:line="169" w:lineRule="exact"/>
        <w:rPr>
          <w:sz w:val="20"/>
          <w:szCs w:val="20"/>
          <w:color w:val="auto"/>
        </w:rPr>
      </w:pPr>
    </w:p>
    <w:p>
      <w:pPr>
        <w:jc w:val="both"/>
        <w:ind w:left="1000"/>
        <w:spacing w:after="0" w:line="246" w:lineRule="auto"/>
        <w:rPr>
          <w:sz w:val="20"/>
          <w:szCs w:val="20"/>
          <w:color w:val="auto"/>
        </w:rPr>
      </w:pPr>
      <w:r>
        <w:rPr>
          <w:rFonts w:ascii="Times New Roman" w:cs="Times New Roman" w:eastAsia="Times New Roman" w:hAnsi="Times New Roman"/>
          <w:sz w:val="20"/>
          <w:szCs w:val="20"/>
          <w:color w:val="auto"/>
        </w:rPr>
        <w:t>All of the authorized capital stock of the Borrower, and the shares (referred to herein as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of the Borrower that are issued and outstanding have been validly issued and are fully paid and nonassessable.</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1.1.iiiSubsidiaries.</w:t>
      </w:r>
    </w:p>
    <w:p>
      <w:pPr>
        <w:spacing w:after="0" w:line="173"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u w:val="single" w:color="auto"/>
          <w:color w:val="auto"/>
        </w:rPr>
        <w:t>Schedule 6.1.3</w:t>
      </w:r>
      <w:r>
        <w:rPr>
          <w:rFonts w:ascii="Times New Roman" w:cs="Times New Roman" w:eastAsia="Times New Roman" w:hAnsi="Times New Roman"/>
          <w:sz w:val="20"/>
          <w:szCs w:val="20"/>
          <w:color w:val="auto"/>
        </w:rPr>
        <w:t xml:space="preserve"> states as of the Closing Date (i) the name of each of the Borrower's Subsidiaries, its jurisdiction of organization and the amount, percentage and type of equity interests in such Subsidiary (the "</w:t>
      </w:r>
      <w:r>
        <w:rPr>
          <w:rFonts w:ascii="Times New Roman" w:cs="Times New Roman" w:eastAsia="Times New Roman" w:hAnsi="Times New Roman"/>
          <w:sz w:val="20"/>
          <w:szCs w:val="20"/>
          <w:b w:val="1"/>
          <w:bCs w:val="1"/>
          <w:color w:val="auto"/>
        </w:rPr>
        <w:t>Subsidiary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Interests</w:t>
      </w:r>
      <w:r>
        <w:rPr>
          <w:rFonts w:ascii="Times New Roman" w:cs="Times New Roman" w:eastAsia="Times New Roman" w:hAnsi="Times New Roman"/>
          <w:sz w:val="20"/>
          <w:szCs w:val="20"/>
          <w:color w:val="auto"/>
        </w:rPr>
        <w:t>"), and (ii) any options, warrants or other rights outstanding to purchase any such equity interests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clause (i). The Borrower and each Subsidiary of the Borrower has good and marketable title to all of the Subsidiary Equity Interests it purports to own, free and clear in each case of any Lien (other than Permitted Liens) and all such Subsidiary Equity Interests have been validly issued, fully paid and nonassessable. None of the Loan Parties or Subsidiaries of any Loan Party is an "investment company" registered or required to be registered under the Investment Company Act of 1940 or under the "control" of an "investment company" as such terms are defined in the Investment Company Act of 1940.</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1.1.ivValidity and Binding Effect.</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This Agreement and each of the other Loan Documents (i) has been duly and validly executed and delivered by each Loan Party, and (ii) constitutes, or will constitute, legal, valid and binding obligations of each Loan Party which is or will be a party thereto, enforceable against such Loan Party in accordance with its terms, except as enforceability may be limited by Debtor Relief Laws.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1.1.vNo Conflict; Material Agreements; Consents.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(i) the terms and conditions of the certificate of incorporation, bylaws, certificate of limited partnership, partnership agreement,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040"/>
          </w:cols>
          <w:pgMar w:left="520" w:top="1440" w:right="339" w:bottom="1440" w:gutter="0" w:footer="0" w:header="0"/>
        </w:sectPr>
      </w:pPr>
    </w:p>
    <w:bookmarkStart w:id="165" w:name="page166"/>
    <w:bookmarkEnd w:id="165"/>
    <w:p>
      <w:pPr>
        <w:spacing w:after="0" w:line="71" w:lineRule="exact"/>
        <w:rPr>
          <w:sz w:val="20"/>
          <w:szCs w:val="20"/>
          <w:color w:val="auto"/>
        </w:rPr>
      </w:pPr>
    </w:p>
    <w:p>
      <w:pPr>
        <w:jc w:val="both"/>
        <w:ind w:left="1000"/>
        <w:spacing w:after="0" w:line="215" w:lineRule="auto"/>
        <w:rPr>
          <w:sz w:val="20"/>
          <w:szCs w:val="20"/>
          <w:color w:val="auto"/>
        </w:rPr>
      </w:pPr>
      <w:r>
        <w:rPr>
          <w:rFonts w:ascii="Times New Roman" w:cs="Times New Roman" w:eastAsia="Times New Roman" w:hAnsi="Times New Roman"/>
          <w:sz w:val="20"/>
          <w:szCs w:val="20"/>
          <w:color w:val="auto"/>
        </w:rPr>
        <w:t>formation, limited liability company agreement or other organizational documents of any Loan Party or (ii) any Law or any material agreement or instrument or order, writ, judgment, injunction or decree to which any Loan Party or any of its Subsidiaries is a party or by which it or any of its Subsidiaries is bound or to which it is subject, or result in the creation or enforcement of any Lien, charge or encumbrance whatsoever upon any property (now or hereafter acquired) of any Loan Party or any of its Subsidiaries (other than Liens granted under the Loan Documents), except, in the case of subclause (ii), any breach that would not result in a Material Adverse Change. There is no default under such material agreement (referred to above) and none of the Loan Parties or their Subsidiaries is bound by any contractual obligation, or subject to any restriction in any organization document, or any requirement of Law which could result in a Material Adverse Change. No consent, approval, exemption, order or authorization of, or a registration or filing with, any Official Body or any other Person is required by any Law or any agreement in connection with the execution, delivery and carrying out of this Agreement and the other Loan Documents, except for consents, approvals, exemptions, orders, authorizations, registrations or filings that have already been made or obtained.</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1.1.viLitigation.</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There are no actions, suits, proceedings or investigations pending or, to the knowledge of any Loan Party, threatened against such Loan Party or any Subsidiary of such Loan Party at law or in equity before any Official Body which individually or in the aggregate would result in any Material Adverse Change. None of the Loan Parties or any Subsidiaries of any Loan Party is in violation of any order, writ, injunction or any decree of any Official Body which would result in any Material Adverse Change.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1.1.viiFinancial Statements.</w:t>
      </w:r>
    </w:p>
    <w:p>
      <w:pPr>
        <w:spacing w:after="0" w:line="173" w:lineRule="exact"/>
        <w:rPr>
          <w:sz w:val="20"/>
          <w:szCs w:val="20"/>
          <w:color w:val="auto"/>
        </w:rPr>
      </w:pPr>
    </w:p>
    <w:p>
      <w:pPr>
        <w:ind w:left="-200" w:right="120" w:firstLine="1993"/>
        <w:spacing w:after="0" w:line="217" w:lineRule="auto"/>
        <w:tabs>
          <w:tab w:leader="none" w:pos="220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Historical Statements</w:t>
      </w:r>
      <w:r>
        <w:rPr>
          <w:rFonts w:ascii="Times New Roman" w:cs="Times New Roman" w:eastAsia="Times New Roman" w:hAnsi="Times New Roman"/>
          <w:sz w:val="20"/>
          <w:szCs w:val="20"/>
          <w:color w:val="auto"/>
        </w:rPr>
        <w:t>. The Borrower has delivered to the Administrative Agent copies of its audited consolidated year-end financial statements for and as of the end of the three (3) fiscal years ended December 31, 2017. In addition, the Borrower has delivered to the Administrative Agent copies of its unaudited consolidated interim financial statements for the fiscal quarter ended June 30, 2018 (all such annual and interim statements being collectively referred to as the "</w:t>
      </w:r>
      <w:r>
        <w:rPr>
          <w:rFonts w:ascii="Times New Roman" w:cs="Times New Roman" w:eastAsia="Times New Roman" w:hAnsi="Times New Roman"/>
          <w:sz w:val="20"/>
          <w:szCs w:val="20"/>
          <w:b w:val="1"/>
          <w:bCs w:val="1"/>
          <w:color w:val="auto"/>
        </w:rPr>
        <w:t>Statements</w:t>
      </w:r>
      <w:r>
        <w:rPr>
          <w:rFonts w:ascii="Times New Roman" w:cs="Times New Roman" w:eastAsia="Times New Roman" w:hAnsi="Times New Roman"/>
          <w:sz w:val="20"/>
          <w:szCs w:val="20"/>
          <w:color w:val="auto"/>
        </w:rPr>
        <w:t>"). The Statements were compiled from the books and records maintained by the Borrower's management and fairly represent, in all material respects, the consolidated financial condition of the Borrower and its Subsidiaries as of the respective dates thereof and the results of operations for the fiscal periods then ended and have been prepared in accordance with GAAP consistently applied, subject (in the case of the interim statements) to normal year-end audit adjustments and the absence of footnotes.</w:t>
      </w:r>
    </w:p>
    <w:p>
      <w:pPr>
        <w:spacing w:after="0" w:line="148" w:lineRule="exact"/>
        <w:rPr>
          <w:rFonts w:ascii="Times New Roman" w:cs="Times New Roman" w:eastAsia="Times New Roman" w:hAnsi="Times New Roman"/>
          <w:sz w:val="20"/>
          <w:szCs w:val="20"/>
          <w:color w:val="auto"/>
        </w:rPr>
      </w:pPr>
    </w:p>
    <w:p>
      <w:pPr>
        <w:ind w:left="-200" w:right="220" w:firstLine="1993"/>
        <w:spacing w:after="0" w:line="225" w:lineRule="auto"/>
        <w:tabs>
          <w:tab w:leader="none" w:pos="220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Accuracy of Financial Statements</w:t>
      </w:r>
      <w:r>
        <w:rPr>
          <w:rFonts w:ascii="Times New Roman" w:cs="Times New Roman" w:eastAsia="Times New Roman" w:hAnsi="Times New Roman"/>
          <w:sz w:val="20"/>
          <w:szCs w:val="20"/>
          <w:color w:val="auto"/>
        </w:rPr>
        <w:t>. Neither the Borrower nor any Subsidiary of the Borrower has any liabilities, contingent or otherwise, or forward or long-term commitments that are not disclosed in the Statements or in the notes thereto, and except as disclosed therein there are no unrealized or anticipated losses from any commitments of the Borrower or any Subsidiary of the Borrower which may cause a Material Adverse Change. Since December 31, 2017, no Material Adverse Change has occurred.</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1.1.viiiMargin Stock.</w:t>
      </w:r>
    </w:p>
    <w:p>
      <w:pPr>
        <w:spacing w:after="0" w:line="173" w:lineRule="exact"/>
        <w:rPr>
          <w:sz w:val="20"/>
          <w:szCs w:val="20"/>
          <w:color w:val="auto"/>
        </w:rPr>
      </w:pPr>
    </w:p>
    <w:p>
      <w:pPr>
        <w:ind w:left="1000"/>
        <w:spacing w:after="0" w:line="242" w:lineRule="auto"/>
        <w:rPr>
          <w:sz w:val="20"/>
          <w:szCs w:val="20"/>
          <w:color w:val="auto"/>
        </w:rPr>
      </w:pPr>
      <w:r>
        <w:rPr>
          <w:rFonts w:ascii="Times New Roman" w:cs="Times New Roman" w:eastAsia="Times New Roman" w:hAnsi="Times New Roman"/>
          <w:sz w:val="20"/>
          <w:szCs w:val="20"/>
          <w:color w:val="auto"/>
        </w:rPr>
        <w:t>None of the Loan Parties or any Subsidiaries of any Loan Party engages or intends to engage principally, or as one of its important activities,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040"/>
          </w:cols>
          <w:pgMar w:left="520" w:top="1440" w:right="339" w:bottom="1440" w:gutter="0" w:footer="0" w:header="0"/>
        </w:sectPr>
      </w:pPr>
    </w:p>
    <w:bookmarkStart w:id="166" w:name="page167"/>
    <w:bookmarkEnd w:id="166"/>
    <w:p>
      <w:pPr>
        <w:spacing w:after="0" w:line="71"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1.1.ixFull Disclosure.</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Neither this Agreement nor any other Loan Document, nor any certificate, statement, agreement or other documents furnished to the Administrative Agent or any Lender in connection herewith or therewith, contains any untrue statement of a material fact or omits to state a material fact necessary in order to make the statements contained herein and therein, in light of the circumstances under which they were made, not misleading. Other than as disclosed in filings made by the Borrower with the Securities and Exchange Commission, there is no fact known to any Loan Party which could result in a Material Adverse Change.</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1.1.xTaxes.</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Except as would not result in a Material Adverse Change, all federal, state, local and other tax returns required to have been filed with respect to each Loan Party and each Subsidiary of each Loan Party have been filed, and payment or adequate provision has been made for the payment of all taxes, fees, assessments and other governmental charges which have or may become due pursuant to said returns or to assessments received, except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1.1.xiPatents, Trademarks, Copyrights, Licenses, Etc.</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Each Loan Party and each Subsidiary of each Loan Party owns or possesses all the material patents, trademarks, service marks, trade names, copyrights, licenses, registrations, franchises, permits and rights necessary to own and operate its properties and to carry on its business as presently conducted and planned to be conducted by such Loan Party or Subsidiary, without known possible, alleged or actual conflict with the rights of others, except as would not result in a Material Adverse Change.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1.1.xiiInsurance.</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The properties of each Loan Party and each of its Subsidiaries are insured pursuant to policies and other bonds which are valid and in full force and effect and which provide adequate coverage from reputable and financially sound insurers in amounts sufficient to insure the assets and risks of each such Loan Party and Subsidiary in accordance with prudent business practice in the industry of such Loan Parties and Subsidiaries.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1.1.xiiiBenefit Arrangement, Pension Plan and Multiemployer Plan Compliance.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Except as would not result in a Material Adverse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040"/>
          </w:cols>
          <w:pgMar w:left="520" w:top="1440" w:right="339" w:bottom="1440" w:gutter="0" w:footer="0" w:header="0"/>
        </w:sectPr>
      </w:pPr>
    </w:p>
    <w:bookmarkStart w:id="167" w:name="page168"/>
    <w:bookmarkEnd w:id="167"/>
    <w:p>
      <w:pPr>
        <w:spacing w:after="0" w:line="71" w:lineRule="exact"/>
        <w:rPr>
          <w:sz w:val="20"/>
          <w:szCs w:val="20"/>
          <w:color w:val="auto"/>
        </w:rPr>
      </w:pPr>
    </w:p>
    <w:p>
      <w:pPr>
        <w:ind w:left="-200" w:right="40" w:firstLine="1993"/>
        <w:spacing w:after="0" w:line="217" w:lineRule="auto"/>
        <w:tabs>
          <w:tab w:leader="none" w:pos="220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Pension Plan is in compliance in all material respects with the applicable provisions of ERISA, the Code and other federal or state Laws. Each Pension Plan that is intended to qualify under Section 401(a) of the Code has received from the IRS a favorable determination or opinion letter, which has not by its terms expired, that such Pension Plan is so qualified, or such Pension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Borrower, nothing has occurred which would prevent, or cause the loss of, such qualification. Borrower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spacing w:after="0" w:line="141" w:lineRule="exact"/>
        <w:rPr>
          <w:rFonts w:ascii="Times New Roman" w:cs="Times New Roman" w:eastAsia="Times New Roman" w:hAnsi="Times New Roman"/>
          <w:sz w:val="20"/>
          <w:szCs w:val="20"/>
          <w:color w:val="auto"/>
        </w:rPr>
      </w:pPr>
    </w:p>
    <w:p>
      <w:pPr>
        <w:ind w:left="-200" w:right="60" w:firstLine="1993"/>
        <w:spacing w:after="0" w:line="215" w:lineRule="auto"/>
        <w:tabs>
          <w:tab w:leader="none" w:pos="220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ERISA Event has occurred or is reasonably expected to occur; (a)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(b) neither Borrower nor any member of the ERISA Group has incurred, or reasonably expects to incur, any liability under Title IV of ERISA with respect to any Pension Plan (other than premiums due and not delinquent under Section 4007 of ERISA); (c) neither Borrower nor any member of the ERISA Group has incurred, or reasonably expects to incur, any liability (and no event has occurred which, with the giving of notice under Section 4219 of ERISA, would result in such liability) under Section 4201 of ERISA, with respect to a Multiemployer Plan; (d) neither Borrower nor any member of the ERISA Group has received notice pursuant to Section 4242(a)(1)(B) of ERISA that a Multiemployer Plan is in reorganization and that additional contributions are due to the Multiemployer Plan pursuant to Section 4243 of ERISA; and (e) neither Borrower nor any member of the ERISA Group has engaged in a transaction that could be subject to Sections 4069 or 4212(c) of ERISA.</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1.1.xivEnvironmental Matters.</w:t>
      </w:r>
    </w:p>
    <w:p>
      <w:pPr>
        <w:spacing w:after="0" w:line="173" w:lineRule="exact"/>
        <w:rPr>
          <w:sz w:val="20"/>
          <w:szCs w:val="20"/>
          <w:color w:val="auto"/>
        </w:rPr>
      </w:pPr>
    </w:p>
    <w:p>
      <w:pPr>
        <w:ind w:left="1000"/>
        <w:spacing w:after="0" w:line="242" w:lineRule="auto"/>
        <w:rPr>
          <w:sz w:val="20"/>
          <w:szCs w:val="20"/>
          <w:color w:val="auto"/>
        </w:rPr>
      </w:pPr>
      <w:r>
        <w:rPr>
          <w:rFonts w:ascii="Times New Roman" w:cs="Times New Roman" w:eastAsia="Times New Roman" w:hAnsi="Times New Roman"/>
          <w:sz w:val="20"/>
          <w:szCs w:val="20"/>
          <w:color w:val="auto"/>
        </w:rPr>
        <w:t>Each Loan Party is and, to the knowledge of each respective Loan Party, each of its Subsidiaries is and has been in compliance with applicable Environmental Laws except as would not in the aggregate result in a Material Adverse Change.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1.1.xvSolvency.</w:t>
      </w:r>
    </w:p>
    <w:p>
      <w:pPr>
        <w:spacing w:after="0" w:line="173" w:lineRule="exact"/>
        <w:rPr>
          <w:sz w:val="20"/>
          <w:szCs w:val="20"/>
          <w:color w:val="auto"/>
        </w:rPr>
      </w:pPr>
    </w:p>
    <w:p>
      <w:pPr>
        <w:ind w:left="1000"/>
        <w:spacing w:after="0" w:line="242" w:lineRule="auto"/>
        <w:rPr>
          <w:sz w:val="20"/>
          <w:szCs w:val="20"/>
          <w:color w:val="auto"/>
        </w:rPr>
      </w:pPr>
      <w:r>
        <w:rPr>
          <w:rFonts w:ascii="Times New Roman" w:cs="Times New Roman" w:eastAsia="Times New Roman" w:hAnsi="Times New Roman"/>
          <w:sz w:val="20"/>
          <w:szCs w:val="20"/>
          <w:color w:val="auto"/>
        </w:rPr>
        <w:t>On the Closing Date and after giving effect to the initial Loans hereunder, the Borrower and its Subsidiaries, on a consolidated basis, are Solvent.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1.1.xvi</w:t>
      </w:r>
      <w:r>
        <w:rPr>
          <w:rFonts w:ascii="Times New Roman" w:cs="Times New Roman" w:eastAsia="Times New Roman" w:hAnsi="Times New Roman"/>
          <w:sz w:val="20"/>
          <w:szCs w:val="20"/>
          <w:u w:val="single" w:color="auto"/>
          <w:color w:val="0000FF"/>
        </w:rPr>
        <w:t>Sanctions and other</w:t>
      </w:r>
      <w:r>
        <w:rPr>
          <w:rFonts w:ascii="Times New Roman" w:cs="Times New Roman" w:eastAsia="Times New Roman" w:hAnsi="Times New Roman"/>
          <w:sz w:val="20"/>
          <w:szCs w:val="20"/>
          <w:color w:val="auto"/>
        </w:rPr>
        <w:t xml:space="preserve"> Anti-Terrorism Laws.</w:t>
      </w:r>
    </w:p>
    <w:p>
      <w:pPr>
        <w:spacing w:after="0" w:line="173" w:lineRule="exact"/>
        <w:rPr>
          <w:sz w:val="20"/>
          <w:szCs w:val="20"/>
          <w:color w:val="auto"/>
        </w:rPr>
      </w:pPr>
    </w:p>
    <w:p>
      <w:pPr>
        <w:jc w:val="both"/>
        <w:ind w:left="1000" w:firstLine="8"/>
        <w:spacing w:after="0" w:line="219" w:lineRule="auto"/>
        <w:tabs>
          <w:tab w:leader="none" w:pos="1240" w:val="left"/>
        </w:tabs>
        <w:numPr>
          <w:ilvl w:val="0"/>
          <w:numId w:val="11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auto"/>
        </w:rPr>
        <w:t>No Covered Entity</w:t>
      </w:r>
      <w:r>
        <w:rPr>
          <w:rFonts w:ascii="Times New Roman" w:cs="Times New Roman" w:eastAsia="Times New Roman" w:hAnsi="Times New Roman"/>
          <w:sz w:val="20"/>
          <w:szCs w:val="20"/>
          <w:u w:val="single" w:color="auto"/>
          <w:color w:val="0000FF"/>
        </w:rPr>
        <w:t>, nor any employees, officers, directors, affiliates, consultants, brokers, or agents acting on a Covered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Entity’s behalf in connection with this Agreement: (i)</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is a Sanctioned Person,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(ii)</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no Covered Entity, either in its own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right</w:t>
      </w:r>
      <w:r>
        <w:rPr>
          <w:rFonts w:ascii="Times New Roman" w:cs="Times New Roman" w:eastAsia="Times New Roman" w:hAnsi="Times New Roman"/>
          <w:sz w:val="20"/>
          <w:szCs w:val="20"/>
          <w:u w:val="single" w:color="auto"/>
          <w:color w:val="0000FF"/>
        </w:rPr>
        <w:t>directly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indirectly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through any third party</w:t>
      </w:r>
      <w:r>
        <w:rPr>
          <w:rFonts w:ascii="Times New Roman" w:cs="Times New Roman" w:eastAsia="Times New Roman" w:hAnsi="Times New Roman"/>
          <w:sz w:val="20"/>
          <w:szCs w:val="20"/>
          <w:color w:val="FF0000"/>
          <w:strike w:val="1"/>
        </w:rPr>
        <w:t>, (a) has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FF"/>
        </w:rPr>
        <w:t>is engaged 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of its assets in a Sanctioned Country or in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possession, custody or control</w:t>
      </w:r>
      <w:r>
        <w:rPr>
          <w:rFonts w:ascii="Times New Roman" w:cs="Times New Roman" w:eastAsia="Times New Roman" w:hAnsi="Times New Roman"/>
          <w:sz w:val="20"/>
          <w:szCs w:val="20"/>
          <w:u w:val="single" w:color="auto"/>
          <w:color w:val="0000FF"/>
        </w:rPr>
        <w:t>transactions or other dealings with or for the benefit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Sanctioned Person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in violation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any Anti-Terrorism Law, (b) does business in or with, or derives any of its income from investments in or transactions with, any</w:t>
      </w:r>
      <w:r>
        <w:rPr>
          <w:rFonts w:ascii="Times New Roman" w:cs="Times New Roman" w:eastAsia="Times New Roman" w:hAnsi="Times New Roman"/>
          <w:sz w:val="20"/>
          <w:szCs w:val="20"/>
          <w:u w:val="single" w:color="auto"/>
          <w:color w:val="0000FF"/>
          <w:strike w:val="1"/>
        </w:rPr>
        <w:t>or</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Sanctioned</w:t>
      </w:r>
      <w:r>
        <w:rPr>
          <w:rFonts w:ascii="Times New Roman" w:cs="Times New Roman" w:eastAsia="Times New Roman" w:hAnsi="Times New Roman"/>
          <w:sz w:val="20"/>
          <w:szCs w:val="20"/>
          <w:color w:val="FF0000"/>
          <w:strike w:val="1"/>
        </w:rPr>
        <w:t xml:space="preserve"> Country or Sanctioned Person in violation of any Anti-Terrorism Law; or (c) engages in any</w:t>
      </w:r>
      <w:r>
        <w:rPr>
          <w:rFonts w:ascii="Times New Roman" w:cs="Times New Roman" w:eastAsia="Times New Roman" w:hAnsi="Times New Roman"/>
          <w:sz w:val="20"/>
          <w:szCs w:val="20"/>
          <w:u w:val="single" w:color="auto"/>
          <w:color w:val="0000FF"/>
          <w:strike w:val="1"/>
        </w:rPr>
        <w:t>Jurisdiction,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or any transaction or other</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dealings</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FF0000"/>
          <w:strike w:val="1"/>
        </w:rPr>
        <w:t>or transactions</w:t>
      </w:r>
      <w:r>
        <w:rPr>
          <w:rFonts w:ascii="Times New Roman" w:cs="Times New Roman" w:eastAsia="Times New Roman" w:hAnsi="Times New Roman"/>
          <w:sz w:val="20"/>
          <w:szCs w:val="20"/>
          <w:u w:val="single" w:color="auto"/>
          <w:color w:val="0000FF"/>
          <w:strike w:val="1"/>
        </w:rPr>
        <w:t>that are otherwise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prohibited by any Anti-Terrorism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-716280</wp:posOffset>
            </wp:positionV>
            <wp:extent cx="2241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224155"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-540385</wp:posOffset>
            </wp:positionV>
            <wp:extent cx="7302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040"/>
          </w:cols>
          <w:pgMar w:left="520" w:top="1440" w:right="339" w:bottom="1440" w:gutter="0" w:footer="0" w:header="0"/>
        </w:sectPr>
      </w:pPr>
    </w:p>
    <w:bookmarkStart w:id="168" w:name="page169"/>
    <w:bookmarkEnd w:id="168"/>
    <w:p>
      <w:pPr>
        <w:spacing w:after="0" w:line="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1.1.xviiSenior Debt Status.</w:t>
      </w:r>
    </w:p>
    <w:p>
      <w:pPr>
        <w:spacing w:after="0" w:line="173" w:lineRule="exact"/>
        <w:rPr>
          <w:sz w:val="20"/>
          <w:szCs w:val="20"/>
          <w:color w:val="auto"/>
        </w:rPr>
      </w:pPr>
    </w:p>
    <w:p>
      <w:pPr>
        <w:jc w:val="both"/>
        <w:ind w:left="1200"/>
        <w:spacing w:after="0" w:line="222" w:lineRule="auto"/>
        <w:rPr>
          <w:sz w:val="20"/>
          <w:szCs w:val="20"/>
          <w:color w:val="auto"/>
        </w:rPr>
      </w:pPr>
      <w:r>
        <w:rPr>
          <w:rFonts w:ascii="Times New Roman" w:cs="Times New Roman" w:eastAsia="Times New Roman" w:hAnsi="Times New Roman"/>
          <w:sz w:val="20"/>
          <w:szCs w:val="20"/>
          <w:color w:val="auto"/>
        </w:rPr>
        <w:t xml:space="preserve">The Obligations of each Loan Party under this Agreement, the Notes, the Guaranty Agreement and each of the other Loan Documents to which it is a party do rank and will rank at least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 priority of payment with all other Indebtedness of such Loan Party except Indebtedness of such Loan Party to the extent secured by Permitted Liens. There is no Lien upon or with respect to any of the properties or income of any Loan Party or Subsidiary of any Loan Party which secures indebtedness or other obligations of any Person except for Permitted Liens.</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u w:val="single" w:color="auto"/>
          <w:color w:val="0000FF"/>
        </w:rPr>
        <w:t>1.1.xviiiAnti-Corruption Laws.</w:t>
      </w:r>
    </w:p>
    <w:p>
      <w:pPr>
        <w:spacing w:after="0" w:line="173"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u w:val="single" w:color="auto"/>
          <w:color w:val="0000FF"/>
        </w:rPr>
        <w:t>Each Covered Entity has (a) conducted its business in compliance with all Anti-Corruption Laws and (b) has instituted and maintains policies and procedures designed to ensure compliance with such Laws.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u w:val="single" w:color="auto"/>
          <w:color w:val="0000FF"/>
        </w:rPr>
        <w:t>1.1.xixCertificate of Beneficial Ownership.</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u w:val="single" w:color="auto"/>
          <w:color w:val="0000FF"/>
        </w:rPr>
        <w:t>The Certificate of Beneficial Ownership executed and delivered to the Administrative Agent and Lenders for each Borrower on or prior to the First Amendment Effective Date, as updated from time to time in accordance with this Agreement, is accurate, complete and correct as of the date hereof and as of the date any such update is delivered. The Borrower acknowledges and agrees that the Certificate of Beneficial Ownership is one of the Loan Documents.</w:t>
      </w:r>
    </w:p>
    <w:p>
      <w:pPr>
        <w:spacing w:after="0" w:line="144" w:lineRule="exact"/>
        <w:rPr>
          <w:sz w:val="20"/>
          <w:szCs w:val="20"/>
          <w:color w:val="auto"/>
        </w:rPr>
      </w:pPr>
    </w:p>
    <w:p>
      <w:pPr>
        <w:ind w:left="2780" w:hanging="611"/>
        <w:spacing w:after="0"/>
        <w:tabs>
          <w:tab w:leader="none" w:pos="27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OF LENDING AND ISSUANCE OF LETTERS OF CREDIT</w:t>
      </w:r>
    </w:p>
    <w:p>
      <w:pPr>
        <w:spacing w:after="0" w:line="173" w:lineRule="exact"/>
        <w:rPr>
          <w:sz w:val="20"/>
          <w:szCs w:val="20"/>
          <w:color w:val="auto"/>
        </w:rPr>
      </w:pPr>
    </w:p>
    <w:p>
      <w:pPr>
        <w:jc w:val="both"/>
        <w:ind w:firstLine="604"/>
        <w:spacing w:after="0" w:line="230" w:lineRule="auto"/>
        <w:rPr>
          <w:sz w:val="20"/>
          <w:szCs w:val="20"/>
          <w:color w:val="auto"/>
        </w:rPr>
      </w:pPr>
      <w:r>
        <w:rPr>
          <w:rFonts w:ascii="Times New Roman" w:cs="Times New Roman" w:eastAsia="Times New Roman" w:hAnsi="Times New Roman"/>
          <w:sz w:val="20"/>
          <w:szCs w:val="20"/>
          <w:color w:val="auto"/>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20"/>
          <w:szCs w:val="20"/>
          <w:color w:val="auto"/>
        </w:rPr>
        <w:t>First Loans and Letters of Credit.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1.1.iDeliveries.</w:t>
      </w:r>
    </w:p>
    <w:p>
      <w:pPr>
        <w:spacing w:after="0" w:line="173" w:lineRule="exact"/>
        <w:rPr>
          <w:sz w:val="20"/>
          <w:szCs w:val="20"/>
          <w:color w:val="auto"/>
        </w:rPr>
      </w:pPr>
    </w:p>
    <w:p>
      <w:pPr>
        <w:ind w:left="1200"/>
        <w:spacing w:after="0" w:line="242" w:lineRule="auto"/>
        <w:rPr>
          <w:sz w:val="20"/>
          <w:szCs w:val="20"/>
          <w:color w:val="auto"/>
        </w:rPr>
      </w:pPr>
      <w:r>
        <w:rPr>
          <w:rFonts w:ascii="Times New Roman" w:cs="Times New Roman" w:eastAsia="Times New Roman" w:hAnsi="Times New Roman"/>
          <w:sz w:val="20"/>
          <w:szCs w:val="20"/>
          <w:color w:val="auto"/>
        </w:rPr>
        <w:t>On the Closing Date or such later date as the Administrative Agent may determine in its sole discretion, the Administrative Agent shall have received each of the following in form and substance reasonably satisfactory to the Administrative Agent:</w:t>
      </w:r>
    </w:p>
    <w:p>
      <w:pPr>
        <w:spacing w:after="0" w:line="133" w:lineRule="exact"/>
        <w:rPr>
          <w:sz w:val="20"/>
          <w:szCs w:val="20"/>
          <w:color w:val="auto"/>
        </w:rPr>
      </w:pPr>
    </w:p>
    <w:p>
      <w:pPr>
        <w:ind w:left="2400" w:hanging="407"/>
        <w:spacing w:after="0"/>
        <w:tabs>
          <w:tab w:leader="none" w:pos="240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each of the Loan Parties signed by an Authorized Officer, dated the Closing Date stating that</w:t>
      </w:r>
    </w:p>
    <w:p>
      <w:pPr>
        <w:ind w:right="20" w:firstLine="1"/>
        <w:spacing w:after="0" w:line="219" w:lineRule="auto"/>
        <w:tabs>
          <w:tab w:leader="none" w:pos="28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the Loan Parties set forth in this Agreement are true and correct in all material respects, (w) the Loan Parties are in compliance with each of the covenants and conditions hereunder, (x) no Event of Default or Potential Default exists, (y) no Acquired Business Material Adverse Effect has occurred since December 31, 2017, and (z) no Material Adverse Change has occurred since December 31, 2017;</w:t>
      </w:r>
    </w:p>
    <w:p>
      <w:pPr>
        <w:spacing w:after="0" w:line="144" w:lineRule="exact"/>
        <w:rPr>
          <w:rFonts w:ascii="Times New Roman" w:cs="Times New Roman" w:eastAsia="Times New Roman" w:hAnsi="Times New Roman"/>
          <w:sz w:val="20"/>
          <w:szCs w:val="20"/>
          <w:color w:val="auto"/>
        </w:rPr>
      </w:pPr>
    </w:p>
    <w:p>
      <w:pPr>
        <w:ind w:right="120" w:firstLine="1993"/>
        <w:spacing w:after="0" w:line="230" w:lineRule="auto"/>
        <w:tabs>
          <w:tab w:leader="none" w:pos="2403"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dated the Closing Date and signed by the Secretary or an Assistant Secretary of each of the Loan Parties, certifying as appropriate as to: (a) all action taken by each Loan Party in connection with this Agreement and the other Loan Documents; (b) the names of the Authorized Officers authorized to sign the Loan Documents and their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71"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20"/>
          <w:szCs w:val="20"/>
          <w:color w:val="auto"/>
        </w:rPr>
        <w:t>signatures; and (c) copies of its organizational documents as in effect on the Closing Date certified by the appropriate state official where such documents are filed in a state office together with certificates from the appropriate state officials as to the continued existence and good standing of each Loan Party in each state where organized and in each jurisdiction where the failure to be qualified to do business would result in a Material Adverse Change;</w:t>
      </w:r>
    </w:p>
    <w:p>
      <w:pPr>
        <w:spacing w:after="0" w:line="144" w:lineRule="exact"/>
        <w:rPr>
          <w:sz w:val="20"/>
          <w:szCs w:val="20"/>
          <w:color w:val="auto"/>
        </w:rPr>
      </w:pPr>
    </w:p>
    <w:p>
      <w:pPr>
        <w:ind w:left="2400" w:hanging="407"/>
        <w:spacing w:after="0"/>
        <w:tabs>
          <w:tab w:leader="none" w:pos="2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of the other Loan Documents signed by an Authorized Officer;</w:t>
      </w:r>
    </w:p>
    <w:p>
      <w:pPr>
        <w:spacing w:after="0" w:line="172"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opinion of counsel for the Loan Parties;</w:t>
      </w:r>
    </w:p>
    <w:p>
      <w:pPr>
        <w:spacing w:after="0" w:line="172" w:lineRule="exact"/>
        <w:rPr>
          <w:rFonts w:ascii="Times New Roman" w:cs="Times New Roman" w:eastAsia="Times New Roman" w:hAnsi="Times New Roman"/>
          <w:sz w:val="20"/>
          <w:szCs w:val="20"/>
          <w:color w:val="auto"/>
        </w:rPr>
      </w:pPr>
    </w:p>
    <w:p>
      <w:pPr>
        <w:ind w:right="160" w:firstLine="1993"/>
        <w:spacing w:after="0" w:line="230" w:lineRule="auto"/>
        <w:tabs>
          <w:tab w:leader="none" w:pos="240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adequate insurance required to be maintained under this Agreement is in full force and effect, with additional insured special endorsements attached thereto in form and substance reasonably satisfactory to the Administrative Agent and its counsel naming the Administrative Agent as additional insured;</w:t>
      </w:r>
    </w:p>
    <w:p>
      <w:pPr>
        <w:spacing w:after="0" w:line="143" w:lineRule="exact"/>
        <w:rPr>
          <w:rFonts w:ascii="Times New Roman" w:cs="Times New Roman" w:eastAsia="Times New Roman" w:hAnsi="Times New Roman"/>
          <w:sz w:val="20"/>
          <w:szCs w:val="20"/>
          <w:color w:val="auto"/>
        </w:rPr>
      </w:pPr>
    </w:p>
    <w:p>
      <w:pPr>
        <w:ind w:right="180" w:firstLine="1993"/>
        <w:spacing w:after="0" w:line="230" w:lineRule="auto"/>
        <w:tabs>
          <w:tab w:leader="none" w:pos="240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completed Compliance Certificate as of the Closing Date, setting forth pro-forma compliance of the Borrower and its Subsidiaries on a consolidated basis, after giving effect to the Acquisition and Loans made on the Closing Date (the "</w:t>
      </w:r>
      <w:r>
        <w:rPr>
          <w:rFonts w:ascii="Times New Roman" w:cs="Times New Roman" w:eastAsia="Times New Roman" w:hAnsi="Times New Roman"/>
          <w:sz w:val="20"/>
          <w:szCs w:val="20"/>
          <w:b w:val="1"/>
          <w:bCs w:val="1"/>
          <w:color w:val="auto"/>
        </w:rPr>
        <w:t>Closing Date Compliance Certificate</w:t>
      </w:r>
      <w:r>
        <w:rPr>
          <w:rFonts w:ascii="Times New Roman" w:cs="Times New Roman" w:eastAsia="Times New Roman" w:hAnsi="Times New Roman"/>
          <w:sz w:val="20"/>
          <w:szCs w:val="20"/>
          <w:color w:val="auto"/>
        </w:rPr>
        <w:t>");</w:t>
      </w:r>
    </w:p>
    <w:p>
      <w:pPr>
        <w:spacing w:after="0" w:line="143" w:lineRule="exact"/>
        <w:rPr>
          <w:rFonts w:ascii="Times New Roman" w:cs="Times New Roman" w:eastAsia="Times New Roman" w:hAnsi="Times New Roman"/>
          <w:sz w:val="20"/>
          <w:szCs w:val="20"/>
          <w:color w:val="auto"/>
        </w:rPr>
      </w:pPr>
    </w:p>
    <w:p>
      <w:pPr>
        <w:ind w:right="60" w:firstLine="1993"/>
        <w:spacing w:after="0" w:line="230" w:lineRule="auto"/>
        <w:tabs>
          <w:tab w:leader="none" w:pos="240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all regulatory approvals, licenses and material consents required to effectuate the transactions contemplated hereby and contemplated by the Acquisition Documents and there shall be an absence of any legal or regulatory prohibitions or restrictions in connection with the same;</w:t>
      </w:r>
    </w:p>
    <w:p>
      <w:pPr>
        <w:spacing w:after="0" w:line="143"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Lien search in acceptable scope and with reasonably acceptable results;</w:t>
      </w:r>
    </w:p>
    <w:p>
      <w:pPr>
        <w:spacing w:after="0" w:line="165"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projections for the fiscal years 2018 through 2022, including assumptions used in preparing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forecast financial statements;</w:t>
      </w:r>
    </w:p>
    <w:p>
      <w:pPr>
        <w:spacing w:after="0" w:line="143"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no environmental liabilities of the Borrower and its Subsidiaries that would result in a Material</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w:t>
      </w:r>
    </w:p>
    <w:p>
      <w:pPr>
        <w:spacing w:after="0" w:line="143"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no material litigation of the Borrower and its Subsidiaries that would result in a Material</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w:t>
      </w:r>
    </w:p>
    <w:p>
      <w:pPr>
        <w:spacing w:after="0" w:line="150" w:lineRule="exact"/>
        <w:rPr>
          <w:rFonts w:ascii="Times New Roman" w:cs="Times New Roman" w:eastAsia="Times New Roman" w:hAnsi="Times New Roman"/>
          <w:sz w:val="20"/>
          <w:szCs w:val="20"/>
          <w:color w:val="auto"/>
        </w:rPr>
      </w:pPr>
    </w:p>
    <w:p>
      <w:pPr>
        <w:ind w:right="460" w:firstLine="1993"/>
        <w:spacing w:after="0" w:line="230" w:lineRule="auto"/>
        <w:tabs>
          <w:tab w:leader="none" w:pos="240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executed Certificate of Beneficial Ownership in form and substance acceptable to the Administrative Agent and each Lender, and such other documentation and other information requested in connection with applicable “know your customer” and anti-money laundering rules and regulations, including the USA Patriot Act.</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1.1.iiPayment of Fees.</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color w:val="auto"/>
        </w:rPr>
        <w:t>The Borrower shall have paid all fees and expenses invoiced at least one Business Day prior to the Closing Date as required by this Agreement or any other Loan Document, including without limitation, fees payable pursuant to the fee letter of even date herewith between Borrower and the Administrative Agent.</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Each Loan or Letter of Credit.</w:t>
      </w:r>
    </w:p>
    <w:p>
      <w:pPr>
        <w:spacing w:after="0" w:line="173"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color w:val="auto"/>
        </w:rPr>
        <w:t>At the time of making any Loans or issuing, extending or increasing any Letters of Credit and after giving effect to the proposed extensions of credit: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71" w:lineRule="exact"/>
        <w:rPr>
          <w:sz w:val="20"/>
          <w:szCs w:val="20"/>
          <w:color w:val="auto"/>
        </w:rPr>
      </w:pPr>
    </w:p>
    <w:p>
      <w:pPr>
        <w:jc w:val="both"/>
        <w:ind w:left="1200"/>
        <w:spacing w:after="0" w:line="222" w:lineRule="auto"/>
        <w:rPr>
          <w:sz w:val="20"/>
          <w:szCs w:val="20"/>
          <w:color w:val="auto"/>
        </w:rPr>
      </w:pPr>
      <w:r>
        <w:rPr>
          <w:rFonts w:ascii="Times New Roman" w:cs="Times New Roman" w:eastAsia="Times New Roman" w:hAnsi="Times New Roman"/>
          <w:sz w:val="20"/>
          <w:szCs w:val="20"/>
          <w:color w:val="auto"/>
        </w:rPr>
        <w:t>representations, warranties of the Loan Parties shall then be true and correct in all material respects (except to the extent that such representations and warranties specifically refer to an earlier date, in which case they shall be true and correct in all material respects as of such earlier date), (ii) no Event of Default or Potential Default shall have occurred and be continuing, and (iii) the Borrower shall have delivered to the Administrative Agent a duly executed and completed Loan Request or to the Issuing Lender an application for a Letter of Credit, as the case may be.</w:t>
      </w:r>
    </w:p>
    <w:p>
      <w:pPr>
        <w:spacing w:after="0" w:line="144" w:lineRule="exact"/>
        <w:rPr>
          <w:sz w:val="20"/>
          <w:szCs w:val="20"/>
          <w:color w:val="auto"/>
        </w:rPr>
      </w:pPr>
    </w:p>
    <w:p>
      <w:pPr>
        <w:ind w:left="5320" w:hanging="607"/>
        <w:spacing w:after="0"/>
        <w:tabs>
          <w:tab w:leader="none" w:pos="53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w:t>
      </w:r>
    </w:p>
    <w:p>
      <w:pPr>
        <w:spacing w:after="0" w:line="173" w:lineRule="exact"/>
        <w:rPr>
          <w:sz w:val="20"/>
          <w:szCs w:val="20"/>
          <w:color w:val="auto"/>
        </w:rPr>
      </w:pPr>
    </w:p>
    <w:p>
      <w:pPr>
        <w:ind w:firstLine="604"/>
        <w:spacing w:after="0" w:line="242" w:lineRule="auto"/>
        <w:rPr>
          <w:sz w:val="20"/>
          <w:szCs w:val="20"/>
          <w:color w:val="auto"/>
        </w:rPr>
      </w:pPr>
      <w:r>
        <w:rPr>
          <w:rFonts w:ascii="Times New Roman" w:cs="Times New Roman" w:eastAsia="Times New Roman" w:hAnsi="Times New Roman"/>
          <w:sz w:val="20"/>
          <w:szCs w:val="20"/>
          <w:color w:val="auto"/>
        </w:rPr>
        <w:t>The Loan Parties, jointly and severally, covenant and agree that until Payment In Full, the Loan Parties shall comply at all times with the following covenants:</w:t>
      </w:r>
    </w:p>
    <w:p>
      <w:pPr>
        <w:spacing w:after="0" w:line="14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20"/>
          <w:szCs w:val="20"/>
          <w:color w:val="auto"/>
        </w:rPr>
        <w:t>Affirmative Covenants.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1.1.iPreservation of Existence, Etc.</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Each Loan Party shall, and shall cause each of its Subsidiaries to, maintain its legal existence as a corporation, limited partnership or limited liability company and its license or qualification and good standing in each jurisdiction in which its ownership or lease of property or the nature of its business makes such license or qualification necessary, except as would not reasonably be expected to result in a Material Adverse Change.</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1.1.iiPayment of Liabilities, Including Taxes, Etc.</w:t>
      </w:r>
    </w:p>
    <w:p>
      <w:pPr>
        <w:spacing w:after="0" w:line="173" w:lineRule="exact"/>
        <w:rPr>
          <w:sz w:val="20"/>
          <w:szCs w:val="20"/>
          <w:color w:val="auto"/>
        </w:rPr>
      </w:pPr>
    </w:p>
    <w:p>
      <w:pPr>
        <w:jc w:val="both"/>
        <w:ind w:left="1200"/>
        <w:spacing w:after="0" w:line="217" w:lineRule="auto"/>
        <w:rPr>
          <w:sz w:val="20"/>
          <w:szCs w:val="20"/>
          <w:color w:val="auto"/>
        </w:rPr>
      </w:pPr>
      <w:r>
        <w:rPr>
          <w:rFonts w:ascii="Times New Roman" w:cs="Times New Roman" w:eastAsia="Times New Roman" w:hAnsi="Times New Roman"/>
          <w:sz w:val="20"/>
          <w:szCs w:val="20"/>
          <w:color w:val="auto"/>
        </w:rPr>
        <w:t>Except as would not result in a Material Adverse Change and, in the case of liabilities owing in respect of Indebtedness, except for payments of Indebtedness, the non-payment of which would not result in an Event of Default, each Loan Party shall, and shall cause each of its Subsidiaries to, duly pay and discharge all liabilities to which it is subject or which are asserted against it, promptly as and when the same shall become due and payable, including all taxes, assessments and governmental charges upon it or any of its properties, assets, 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GAAP shall have been made.</w:t>
      </w:r>
    </w:p>
    <w:p>
      <w:pPr>
        <w:spacing w:after="0" w:line="1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1.1.iiiMaintenance of Insurance.</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Each Loan Party shall, and shall cause each of its Subsidiaries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1.1.ivMaintenance of Properties and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71"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Each Loan Party shall, and shall cause each of its Subsidiaries to, maintain in good repair, working order and condition (ordinary wear and tear excepted) in accordance with the general practice of other businesses of similar character and size, all of those properties useful or necessary to its business, and from time to time, such Loan Party will make or cause to be made all appropriate repairs, renewals or replacements thereof, except where the failure to do so would not reasonably be expected to result in a Material Adverse Change.</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1.1.vVisitation Rights.</w:t>
      </w:r>
    </w:p>
    <w:p>
      <w:pPr>
        <w:spacing w:after="0" w:line="173"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 xml:space="preserve">Each Loan Party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all in such detail and at such times and as often as any of the Lenders may reasonably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Lender shall provide the Borrower and the Administrative Agent with reasonable notice prior to any visit or inspection and provided further that, absent the existence of any Event of Default, such rights shall not be exercised more often than once during any calendar year. In the event any Lender desires to conduct an audit of any Loan Party, such Lender shall make a reasonable effort to conduct such audit contemporaneously with any audit to be performed by the Administrative Agent.</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1.1.viKeeping of Records and Books of Account.</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The Borrower shall, and shall cause each Subsidiary of the Borrower to, maintain and keep proper books of record and account which enable the Borrower and its Subsidiaries to issue financial statements in accordance with GAAP and as otherwise required by applicable Laws of any Official Body having jurisdiction over the Borrower or any Subsidiary of the Borrower, and in which full, true and correct entries shall be made in all material respects of all its dealings and business and financial affairs.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1.1.viiCompliance with Laws; Use of Proceeds.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 xml:space="preserve">Each Loan Party shall, and shall cause each of its Subsidiaries to, comply with all applicable Laws, including all Environmental Laws, in all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shall not be deemed to be a violation of this Section 8.1.7 if any failure to do so would not result in a Material Adverse Change. The Loan Parties will use the Letters of Credit and the proceeds of the Loans only in accordance with Section 2.8 [Use of Proceeds] and as permitted by applicable Law.</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1.1.viii</w:t>
      </w:r>
      <w:r>
        <w:rPr>
          <w:rFonts w:ascii="Times New Roman" w:cs="Times New Roman" w:eastAsia="Times New Roman" w:hAnsi="Times New Roman"/>
          <w:sz w:val="20"/>
          <w:szCs w:val="20"/>
          <w:u w:val="single" w:color="auto"/>
          <w:color w:val="0000FF"/>
        </w:rPr>
        <w:t>Sanctions and other</w:t>
      </w:r>
      <w:r>
        <w:rPr>
          <w:rFonts w:ascii="Times New Roman" w:cs="Times New Roman" w:eastAsia="Times New Roman" w:hAnsi="Times New Roman"/>
          <w:sz w:val="20"/>
          <w:szCs w:val="20"/>
          <w:color w:val="auto"/>
        </w:rPr>
        <w:t xml:space="preserve"> Anti-Terrorism Laws</w:t>
      </w:r>
      <w:r>
        <w:rPr>
          <w:rFonts w:ascii="Times New Roman" w:cs="Times New Roman" w:eastAsia="Times New Roman" w:hAnsi="Times New Roman"/>
          <w:sz w:val="20"/>
          <w:szCs w:val="20"/>
          <w:color w:val="FF0000"/>
          <w:strike w:val="1"/>
        </w:rPr>
        <w:t>; International Trade Compliance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1000" w:firstLine="8"/>
        <w:spacing w:after="0" w:line="221" w:lineRule="auto"/>
        <w:tabs>
          <w:tab w:leader="none" w:pos="1281" w:val="left"/>
        </w:tabs>
        <w:numPr>
          <w:ilvl w:val="0"/>
          <w:numId w:val="116"/>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No Covered Entity will become a Sanctioned Person, (b) no Covered Entity, e</w:t>
      </w:r>
      <w:r>
        <w:rPr>
          <w:rFonts w:ascii="Times New Roman" w:cs="Times New Roman" w:eastAsia="Times New Roman" w:hAnsi="Times New Roman"/>
          <w:sz w:val="20"/>
          <w:szCs w:val="20"/>
          <w:b w:val="1"/>
          <w:bCs w:val="1"/>
          <w:color w:val="FF0000"/>
          <w:strike w:val="1"/>
        </w:rPr>
        <w:t>i</w:t>
      </w:r>
      <w:r>
        <w:rPr>
          <w:rFonts w:ascii="Times New Roman" w:cs="Times New Roman" w:eastAsia="Times New Roman" w:hAnsi="Times New Roman"/>
          <w:sz w:val="20"/>
          <w:szCs w:val="20"/>
          <w:color w:val="FF0000"/>
          <w:strike w:val="1"/>
        </w:rPr>
        <w:t>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Loans to fund any operations in, finance any investments or activities in, or, make any payments to, a Sanctioned Country or Sanctioned Person in violation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040"/>
          </w:cols>
          <w:pgMar w:left="520" w:top="1440" w:right="339" w:bottom="1440" w:gutter="0" w:footer="0" w:header="0"/>
        </w:sectPr>
      </w:pPr>
    </w:p>
    <w:bookmarkStart w:id="172" w:name="page173"/>
    <w:bookmarkEnd w:id="172"/>
    <w:p>
      <w:pPr>
        <w:spacing w:after="0" w:line="71"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FF0000"/>
          <w:strike w:val="1"/>
        </w:rPr>
        <w:t xml:space="preserve">any Anti-Terrorism Law, (c) the funds used to repay the Obligations will not be </w:t>
      </w:r>
      <w:r>
        <w:rPr>
          <w:rFonts w:ascii="Times New Roman" w:cs="Times New Roman" w:eastAsia="Times New Roman" w:hAnsi="Times New Roman"/>
          <w:sz w:val="20"/>
          <w:szCs w:val="20"/>
          <w:color w:val="00C000"/>
          <w:strike w:val="1"/>
        </w:rPr>
        <w:t>derived from any unlawful activity</w:t>
      </w:r>
      <w:r>
        <w:rPr>
          <w:rFonts w:ascii="Times New Roman" w:cs="Times New Roman" w:eastAsia="Times New Roman" w:hAnsi="Times New Roman"/>
          <w:sz w:val="20"/>
          <w:szCs w:val="20"/>
          <w:color w:val="FF0000"/>
          <w:strike w:val="1"/>
        </w:rPr>
        <w:t>, (d</w:t>
      </w:r>
      <w:r>
        <w:rPr>
          <w:rFonts w:ascii="Times New Roman" w:cs="Times New Roman" w:eastAsia="Times New Roman" w:hAnsi="Times New Roman"/>
          <w:sz w:val="20"/>
          <w:szCs w:val="20"/>
          <w:color w:val="00C000"/>
          <w:strike w:val="1"/>
        </w:rPr>
        <w:t>) each</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 xml:space="preserve">Covered Entity shall </w:t>
      </w:r>
      <w:r>
        <w:rPr>
          <w:rFonts w:ascii="Times New Roman" w:cs="Times New Roman" w:eastAsia="Times New Roman" w:hAnsi="Times New Roman"/>
          <w:sz w:val="20"/>
          <w:szCs w:val="20"/>
          <w:color w:val="FF0000"/>
          <w:strike w:val="1"/>
        </w:rPr>
        <w:t>comply with all Anti-Terrorism Laws, and (e) the Borrower shall promptly notify the Agent in writing</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upon the occurrence of a Reportable Compliance Event</w:t>
      </w:r>
    </w:p>
    <w:p>
      <w:pPr>
        <w:spacing w:after="0" w:line="144" w:lineRule="exact"/>
        <w:rPr>
          <w:sz w:val="20"/>
          <w:szCs w:val="20"/>
          <w:color w:val="auto"/>
        </w:rPr>
      </w:pPr>
    </w:p>
    <w:p>
      <w:pPr>
        <w:jc w:val="both"/>
        <w:ind w:left="1000" w:firstLine="8"/>
        <w:spacing w:after="0" w:line="225" w:lineRule="auto"/>
        <w:tabs>
          <w:tab w:leader="none" w:pos="1253" w:val="left"/>
        </w:tabs>
        <w:numPr>
          <w:ilvl w:val="0"/>
          <w:numId w:val="11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Loan Parties covenant and agree that they shall immediately notify the Administrative Agent, the Collateral Agent and each of the Lenders in writing upon the occurrence of a Reportable Compliance Event; and (ii</w:t>
      </w:r>
      <w:r>
        <w:rPr>
          <w:rFonts w:ascii="Times New Roman" w:cs="Times New Roman" w:eastAsia="Times New Roman" w:hAnsi="Times New Roman"/>
          <w:sz w:val="20"/>
          <w:szCs w:val="20"/>
          <w:u w:val="single" w:color="auto"/>
          <w:color w:val="00C000"/>
        </w:rPr>
        <w:t>) each Covered Entity</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C000"/>
        </w:rPr>
        <w:t xml:space="preserve">shall </w:t>
      </w:r>
      <w:r>
        <w:rPr>
          <w:rFonts w:ascii="Times New Roman" w:cs="Times New Roman" w:eastAsia="Times New Roman" w:hAnsi="Times New Roman"/>
          <w:sz w:val="20"/>
          <w:szCs w:val="20"/>
          <w:u w:val="single" w:color="auto"/>
          <w:color w:val="0000FF"/>
        </w:rPr>
        <w:t>conduct their business in compliance with all Anti-Corruption Laws and maintain policies and procedures designed to</w:t>
      </w:r>
      <w:r>
        <w:rPr>
          <w:rFonts w:ascii="Times New Roman" w:cs="Times New Roman" w:eastAsia="Times New Roman" w:hAnsi="Times New Roman"/>
          <w:sz w:val="20"/>
          <w:szCs w:val="20"/>
          <w:u w:val="single" w:color="auto"/>
          <w:color w:val="00C000"/>
        </w:rPr>
        <w:t xml:space="preserve"> </w:t>
      </w:r>
      <w:r>
        <w:rPr>
          <w:rFonts w:ascii="Times New Roman" w:cs="Times New Roman" w:eastAsia="Times New Roman" w:hAnsi="Times New Roman"/>
          <w:sz w:val="20"/>
          <w:szCs w:val="20"/>
          <w:u w:val="single" w:color="auto"/>
          <w:color w:val="0000FF"/>
        </w:rPr>
        <w:t>ensure compliance with such Laws</w:t>
      </w:r>
      <w:r>
        <w:rPr>
          <w:rFonts w:ascii="Times New Roman" w:cs="Times New Roman" w:eastAsia="Times New Roman" w:hAnsi="Times New Roman"/>
          <w:sz w:val="20"/>
          <w:szCs w:val="20"/>
          <w:color w:val="000000"/>
        </w:rPr>
        <w:t>.</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1.1.ixKeepwell.</w:t>
      </w:r>
    </w:p>
    <w:p>
      <w:pPr>
        <w:spacing w:after="0" w:line="173" w:lineRule="exact"/>
        <w:rPr>
          <w:sz w:val="20"/>
          <w:szCs w:val="20"/>
          <w:color w:val="auto"/>
        </w:rPr>
      </w:pPr>
    </w:p>
    <w:p>
      <w:pPr>
        <w:jc w:val="both"/>
        <w:ind w:left="1000"/>
        <w:spacing w:after="0" w:line="231" w:lineRule="auto"/>
        <w:rPr>
          <w:sz w:val="20"/>
          <w:szCs w:val="20"/>
          <w:color w:val="auto"/>
        </w:rPr>
      </w:pPr>
      <w:r>
        <w:rPr>
          <w:rFonts w:ascii="Times New Roman" w:cs="Times New Roman" w:eastAsia="Times New Roman" w:hAnsi="Times New Roman"/>
          <w:sz w:val="20"/>
          <w:szCs w:val="20"/>
          <w:color w:val="auto"/>
        </w:rPr>
        <w:t>Each Qualified ECP Loan Party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Loan Document in respect of Swap Obligations (provided, however, that each Qualified ECP Loan Party shall only be liable under this Section 8.1.9 for the maximum amount of such liability that can be hereby incurred without rendering its obligations under this Section 8.1.9, or otherwise under this Agreement or any other Loan Document, voidable under applicable law, including applicable law relating to fraudulent conveyance or fraudulent transfer, and not for any greater amount). The obligations of each Qualified ECP Loan Party under this Section 8.1.9 shall remain in full force and effect until payment in full of the Obligations and termination of this Agreement and the other Loan Documents. Each Qualified ECP Loan Party intends that this Section 8.1.9 constitute, and this Section 8.1.9 shall be deemed to constitute, a guarantee of the obligations of, and a "keepwell, support, or other agreement" for the benefit of each other Loan Party for all purposes of Section 1a(18</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(A)(v)(II) of the CEA.</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1.1.xAdditional Guarantors.</w:t>
      </w:r>
    </w:p>
    <w:p>
      <w:pPr>
        <w:spacing w:after="0" w:line="173"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color w:val="auto"/>
        </w:rPr>
        <w:t>At the Borrower's expense, subject to the limitations and exceptions of this Agreement, the Loan Parties shall cause each wholly-owned Domestic Subsidiary (other than an Excluded Subsidiary) to: promptly execute and deliver to the Administrative Agent (a) a Guarantor Joinder pursuant to which it shall join as a Guarantor to each of the documents to which the Guarantors are parties (provided that if the Guaranty Agreement is not already in place, such Subsidiary shall also deliver the Guaranty Agreement) and (b) if reasonably requested by the Administrative Agent, documents in the forms described in clauses (i), (ii), (iv), (viii) and (xvii) of Section 7.1 [First Loans and Letters of Credit] modified as appropriate to relate to such Subsidiary.</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1.1.xiCertificate of Beneficial Ownership and Other Additional Information.</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Each Loan Party shall provide to the Administrative Agent and the Lenders: (i) confirmation of the accuracy of the information set forth in the most recent Certificate of Beneficial Ownership provided to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040"/>
          </w:cols>
          <w:pgMar w:left="520" w:top="1440" w:right="339" w:bottom="1440" w:gutter="0" w:footer="0" w:header="0"/>
        </w:sectPr>
      </w:pPr>
    </w:p>
    <w:bookmarkStart w:id="173" w:name="page174"/>
    <w:bookmarkEnd w:id="173"/>
    <w:p>
      <w:pPr>
        <w:spacing w:after="0" w:line="71"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Lenders, (ii) a new Certificate of Beneficial Ownership, in form and substance acceptable to Administrative Agent and each Lenders, when the individual(s) to be identified as a Beneficial Owner have changed, and (iii) such other information and documentation as may reasonably be requested by Administrative Agent or any Lender from time to time for purposes of compliance by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Negative Covenants.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1.1.iIndebtedness.</w:t>
      </w:r>
    </w:p>
    <w:p>
      <w:pPr>
        <w:spacing w:after="0" w:line="173" w:lineRule="exact"/>
        <w:rPr>
          <w:sz w:val="20"/>
          <w:szCs w:val="20"/>
          <w:color w:val="auto"/>
        </w:rPr>
      </w:pPr>
    </w:p>
    <w:p>
      <w:pPr>
        <w:ind w:right="120" w:firstLine="1208"/>
        <w:spacing w:after="0" w:line="242" w:lineRule="auto"/>
        <w:rPr>
          <w:sz w:val="20"/>
          <w:szCs w:val="20"/>
          <w:color w:val="auto"/>
        </w:rPr>
      </w:pPr>
      <w:r>
        <w:rPr>
          <w:rFonts w:ascii="Times New Roman" w:cs="Times New Roman" w:eastAsia="Times New Roman" w:hAnsi="Times New Roman"/>
          <w:sz w:val="20"/>
          <w:szCs w:val="20"/>
          <w:color w:val="auto"/>
        </w:rPr>
        <w:t>Each of the Loan Parties shall not, and shall not permit any of its Subsidiaries to, at any time create, incur, assume or suffer to exist any Indebtedness, except:</w:t>
      </w:r>
    </w:p>
    <w:p>
      <w:pPr>
        <w:spacing w:after="0" w:line="140" w:lineRule="exact"/>
        <w:rPr>
          <w:sz w:val="20"/>
          <w:szCs w:val="20"/>
          <w:color w:val="auto"/>
        </w:rPr>
      </w:pPr>
    </w:p>
    <w:p>
      <w:pPr>
        <w:ind w:left="2400" w:hanging="407"/>
        <w:spacing w:after="0"/>
        <w:tabs>
          <w:tab w:leader="none" w:pos="24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172"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Existing Indebtedness as set forth on </w:t>
      </w:r>
      <w:r>
        <w:rPr>
          <w:rFonts w:ascii="Times New Roman" w:cs="Times New Roman" w:eastAsia="Times New Roman" w:hAnsi="Times New Roman"/>
          <w:sz w:val="20"/>
          <w:szCs w:val="20"/>
          <w:u w:val="single" w:color="auto"/>
          <w:color w:val="auto"/>
        </w:rPr>
        <w:t>Schedule 8.2.1</w:t>
      </w:r>
      <w:r>
        <w:rPr>
          <w:rFonts w:ascii="Times New Roman" w:cs="Times New Roman" w:eastAsia="Times New Roman" w:hAnsi="Times New Roman"/>
          <w:sz w:val="20"/>
          <w:szCs w:val="20"/>
          <w:color w:val="auto"/>
        </w:rPr>
        <w:t xml:space="preserve"> (including any Permitted Refinancing thereof);</w:t>
      </w:r>
    </w:p>
    <w:p>
      <w:pPr>
        <w:spacing w:after="0" w:line="172" w:lineRule="exact"/>
        <w:rPr>
          <w:rFonts w:ascii="Times New Roman" w:cs="Times New Roman" w:eastAsia="Times New Roman" w:hAnsi="Times New Roman"/>
          <w:sz w:val="20"/>
          <w:szCs w:val="20"/>
          <w:color w:val="auto"/>
        </w:rPr>
      </w:pPr>
    </w:p>
    <w:p>
      <w:pPr>
        <w:ind w:right="120" w:firstLine="1993"/>
        <w:spacing w:after="0" w:line="242" w:lineRule="auto"/>
        <w:tabs>
          <w:tab w:leader="none" w:pos="240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with respect to Purchase Money Security Interests and capitalized leases as and to the extent permitted pursuant to clause (viii) of the definition of Permitted Liens;</w:t>
      </w:r>
    </w:p>
    <w:p>
      <w:pPr>
        <w:spacing w:after="0" w:line="140" w:lineRule="exact"/>
        <w:rPr>
          <w:rFonts w:ascii="Times New Roman" w:cs="Times New Roman" w:eastAsia="Times New Roman" w:hAnsi="Times New Roman"/>
          <w:sz w:val="20"/>
          <w:szCs w:val="20"/>
          <w:color w:val="auto"/>
        </w:rPr>
      </w:pPr>
    </w:p>
    <w:p>
      <w:pPr>
        <w:ind w:right="620" w:firstLine="1993"/>
        <w:spacing w:after="0" w:line="242" w:lineRule="auto"/>
        <w:tabs>
          <w:tab w:leader="none" w:pos="240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owing to the Borrower or any of its Subsidiaries to the extent constituting an Investment permitted under Section 8.2.4 [Loans and Investments];</w:t>
      </w:r>
    </w:p>
    <w:p>
      <w:pPr>
        <w:spacing w:after="0" w:line="140" w:lineRule="exact"/>
        <w:rPr>
          <w:rFonts w:ascii="Times New Roman" w:cs="Times New Roman" w:eastAsia="Times New Roman" w:hAnsi="Times New Roman"/>
          <w:sz w:val="20"/>
          <w:szCs w:val="20"/>
          <w:color w:val="auto"/>
        </w:rPr>
      </w:pPr>
    </w:p>
    <w:p>
      <w:pPr>
        <w:ind w:right="100" w:firstLine="1993"/>
        <w:spacing w:after="0" w:line="225" w:lineRule="auto"/>
        <w:tabs>
          <w:tab w:leader="none" w:pos="240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Lender Provided Interest Rate Hedge, (ii) Lender Provided Foreign Currency Hedge, (iii) other Interest Rate Hedge or Foreign Currency Hedge or (iv) Indebtedness under any Financial Service Product; provided however, the Loan Parties and their Subsidiaries shall enter into an Interest Rate Hedge or Foreign Currency Hedge only for hedging (rather than speculative) purposes;</w:t>
      </w:r>
    </w:p>
    <w:p>
      <w:pPr>
        <w:spacing w:after="0" w:line="143" w:lineRule="exact"/>
        <w:rPr>
          <w:rFonts w:ascii="Times New Roman" w:cs="Times New Roman" w:eastAsia="Times New Roman" w:hAnsi="Times New Roman"/>
          <w:sz w:val="20"/>
          <w:szCs w:val="20"/>
          <w:color w:val="auto"/>
        </w:rPr>
      </w:pPr>
    </w:p>
    <w:p>
      <w:pPr>
        <w:ind w:firstLine="1993"/>
        <w:spacing w:after="0" w:line="242" w:lineRule="auto"/>
        <w:tabs>
          <w:tab w:leader="none" w:pos="240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Borrower or any of its Subsidiaries in respect of Indebtedness of the Borrower or any of its Subsidiaries otherwise permitted hereunder;</w:t>
      </w:r>
    </w:p>
    <w:p>
      <w:pPr>
        <w:spacing w:after="0" w:line="140" w:lineRule="exact"/>
        <w:rPr>
          <w:rFonts w:ascii="Times New Roman" w:cs="Times New Roman" w:eastAsia="Times New Roman" w:hAnsi="Times New Roman"/>
          <w:sz w:val="20"/>
          <w:szCs w:val="20"/>
          <w:color w:val="auto"/>
        </w:rPr>
      </w:pPr>
    </w:p>
    <w:p>
      <w:pPr>
        <w:jc w:val="both"/>
        <w:ind w:right="140" w:firstLine="1993"/>
        <w:spacing w:after="0" w:line="222" w:lineRule="auto"/>
        <w:tabs>
          <w:tab w:leader="none" w:pos="240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assumed in connection with any Permitted Acquisitions; provided that (i) such Indebtedness is not incurred in contemplation of such Permitted Acquisition and (ii) after giving effect thereto, on a pro forma basis, the Borrower would be in compliance with Section 8.2.14 [Maximum Consolidated Leverage Ratio] as of the last day of the immediately preceding fiscal quarter for which financial statements have been delivered pursuant to Section 8.3.1 [Quarterly Financial Statements] or Section 8.3.2 [Annual Financial Statements];</w:t>
      </w:r>
    </w:p>
    <w:p>
      <w:pPr>
        <w:spacing w:after="0" w:line="144" w:lineRule="exact"/>
        <w:rPr>
          <w:rFonts w:ascii="Times New Roman" w:cs="Times New Roman" w:eastAsia="Times New Roman" w:hAnsi="Times New Roman"/>
          <w:sz w:val="20"/>
          <w:szCs w:val="20"/>
          <w:color w:val="auto"/>
        </w:rPr>
      </w:pPr>
    </w:p>
    <w:p>
      <w:pPr>
        <w:ind w:right="340" w:firstLine="1993"/>
        <w:spacing w:after="0" w:line="242" w:lineRule="auto"/>
        <w:tabs>
          <w:tab w:leader="none" w:pos="240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of the Borrower or any of its Subsidiaries incurred in the ordinary course of business;</w:t>
      </w:r>
    </w:p>
    <w:p>
      <w:pPr>
        <w:spacing w:after="0" w:line="140" w:lineRule="exact"/>
        <w:rPr>
          <w:rFonts w:ascii="Times New Roman" w:cs="Times New Roman" w:eastAsia="Times New Roman" w:hAnsi="Times New Roman"/>
          <w:sz w:val="20"/>
          <w:szCs w:val="20"/>
          <w:color w:val="auto"/>
        </w:rPr>
      </w:pPr>
    </w:p>
    <w:p>
      <w:pPr>
        <w:ind w:right="620" w:firstLine="1993"/>
        <w:spacing w:after="0" w:line="230" w:lineRule="auto"/>
        <w:tabs>
          <w:tab w:leader="none" w:pos="240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Borrower or any of its Subsidiaries in a Permitted Acquisition, any other Investment expressly permitted hereunder or any Disposition, in any such case solely constituting indemnification obligations or obligations in respect of purchase price or other similar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71" w:lineRule="exact"/>
        <w:rPr>
          <w:sz w:val="20"/>
          <w:szCs w:val="20"/>
          <w:color w:val="auto"/>
        </w:rPr>
      </w:pPr>
    </w:p>
    <w:p>
      <w:pPr>
        <w:ind w:right="220" w:firstLine="1993"/>
        <w:spacing w:after="0" w:line="242" w:lineRule="auto"/>
        <w:tabs>
          <w:tab w:leader="none" w:pos="240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performance, bid, stay, custom, appeal and surety bonds and other obligations of a like nature and performance and completion guarantees and similar obligations provided by the Borrower or any of its Subsidiaries;</w:t>
      </w:r>
    </w:p>
    <w:p>
      <w:pPr>
        <w:spacing w:after="0" w:line="133"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secured by Liens as and to the extent permitted pursuant to clause (x) of the definition of</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Liens; and</w:t>
      </w:r>
    </w:p>
    <w:p>
      <w:pPr>
        <w:spacing w:after="0" w:line="150" w:lineRule="exact"/>
        <w:rPr>
          <w:rFonts w:ascii="Times New Roman" w:cs="Times New Roman" w:eastAsia="Times New Roman" w:hAnsi="Times New Roman"/>
          <w:sz w:val="20"/>
          <w:szCs w:val="20"/>
          <w:color w:val="auto"/>
        </w:rPr>
      </w:pPr>
    </w:p>
    <w:p>
      <w:pPr>
        <w:ind w:right="600" w:firstLine="1993"/>
        <w:spacing w:after="0" w:line="242" w:lineRule="auto"/>
        <w:tabs>
          <w:tab w:leader="none" w:pos="240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Indebtedness in an aggregate amount not to exceed the greater of $150,000,000 or ten percent (10%) of Consolidated Total Assets.</w:t>
      </w:r>
    </w:p>
    <w:p>
      <w:pPr>
        <w:spacing w:after="0" w:line="14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1.1.iiLiens; Lien Covenants.</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color w:val="auto"/>
        </w:rPr>
        <w:t>Each of the Loan Parties shall not, and shall not permit any of its Subsidiaries to, at any time create, incur, assume or suffer to exist any Lien on any of its property or assets, tangible or intangible, now owned or hereafter acquired, except Permitted Liens.</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1.1.iii[Reserved].</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1.1.ivLoans and Investments.</w:t>
      </w:r>
    </w:p>
    <w:p>
      <w:pPr>
        <w:spacing w:after="0" w:line="200" w:lineRule="exact"/>
        <w:rPr>
          <w:sz w:val="20"/>
          <w:szCs w:val="20"/>
          <w:color w:val="auto"/>
        </w:rPr>
      </w:pPr>
    </w:p>
    <w:p>
      <w:pPr>
        <w:spacing w:after="0" w:line="375"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color w:val="auto"/>
        </w:rPr>
        <w:t>Each of the Loan Parties shall not, and shall not permit any of its Subsidiaries to, at any time make or suffer to remain outstanding any Investment, except:</w:t>
      </w:r>
    </w:p>
    <w:p>
      <w:pPr>
        <w:spacing w:after="0" w:line="140" w:lineRule="exact"/>
        <w:rPr>
          <w:sz w:val="20"/>
          <w:szCs w:val="20"/>
          <w:color w:val="auto"/>
        </w:rPr>
      </w:pPr>
    </w:p>
    <w:p>
      <w:pPr>
        <w:ind w:right="100" w:firstLine="1993"/>
        <w:spacing w:after="0" w:line="230" w:lineRule="auto"/>
        <w:tabs>
          <w:tab w:leader="none" w:pos="240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existing on the Closing Date by the Borrower or any of its Subsidiaries in the Borrower or any Subsidiary of the Borrower and any modification, exchange in kind, renewal or extension thereof; provided that the amount of the original Investment is not increased except by the terms of such Investment or as otherwise permitted under this Section 8.2.4;</w:t>
      </w:r>
    </w:p>
    <w:p>
      <w:pPr>
        <w:spacing w:after="0" w:line="143"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credit extended on usual and customary terms in the ordinary course of business;</w:t>
      </w:r>
    </w:p>
    <w:p>
      <w:pPr>
        <w:spacing w:after="0" w:line="172"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employees to meet expenses incurred by such employees in the ordinary course of business;</w:t>
      </w:r>
    </w:p>
    <w:p>
      <w:pPr>
        <w:spacing w:after="0" w:line="172"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w:t>
      </w:r>
    </w:p>
    <w:p>
      <w:pPr>
        <w:spacing w:after="0" w:line="172" w:lineRule="exact"/>
        <w:rPr>
          <w:rFonts w:ascii="Times New Roman" w:cs="Times New Roman" w:eastAsia="Times New Roman" w:hAnsi="Times New Roman"/>
          <w:sz w:val="20"/>
          <w:szCs w:val="20"/>
          <w:color w:val="auto"/>
        </w:rPr>
      </w:pPr>
    </w:p>
    <w:p>
      <w:pPr>
        <w:jc w:val="both"/>
        <w:ind w:firstLine="1993"/>
        <w:spacing w:after="0" w:line="225" w:lineRule="auto"/>
        <w:tabs>
          <w:tab w:leader="none" w:pos="240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 by any Loan Party in other Loan Parties, (b) by any Subsidiary that is not a Loan Party in any other Subsidiary that is not a Loan Party and (c) by any Loan Party in any Subsidiary that is not a Loan Party and in any Joint Venture in an aggregate amount, together with the aggregate amount of Investments outstanding at any time under Section 8.2.4(xii), not to exceed at any time outstanding the greater of $150,000,000 and 10% of Consolidated Total Assets;</w:t>
      </w:r>
    </w:p>
    <w:p>
      <w:pPr>
        <w:spacing w:after="0" w:line="137"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Hedges and Foreign Currency Hedges, in each case, entered into for hedging (rather than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speculative) purposes;</w:t>
      </w:r>
    </w:p>
    <w:p>
      <w:pPr>
        <w:spacing w:after="0" w:line="150" w:lineRule="exact"/>
        <w:rPr>
          <w:rFonts w:ascii="Times New Roman" w:cs="Times New Roman" w:eastAsia="Times New Roman" w:hAnsi="Times New Roman"/>
          <w:sz w:val="20"/>
          <w:szCs w:val="20"/>
          <w:color w:val="auto"/>
        </w:rPr>
      </w:pPr>
    </w:p>
    <w:p>
      <w:pPr>
        <w:jc w:val="both"/>
        <w:ind w:right="20" w:firstLine="1993"/>
        <w:spacing w:after="0" w:line="230" w:lineRule="auto"/>
        <w:tabs>
          <w:tab w:leader="none" w:pos="240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Subsidiary of the Borrower acquired after the Closing Date or of a Person merged with or into the Borrower or any of its Subsidiaries after the Closing Date to the extent that such Investments were not made in contemplation of or in connection with such acquisition, merger or consolidation and were in existence on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71"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20"/>
          <w:szCs w:val="20"/>
          <w:color w:val="auto"/>
        </w:rPr>
        <w:t>such acquisition, merger or consolidation and so long as none of the Loan Parties or any of their Subsidiaries (other than any Persons so acquired) has any liability or other obligation with respect to such Investments;</w:t>
      </w:r>
    </w:p>
    <w:p>
      <w:pPr>
        <w:spacing w:after="0" w:line="140" w:lineRule="exact"/>
        <w:rPr>
          <w:sz w:val="20"/>
          <w:szCs w:val="20"/>
          <w:color w:val="auto"/>
        </w:rPr>
      </w:pPr>
    </w:p>
    <w:p>
      <w:pPr>
        <w:ind w:right="120" w:firstLine="1993"/>
        <w:spacing w:after="0" w:line="242" w:lineRule="auto"/>
        <w:tabs>
          <w:tab w:leader="none" w:pos="240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Article 3 endorsements for collection or deposit and Article 4 customary trade arrangements with customers consistent with past practices;</w:t>
      </w:r>
    </w:p>
    <w:p>
      <w:pPr>
        <w:spacing w:after="0" w:line="133"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Promissory notes and other non-cash consideration received in connection with Dispositions permitted by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8.2.6;</w:t>
      </w:r>
    </w:p>
    <w:p>
      <w:pPr>
        <w:spacing w:after="0" w:line="150" w:lineRule="exact"/>
        <w:rPr>
          <w:rFonts w:ascii="Times New Roman" w:cs="Times New Roman" w:eastAsia="Times New Roman" w:hAnsi="Times New Roman"/>
          <w:sz w:val="20"/>
          <w:szCs w:val="20"/>
          <w:color w:val="auto"/>
        </w:rPr>
      </w:pPr>
    </w:p>
    <w:p>
      <w:pPr>
        <w:ind w:right="160" w:firstLine="1993"/>
        <w:spacing w:after="0" w:line="225" w:lineRule="auto"/>
        <w:tabs>
          <w:tab w:leader="none" w:pos="240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43" w:lineRule="exact"/>
        <w:rPr>
          <w:rFonts w:ascii="Times New Roman" w:cs="Times New Roman" w:eastAsia="Times New Roman" w:hAnsi="Times New Roman"/>
          <w:sz w:val="20"/>
          <w:szCs w:val="20"/>
          <w:color w:val="auto"/>
        </w:rPr>
      </w:pPr>
    </w:p>
    <w:p>
      <w:pPr>
        <w:ind w:right="420" w:firstLine="1993"/>
        <w:spacing w:after="0" w:line="230" w:lineRule="auto"/>
        <w:tabs>
          <w:tab w:leader="none" w:pos="240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Borrower or any of its Subsidiaries of leases (other than capitalized leases) or of other obligations of the Borrower or any of its Subsidiaries otherwise permitted hereunder that do not constitute Indebtedness, in each case entered into in the ordinary course of business;</w:t>
      </w:r>
    </w:p>
    <w:p>
      <w:pPr>
        <w:spacing w:after="0" w:line="143" w:lineRule="exact"/>
        <w:rPr>
          <w:rFonts w:ascii="Times New Roman" w:cs="Times New Roman" w:eastAsia="Times New Roman" w:hAnsi="Times New Roman"/>
          <w:sz w:val="20"/>
          <w:szCs w:val="20"/>
          <w:color w:val="auto"/>
        </w:rPr>
      </w:pPr>
    </w:p>
    <w:p>
      <w:pPr>
        <w:ind w:right="600" w:firstLine="1993"/>
        <w:spacing w:after="0" w:line="242" w:lineRule="auto"/>
        <w:tabs>
          <w:tab w:leader="none" w:pos="240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at any time outstanding that, together with any Investments outstanding at any time under Section 8.2.4(v)(c), do not exceed the greater of $150,000,000 or ten percent (10%) of Consolidated Total Assets;</w:t>
      </w:r>
    </w:p>
    <w:p>
      <w:pPr>
        <w:spacing w:after="0" w:line="140" w:lineRule="exact"/>
        <w:rPr>
          <w:rFonts w:ascii="Times New Roman" w:cs="Times New Roman" w:eastAsia="Times New Roman" w:hAnsi="Times New Roman"/>
          <w:sz w:val="20"/>
          <w:szCs w:val="20"/>
          <w:color w:val="auto"/>
        </w:rPr>
      </w:pPr>
    </w:p>
    <w:p>
      <w:pPr>
        <w:ind w:firstLine="1993"/>
        <w:spacing w:after="0" w:line="225" w:lineRule="auto"/>
        <w:tabs>
          <w:tab w:leader="none" w:pos="240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may consummate the Acquisition and any Loan Party or any of its Subsidiaries may acquire, whether by purchase or by merger, (A) all or substantially all of the ownership interests of another Person or (B) all or substantially all of the assets of another Person or of a business or division of another Person (each a "</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of the following requirements is met:</w:t>
      </w:r>
    </w:p>
    <w:p>
      <w:pPr>
        <w:spacing w:after="0" w:line="143" w:lineRule="exact"/>
        <w:rPr>
          <w:rFonts w:ascii="Times New Roman" w:cs="Times New Roman" w:eastAsia="Times New Roman" w:hAnsi="Times New Roman"/>
          <w:sz w:val="20"/>
          <w:szCs w:val="20"/>
          <w:color w:val="auto"/>
        </w:rPr>
      </w:pPr>
    </w:p>
    <w:p>
      <w:pPr>
        <w:ind w:right="160" w:firstLine="2383"/>
        <w:spacing w:after="0" w:line="242" w:lineRule="auto"/>
        <w:tabs>
          <w:tab w:leader="none" w:pos="3013"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Loan Party is acquiring the ownership interests in such Person, such Person (unless an Excluded Subsidiary) shall comply with Section 8.1.10 [Additional Guarantors];</w:t>
      </w:r>
    </w:p>
    <w:p>
      <w:pPr>
        <w:spacing w:after="0" w:line="133" w:lineRule="exact"/>
        <w:rPr>
          <w:rFonts w:ascii="Times New Roman" w:cs="Times New Roman" w:eastAsia="Times New Roman" w:hAnsi="Times New Roman"/>
          <w:sz w:val="20"/>
          <w:szCs w:val="20"/>
          <w:color w:val="auto"/>
        </w:rPr>
      </w:pPr>
    </w:p>
    <w:p>
      <w:pPr>
        <w:ind w:left="3020" w:hanging="693"/>
        <w:spacing w:after="0"/>
        <w:tabs>
          <w:tab w:leader="none" w:pos="302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or other equivalent governing body of such Person shall have approved such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w:t>
      </w:r>
    </w:p>
    <w:p>
      <w:pPr>
        <w:spacing w:after="0" w:line="150" w:lineRule="exact"/>
        <w:rPr>
          <w:rFonts w:ascii="Times New Roman" w:cs="Times New Roman" w:eastAsia="Times New Roman" w:hAnsi="Times New Roman"/>
          <w:sz w:val="20"/>
          <w:szCs w:val="20"/>
          <w:color w:val="auto"/>
        </w:rPr>
      </w:pPr>
    </w:p>
    <w:p>
      <w:pPr>
        <w:ind w:right="220" w:firstLine="2271"/>
        <w:spacing w:after="0" w:line="230" w:lineRule="auto"/>
        <w:tabs>
          <w:tab w:leader="none" w:pos="3013"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acquired, or the business conducted by the Person whose ownership interests are being acquired, as applicable, shall be similar or complimentary to one or more line or lines of business or operations conducted by the Loan Parties or any of their respective Subsidiaries and shall comply with Section 8.2.9 [Continuation of or Change in Business];</w:t>
      </w:r>
    </w:p>
    <w:p>
      <w:pPr>
        <w:spacing w:after="0" w:line="137" w:lineRule="exact"/>
        <w:rPr>
          <w:rFonts w:ascii="Times New Roman" w:cs="Times New Roman" w:eastAsia="Times New Roman" w:hAnsi="Times New Roman"/>
          <w:sz w:val="20"/>
          <w:szCs w:val="20"/>
          <w:color w:val="auto"/>
        </w:rPr>
      </w:pPr>
    </w:p>
    <w:p>
      <w:pPr>
        <w:ind w:left="3020" w:hanging="738"/>
        <w:spacing w:after="0"/>
        <w:tabs>
          <w:tab w:leader="none" w:pos="302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Potential Default or Event of Default shall exist immediately prior to and after giving effect to</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Acquisition;</w:t>
      </w:r>
    </w:p>
    <w:p>
      <w:pPr>
        <w:spacing w:after="0" w:line="150" w:lineRule="exact"/>
        <w:rPr>
          <w:rFonts w:ascii="Times New Roman" w:cs="Times New Roman" w:eastAsia="Times New Roman" w:hAnsi="Times New Roman"/>
          <w:sz w:val="20"/>
          <w:szCs w:val="20"/>
          <w:color w:val="auto"/>
        </w:rPr>
      </w:pPr>
    </w:p>
    <w:p>
      <w:pPr>
        <w:ind w:right="120" w:firstLine="2338"/>
        <w:spacing w:after="0" w:line="222" w:lineRule="auto"/>
        <w:tabs>
          <w:tab w:leader="none" w:pos="3013"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Consideration in connection with any such Permitted Acquisition exceeds $50,000,000, the Borrower shall certify that the representations and warranties contained in Article 6 shall be true and correct in all material respects as of the date of such Permitted Acquisition (except representations and warranties which expressly relate solely to an earlier date or time) and that it shall be in compliance with the covenants contained in Article 8 after giving effect to such Permitted Acquisition (including in such computation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7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 xml:space="preserve">Indebtedness or other liabilities assumed or incurred in connection with such Permitted Acquisition but excluding (except as set forth in the definition of Consolidated EBITDA) income earned or expenses incurred by the Person, business or assets to be acquired prior to the date of such Permitted Acquisition) by delivering at least five (5) Business Days prior to such Permitted Acquisition a certificate in the form of </w:t>
      </w:r>
      <w:r>
        <w:rPr>
          <w:rFonts w:ascii="Times New Roman" w:cs="Times New Roman" w:eastAsia="Times New Roman" w:hAnsi="Times New Roman"/>
          <w:sz w:val="20"/>
          <w:szCs w:val="20"/>
          <w:u w:val="single" w:color="auto"/>
          <w:color w:val="auto"/>
        </w:rPr>
        <w:t>Exhibit 8.2.4</w:t>
      </w:r>
      <w:r>
        <w:rPr>
          <w:rFonts w:ascii="Times New Roman" w:cs="Times New Roman" w:eastAsia="Times New Roman" w:hAnsi="Times New Roman"/>
          <w:sz w:val="20"/>
          <w:szCs w:val="20"/>
          <w:color w:val="auto"/>
        </w:rPr>
        <w:t xml:space="preserve"> evidencing such compliance; and</w:t>
      </w:r>
    </w:p>
    <w:p>
      <w:pPr>
        <w:spacing w:after="0" w:line="144" w:lineRule="exact"/>
        <w:rPr>
          <w:sz w:val="20"/>
          <w:szCs w:val="20"/>
          <w:color w:val="auto"/>
        </w:rPr>
      </w:pPr>
    </w:p>
    <w:p>
      <w:pPr>
        <w:jc w:val="both"/>
        <w:ind w:right="100" w:firstLine="2282"/>
        <w:spacing w:after="0" w:line="225" w:lineRule="auto"/>
        <w:tabs>
          <w:tab w:leader="none" w:pos="301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deliver to the Administrative Agent at least five (5) Business Days before such Permitted Acquisition copies of any agreements entered into or proposed to be entered into by such Loan Parties or any of its Subsidiaries in connection with such Permitted Acquisition, and shall deliver to the Administrative Agent such other information about such Person or its assets as any Lender may reasonably require.</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1.1.vLiquidations, Mergers, Consolidations.</w:t>
      </w:r>
    </w:p>
    <w:p>
      <w:pPr>
        <w:spacing w:after="0" w:line="173" w:lineRule="exact"/>
        <w:rPr>
          <w:sz w:val="20"/>
          <w:szCs w:val="20"/>
          <w:color w:val="auto"/>
        </w:rPr>
      </w:pPr>
    </w:p>
    <w:p>
      <w:pPr>
        <w:ind w:left="1200"/>
        <w:spacing w:after="0" w:line="242" w:lineRule="auto"/>
        <w:rPr>
          <w:sz w:val="20"/>
          <w:szCs w:val="20"/>
          <w:color w:val="auto"/>
        </w:rPr>
      </w:pPr>
      <w:r>
        <w:rPr>
          <w:rFonts w:ascii="Times New Roman" w:cs="Times New Roman" w:eastAsia="Times New Roman" w:hAnsi="Times New Roman"/>
          <w:sz w:val="20"/>
          <w:szCs w:val="20"/>
          <w:color w:val="auto"/>
        </w:rPr>
        <w:t>Each of the Loan Parties shall not, and shall not permit any of its Subsidiaries to, dissolve, liquidate or wind-up its affairs, or become a party to any merger or consolidation; provided that</w:t>
      </w:r>
    </w:p>
    <w:p>
      <w:pPr>
        <w:spacing w:after="0" w:line="140" w:lineRule="exact"/>
        <w:rPr>
          <w:sz w:val="20"/>
          <w:szCs w:val="20"/>
          <w:color w:val="auto"/>
        </w:rPr>
      </w:pPr>
    </w:p>
    <w:p>
      <w:pPr>
        <w:ind w:left="2400" w:hanging="407"/>
        <w:spacing w:after="0"/>
        <w:tabs>
          <w:tab w:leader="none" w:pos="2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other than the Borrower may consolidate or merge into another Loan Party;</w:t>
      </w:r>
    </w:p>
    <w:p>
      <w:pPr>
        <w:spacing w:after="0" w:line="165"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which is not a Loan Party may merge with and into the Borrower or any other Subsidiary of</w:t>
      </w:r>
    </w:p>
    <w:p>
      <w:pPr>
        <w:spacing w:after="0"/>
        <w:rPr>
          <w:sz w:val="20"/>
          <w:szCs w:val="20"/>
          <w:color w:val="auto"/>
        </w:rPr>
      </w:pPr>
      <w:r>
        <w:rPr>
          <w:rFonts w:ascii="Times New Roman" w:cs="Times New Roman" w:eastAsia="Times New Roman" w:hAnsi="Times New Roman"/>
          <w:sz w:val="20"/>
          <w:szCs w:val="20"/>
          <w:color w:val="auto"/>
        </w:rPr>
        <w:t>the Borrower;</w:t>
      </w:r>
    </w:p>
    <w:p>
      <w:pPr>
        <w:spacing w:after="0" w:line="151" w:lineRule="exact"/>
        <w:rPr>
          <w:sz w:val="20"/>
          <w:szCs w:val="20"/>
          <w:color w:val="auto"/>
        </w:rPr>
      </w:pPr>
    </w:p>
    <w:p>
      <w:pPr>
        <w:ind w:right="100" w:firstLine="1993"/>
        <w:spacing w:after="0" w:line="242" w:lineRule="auto"/>
        <w:tabs>
          <w:tab w:leader="none" w:pos="240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Borrower (other than a Loan Party) may liquidate, dissolve or wind-up its affairs if the Borrower determines that such action is in the best interests of the Borrower and is not materially disadvantageous to the Lenders; and</w:t>
      </w:r>
    </w:p>
    <w:p>
      <w:pPr>
        <w:spacing w:after="0" w:line="140" w:lineRule="exact"/>
        <w:rPr>
          <w:rFonts w:ascii="Times New Roman" w:cs="Times New Roman" w:eastAsia="Times New Roman" w:hAnsi="Times New Roman"/>
          <w:sz w:val="20"/>
          <w:szCs w:val="20"/>
          <w:color w:val="auto"/>
        </w:rPr>
      </w:pPr>
    </w:p>
    <w:p>
      <w:pPr>
        <w:ind w:right="460" w:firstLine="1993"/>
        <w:spacing w:after="0" w:line="242" w:lineRule="auto"/>
        <w:tabs>
          <w:tab w:leader="none" w:pos="240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Borrower may merge or consolidate with any other Person in connection with any transaction permitted under Section 8.2.4 [Loans and Investments] or Section 8.2.6 [Disposition of Assets or Subsidiaries].</w:t>
      </w:r>
    </w:p>
    <w:p>
      <w:pPr>
        <w:spacing w:after="0" w:line="1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1.1.viDispositions of Assets or Subsidiaries.</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Each of the Loan Parties shall not, and shall not permit any of its Subsidiaries to, sell, convey, assign, lease, abandon or otherwise transfer or dispose of (each, a "</w:t>
      </w:r>
      <w:r>
        <w:rPr>
          <w:rFonts w:ascii="Times New Roman" w:cs="Times New Roman" w:eastAsia="Times New Roman" w:hAnsi="Times New Roman"/>
          <w:sz w:val="20"/>
          <w:szCs w:val="20"/>
          <w:b w:val="1"/>
          <w:bCs w:val="1"/>
          <w:color w:val="auto"/>
        </w:rPr>
        <w:t>Disposition</w:t>
      </w:r>
      <w:r>
        <w:rPr>
          <w:rFonts w:ascii="Times New Roman" w:cs="Times New Roman" w:eastAsia="Times New Roman" w:hAnsi="Times New Roman"/>
          <w:sz w:val="20"/>
          <w:szCs w:val="20"/>
          <w:color w:val="auto"/>
        </w:rPr>
        <w:t xml:space="preserve">") voluntarily or involuntarily, any of its properties or assets, tangible or intangible (including </w:t>
      </w:r>
      <w:r>
        <w:rPr>
          <w:rFonts w:ascii="Times New Roman" w:cs="Times New Roman" w:eastAsia="Times New Roman" w:hAnsi="Times New Roman"/>
          <w:sz w:val="20"/>
          <w:szCs w:val="20"/>
          <w:color w:val="0000FF"/>
        </w:rPr>
        <w:t>a LLC Division or</w:t>
      </w:r>
      <w:r>
        <w:rPr>
          <w:rFonts w:ascii="Times New Roman" w:cs="Times New Roman" w:eastAsia="Times New Roman" w:hAnsi="Times New Roman"/>
          <w:sz w:val="20"/>
          <w:szCs w:val="20"/>
          <w:color w:val="auto"/>
        </w:rPr>
        <w:t xml:space="preserve"> sale, assignment, discount or other disposition of accounts, contract rights, chattel paper, equipment or general intangibles with or without recourse or of Capital Stock of a Subsidiary of such Loan Party and with respect to any Subsidiary of the Borrower, the issuance of Capital Stock of such Subsidiary, but excluding any issuance of Capital Stock by the Borrower),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-410845</wp:posOffset>
            </wp:positionV>
            <wp:extent cx="10604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124" w:lineRule="exact"/>
        <w:rPr>
          <w:sz w:val="20"/>
          <w:szCs w:val="20"/>
          <w:color w:val="auto"/>
        </w:rPr>
      </w:pPr>
    </w:p>
    <w:p>
      <w:pPr>
        <w:ind w:left="2400" w:hanging="407"/>
        <w:spacing w:after="0"/>
        <w:tabs>
          <w:tab w:leader="none" w:pos="24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involving the sale of inventory in the ordinary course of business;</w:t>
      </w:r>
    </w:p>
    <w:p>
      <w:pPr>
        <w:spacing w:after="0" w:line="172" w:lineRule="exact"/>
        <w:rPr>
          <w:rFonts w:ascii="Times New Roman" w:cs="Times New Roman" w:eastAsia="Times New Roman" w:hAnsi="Times New Roman"/>
          <w:sz w:val="20"/>
          <w:szCs w:val="20"/>
          <w:color w:val="auto"/>
        </w:rPr>
      </w:pPr>
    </w:p>
    <w:p>
      <w:pPr>
        <w:ind w:right="400" w:firstLine="1993"/>
        <w:spacing w:after="0" w:line="242" w:lineRule="auto"/>
        <w:tabs>
          <w:tab w:leader="none" w:pos="240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assets in the ordinary course of business which are no longer necessary or required in the conduct of such Loan Party's or such Subsidiary's business;</w:t>
      </w:r>
    </w:p>
    <w:p>
      <w:pPr>
        <w:spacing w:after="0" w:line="140" w:lineRule="exact"/>
        <w:rPr>
          <w:rFonts w:ascii="Times New Roman" w:cs="Times New Roman" w:eastAsia="Times New Roman" w:hAnsi="Times New Roman"/>
          <w:sz w:val="20"/>
          <w:szCs w:val="20"/>
          <w:color w:val="auto"/>
        </w:rPr>
      </w:pPr>
    </w:p>
    <w:p>
      <w:pPr>
        <w:ind w:right="980" w:firstLine="1993"/>
        <w:spacing w:after="0" w:line="242" w:lineRule="auto"/>
        <w:tabs>
          <w:tab w:leader="none" w:pos="240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constituting Investments permitted under Section 8.2.4 [Loans and Investments] and Dispositions permitted under clauses (i) through (iii) of Section 8.2.5 [Liquidations, Mergers Consolidations];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64" w:lineRule="exact"/>
        <w:rPr>
          <w:sz w:val="20"/>
          <w:szCs w:val="20"/>
          <w:color w:val="auto"/>
        </w:rPr>
      </w:pPr>
    </w:p>
    <w:p>
      <w:pPr>
        <w:ind w:left="2000"/>
        <w:spacing w:after="0"/>
        <w:tabs>
          <w:tab w:leader="none" w:pos="2380" w:val="left"/>
        </w:tabs>
        <w:rPr>
          <w:sz w:val="20"/>
          <w:szCs w:val="20"/>
          <w:color w:val="auto"/>
        </w:rPr>
      </w:pPr>
      <w:r>
        <w:rPr>
          <w:rFonts w:ascii="Times New Roman" w:cs="Times New Roman" w:eastAsia="Times New Roman" w:hAnsi="Times New Roman"/>
          <w:sz w:val="20"/>
          <w:szCs w:val="20"/>
          <w:color w:val="auto"/>
        </w:rPr>
        <w:t>(d)</w:t>
        <w:tab/>
        <w:t>Dispositions of assets in the ordinary course of business which are replaced by substitute assets acquired or</w:t>
      </w:r>
    </w:p>
    <w:p>
      <w:pPr>
        <w:spacing w:after="0"/>
        <w:rPr>
          <w:sz w:val="20"/>
          <w:szCs w:val="20"/>
          <w:color w:val="auto"/>
        </w:rPr>
      </w:pPr>
      <w:r>
        <w:rPr>
          <w:rFonts w:ascii="Times New Roman" w:cs="Times New Roman" w:eastAsia="Times New Roman" w:hAnsi="Times New Roman"/>
          <w:sz w:val="20"/>
          <w:szCs w:val="20"/>
          <w:color w:val="auto"/>
        </w:rPr>
        <w:t>leased;</w:t>
      </w:r>
    </w:p>
    <w:p>
      <w:pPr>
        <w:spacing w:after="0" w:line="151" w:lineRule="exact"/>
        <w:rPr>
          <w:sz w:val="20"/>
          <w:szCs w:val="20"/>
          <w:color w:val="auto"/>
        </w:rPr>
      </w:pPr>
    </w:p>
    <w:p>
      <w:pPr>
        <w:ind w:left="2400" w:hanging="407"/>
        <w:spacing w:after="0"/>
        <w:tabs>
          <w:tab w:leader="none" w:pos="24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Permitted Investments;</w:t>
      </w:r>
    </w:p>
    <w:p>
      <w:pPr>
        <w:spacing w:after="0" w:line="172"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Casualty Events;</w:t>
      </w:r>
    </w:p>
    <w:p>
      <w:pPr>
        <w:spacing w:after="0" w:line="172"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unwinding of Interest Rate Hedges and Foreign Currency Hedges;</w:t>
      </w:r>
    </w:p>
    <w:p>
      <w:pPr>
        <w:spacing w:after="0" w:line="172" w:lineRule="exact"/>
        <w:rPr>
          <w:rFonts w:ascii="Times New Roman" w:cs="Times New Roman" w:eastAsia="Times New Roman" w:hAnsi="Times New Roman"/>
          <w:sz w:val="20"/>
          <w:szCs w:val="20"/>
          <w:color w:val="auto"/>
        </w:rPr>
      </w:pPr>
    </w:p>
    <w:p>
      <w:pPr>
        <w:ind w:right="100" w:firstLine="1993"/>
        <w:spacing w:after="0" w:line="242" w:lineRule="auto"/>
        <w:tabs>
          <w:tab w:leader="none" w:pos="240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or sublicenses entered into the ordinary course of business, in each case, which do not materially interfere with the business of the Borrower and its Subsidiaries; or</w:t>
      </w:r>
    </w:p>
    <w:p>
      <w:pPr>
        <w:spacing w:after="0" w:line="133"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Disposition, so long as the after-tax proceeds (as reasonably estimated by the Borrower) are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reinvested.</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1.1.viiAffiliate Transactions.</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color w:val="auto"/>
        </w:rPr>
        <w:t>Each of the Loan Parties shall not, and shall not permit any of its Subsidiaries to, enter into or carry out any transaction with any Affiliate of any Loan Party (including purchasing property or services from or selling property or services to any Affiliate of any Loan Party or other Person), except the following:</w:t>
      </w:r>
    </w:p>
    <w:p>
      <w:pPr>
        <w:spacing w:after="0" w:line="144" w:lineRule="exact"/>
        <w:rPr>
          <w:sz w:val="20"/>
          <w:szCs w:val="20"/>
          <w:color w:val="auto"/>
        </w:rPr>
      </w:pPr>
    </w:p>
    <w:p>
      <w:pPr>
        <w:ind w:right="240" w:firstLine="1993"/>
        <w:spacing w:after="0" w:line="242" w:lineRule="auto"/>
        <w:tabs>
          <w:tab w:leader="none" w:pos="240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among the Loan Parties or any of their respective Subsidiaries or any entity that becomes a Subsidiary as a result of such transaction, in each case, to the extent not otherwise prohibited by this Agreement;</w:t>
      </w:r>
    </w:p>
    <w:p>
      <w:pPr>
        <w:spacing w:after="0" w:line="140" w:lineRule="exact"/>
        <w:rPr>
          <w:rFonts w:ascii="Times New Roman" w:cs="Times New Roman" w:eastAsia="Times New Roman" w:hAnsi="Times New Roman"/>
          <w:sz w:val="20"/>
          <w:szCs w:val="20"/>
          <w:color w:val="auto"/>
        </w:rPr>
      </w:pPr>
    </w:p>
    <w:p>
      <w:pPr>
        <w:ind w:right="240" w:firstLine="1993"/>
        <w:spacing w:after="0" w:line="242" w:lineRule="auto"/>
        <w:tabs>
          <w:tab w:leader="none" w:pos="240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that is not otherwise prohibited by this Agreement, is entered into in the ordinary course of business upon fair and reasonable arm's-length terms and conditions; and</w:t>
      </w:r>
    </w:p>
    <w:p>
      <w:pPr>
        <w:spacing w:after="0" w:line="140" w:lineRule="exact"/>
        <w:rPr>
          <w:rFonts w:ascii="Times New Roman" w:cs="Times New Roman" w:eastAsia="Times New Roman" w:hAnsi="Times New Roman"/>
          <w:sz w:val="20"/>
          <w:szCs w:val="20"/>
          <w:color w:val="auto"/>
        </w:rPr>
      </w:pPr>
    </w:p>
    <w:p>
      <w:pPr>
        <w:ind w:right="640" w:firstLine="1993"/>
        <w:spacing w:after="0" w:line="230" w:lineRule="auto"/>
        <w:tabs>
          <w:tab w:leader="none" w:pos="240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Borrower or any Subsidiary of the Borrower of customary fees and compensation and reasonable out-of-pocket costs to, and indemnities provided on behalf of, directors, officers and employees of the Borrower and its Subsidiaries.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1.1.viii[Reserved].</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1.1.ixContinuation of or Change in Business.</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Each of the Loan Parties shall not, and shall not permit any of its Subsidiaries to, engage in any material line of business other than substantially as conducted and operated by such Loan Party or Subsidiary during the present fiscal year and any business or other activities that are reasonably similar, ancillary, incidental, complementary or related thereto or a reasonable extension or expansion thereof.</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1.1.xFiscal Year.</w:t>
      </w:r>
    </w:p>
    <w:p>
      <w:pPr>
        <w:spacing w:after="0" w:line="173"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color w:val="auto"/>
        </w:rPr>
        <w:t>The Borrower shall not, and shall not permit any Subsidiary of the Borrower to, change its fiscal year from the twelve-month period beginning January 1 and ending December 31.</w:t>
      </w:r>
    </w:p>
    <w:p>
      <w:pPr>
        <w:spacing w:after="0" w:line="1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1.1.xiReserved.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1.1.xiiReserved.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1.1.xiiiLimitation on Negative Pledges.</w:t>
      </w:r>
    </w:p>
    <w:p>
      <w:pPr>
        <w:spacing w:after="0" w:line="173" w:lineRule="exact"/>
        <w:rPr>
          <w:sz w:val="20"/>
          <w:szCs w:val="20"/>
          <w:color w:val="auto"/>
        </w:rPr>
      </w:pPr>
    </w:p>
    <w:p>
      <w:pPr>
        <w:jc w:val="both"/>
        <w:ind w:left="1000"/>
        <w:spacing w:after="0" w:line="229" w:lineRule="auto"/>
        <w:rPr>
          <w:sz w:val="20"/>
          <w:szCs w:val="20"/>
          <w:color w:val="auto"/>
        </w:rPr>
      </w:pPr>
      <w:r>
        <w:rPr>
          <w:rFonts w:ascii="Times New Roman" w:cs="Times New Roman" w:eastAsia="Times New Roman" w:hAnsi="Times New Roman"/>
          <w:sz w:val="20"/>
          <w:szCs w:val="20"/>
          <w:color w:val="auto"/>
        </w:rPr>
        <w:t>Each of the Loan Parties shall not, and shall not permit any Subsidiary, to enter into or suffer to exist or become effective any agreement that prohibits or limits the ability of such Loan Party or any of its Subsidiaries to create, incur, assume or suffer to exist any Lien upon any of its property or revenues, whether now owned or hereafter acquired, to secure the Obligations, other than (a) this Agreement and the other Loan Documents (b) with respect to a Subsidiary imposed pursuant to an agreement that has been entered into in connection with a disposition of assets permitted under this Agreement of all or substantially all of the equity interests or assets of such Subsidiary, (c) any agreements governing any purchase money Liens or capital lease obligations otherwise permitted hereby (in which case, any prohibition or limitation shall only be effective against the assets financed thereby), (d) customary provisions restricting assignment of any licensing agreement (in which a Loan Party or its Subsidiaries are the licensee) with respect to a contract entered into by a Loan Party or its Subsidiaries in the ordinary course of business, (e) customary provisions restricting subletting, sublicensing or assignment of any intellectual property license or any lease governing any leasehold interests of a Loan Party and its Subsidiaries, (f) any agreements that are binding on a Person that becomes a Subsidiary of the Borrower (in which case, any prohibition or limitation shall only be effective against the assets financed thereby), and (g) customary restrictions that arise in connection with any Permitted Lien (in which case, any prohibition or limitation shall only be effective against the assets financed thereby).</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1.1.xivMaximum Consolidated Leverage Ratio.</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The Loan Parties shall not permit the Consolidated Leverage Ratio of the Borrower and its Subsidiaries, calculated as of the end of each fiscal quarter (commencing with the fiscal quarter ending September 30, 2018), to exceed 3.0 to 1.0.</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1.1.xvMinimum Consolidated Interest Coverage Ratio.</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The Loan Parties shall not permit the Consolidated Interest Coverage Ratio of the Borrower and its Subsidiaries, calculated as of the end of each fiscal quarter for the four (4) fiscal quarters then ended (commencing with the fiscal quarter ending September 30, 2018), to be less than 4.0 to 1.0.</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u w:val="single" w:color="auto"/>
          <w:color w:val="0000FF"/>
        </w:rPr>
        <w:t>1.1.xviSanctions and other Anti-Terrorism Laws.</w:t>
      </w:r>
    </w:p>
    <w:p>
      <w:pPr>
        <w:spacing w:after="0" w:line="173"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u w:val="single" w:color="auto"/>
          <w:color w:val="0000FF"/>
        </w:rPr>
        <w:t>Each Loan Party and its Subsidiaries will not: (i) become a Sanctioned Person or allow any employees, officers, directors, affiliates, consultants, brokers, or agents acting on its behalf in connection with this Agreement to become a Sanctioned Person; (ii) directly, or indirectly through a third party, engage in any transactions or other dealings with or for the benefit of any Sanctioned Person or Sanctioned Jurisdiction, including any use of the proceeds of the Loans to fund any operations in, finance any investments or activities in, or, make any payments to, a Sanctioned Person or Sanctioned Jurisdiction; (iii) repay the Loans with Embargoed Property or funds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derived from any unlawful activity</w:t>
      </w:r>
      <w:r>
        <w:rPr>
          <w:rFonts w:ascii="Times New Roman" w:cs="Times New Roman" w:eastAsia="Times New Roman" w:hAnsi="Times New Roman"/>
          <w:sz w:val="20"/>
          <w:szCs w:val="20"/>
          <w:u w:val="single" w:color="auto"/>
          <w:color w:val="0000FF"/>
        </w:rPr>
        <w:t>; or (iv) cause any Lender,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Administrative Agent or Collateral Agent to violate any Anti-Terrorism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-157480</wp:posOffset>
            </wp:positionV>
            <wp:extent cx="19894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1989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040"/>
          </w:cols>
          <w:pgMar w:left="520" w:top="1440" w:right="339" w:bottom="1440" w:gutter="0" w:footer="0" w:header="0"/>
        </w:sectPr>
      </w:pPr>
    </w:p>
    <w:bookmarkStart w:id="179" w:name="page180"/>
    <w:bookmarkEnd w:id="179"/>
    <w:p>
      <w:pPr>
        <w:spacing w:after="0" w:line="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1.1.xviiAnti-Corruption Laws.</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u w:val="single" w:color="auto"/>
          <w:color w:val="0000FF"/>
        </w:rPr>
        <w:t>Each Loan Party will not, and will not permit any its Subsidiaries to directly or indirectly, use the Loans or any proceeds thereof for any purpose which would breach any Anti-Corruption Laws in any jurisdiction in which any Covered Entity conducts business.</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1.c</w:t>
      </w:r>
      <w:r>
        <w:rPr>
          <w:sz w:val="20"/>
          <w:szCs w:val="20"/>
          <w:color w:val="auto"/>
        </w:rPr>
        <w:tab/>
      </w:r>
      <w:r>
        <w:rPr>
          <w:rFonts w:ascii="Times New Roman" w:cs="Times New Roman" w:eastAsia="Times New Roman" w:hAnsi="Times New Roman"/>
          <w:sz w:val="20"/>
          <w:szCs w:val="20"/>
          <w:color w:val="auto"/>
        </w:rPr>
        <w:t>Reporting Requirements.</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Loan Parties will furnish or cause to be furnished to the Administrative Agent and each of the Lenders: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1.1.iQuarterly Financial Statements.</w:t>
      </w:r>
    </w:p>
    <w:p>
      <w:pPr>
        <w:spacing w:after="0" w:line="173"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color w:val="auto"/>
        </w:rPr>
        <w:t>Within 45 days after the end of each of the first three quarterly periods of each fiscal year of the Borrower, the unaudited consolidated balance sheet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for the previous year, certified by the Chief Executive Officer, President or Chief Financial Officer of the Borrower (subject to normal year-end audit adjustments) as having been prepared in accordance with GAAP, consistently applied and setting forth in comparative form the respective financial statements for the corresponding date and period in the previous fiscal year.</w:t>
      </w:r>
    </w:p>
    <w:p>
      <w:pPr>
        <w:spacing w:after="0" w:line="1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1.1.iiAnnual Financial Statements.</w:t>
      </w:r>
    </w:p>
    <w:p>
      <w:pPr>
        <w:spacing w:after="0" w:line="173" w:lineRule="exact"/>
        <w:rPr>
          <w:sz w:val="20"/>
          <w:szCs w:val="20"/>
          <w:color w:val="auto"/>
        </w:rPr>
      </w:pPr>
    </w:p>
    <w:p>
      <w:pPr>
        <w:jc w:val="both"/>
        <w:ind w:left="1200"/>
        <w:spacing w:after="0" w:line="222" w:lineRule="auto"/>
        <w:rPr>
          <w:sz w:val="20"/>
          <w:szCs w:val="20"/>
          <w:color w:val="auto"/>
        </w:rPr>
      </w:pPr>
      <w:r>
        <w:rPr>
          <w:rFonts w:ascii="Times New Roman" w:cs="Times New Roman" w:eastAsia="Times New Roman" w:hAnsi="Times New Roman"/>
          <w:sz w:val="20"/>
          <w:szCs w:val="20"/>
          <w:color w:val="auto"/>
        </w:rPr>
        <w:t>Within 90 days after the end of each fiscal year of the Borrower, a copy of the audited consolidated balance sheet of the Borrower and its consolidated Subsidiaries as at the end of such year and the related audited consolidated statements of income and of cash flows for such year, setting forth in each case in comparative form the figures for the previous year, reported on without a "going concern" or like qualification or exception, or qualification arising out of the scope of the audit, by Ernst &amp; Young LLP or other independent certified public accountants of nationally recognized standing.</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1.1.iiiCertificate of the Borrower.</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Concurrently with the financial statements of the Borrower furnished to the Administrative Agent and to the Lenders pursuant to Sections 8.3.1 [Quarterly Financial Statements] and 8.3.2 [Annual Financial Statements], a certificate (each a "</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of the Borrower signed by the Chief Executive Officer, President or Chief Financial Officer of the Borrower, in the form of </w:t>
      </w:r>
      <w:r>
        <w:rPr>
          <w:rFonts w:ascii="Times New Roman" w:cs="Times New Roman" w:eastAsia="Times New Roman" w:hAnsi="Times New Roman"/>
          <w:sz w:val="20"/>
          <w:szCs w:val="20"/>
          <w:u w:val="single" w:color="auto"/>
          <w:color w:val="auto"/>
        </w:rPr>
        <w:t>Exhibit 8.3.3</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1.1.ivNotices.</w:t>
      </w:r>
    </w:p>
    <w:p>
      <w:pPr>
        <w:spacing w:after="0" w:line="173" w:lineRule="exact"/>
        <w:rPr>
          <w:sz w:val="20"/>
          <w:szCs w:val="20"/>
          <w:color w:val="auto"/>
        </w:rPr>
      </w:pPr>
    </w:p>
    <w:p>
      <w:pPr>
        <w:jc w:val="both"/>
        <w:ind w:right="320" w:firstLine="1993"/>
        <w:spacing w:after="0" w:line="230"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Promptly after any officer of any Loan Party has learned of the occurrence of an Event of Default or Potential Default, a certificate signed by an Authorized Officer setting forth the details of such Event of Default or Potential Default and the action which such Loan Party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71" w:lineRule="exact"/>
        <w:rPr>
          <w:sz w:val="20"/>
          <w:szCs w:val="20"/>
          <w:color w:val="auto"/>
        </w:rPr>
      </w:pPr>
    </w:p>
    <w:p>
      <w:pPr>
        <w:ind w:right="340" w:firstLine="1993"/>
        <w:spacing w:after="0" w:line="230"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Promptly after the commencement thereof, notice of all actions, suits, proceedings or investigations before or by any Official Body or any other Person against any Loan Party or Subsidiary of any Loan Party which would result in a Material Adverse Change.</w:t>
      </w:r>
    </w:p>
    <w:p>
      <w:pPr>
        <w:spacing w:after="0" w:line="144" w:lineRule="exact"/>
        <w:rPr>
          <w:sz w:val="20"/>
          <w:szCs w:val="20"/>
          <w:color w:val="auto"/>
        </w:rPr>
      </w:pPr>
    </w:p>
    <w:p>
      <w:pPr>
        <w:ind w:left="2000"/>
        <w:spacing w:after="0"/>
        <w:tabs>
          <w:tab w:leader="none" w:pos="300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firstLine="1993"/>
        <w:spacing w:after="0" w:line="225" w:lineRule="auto"/>
        <w:rPr>
          <w:sz w:val="20"/>
          <w:szCs w:val="20"/>
          <w:color w:val="auto"/>
        </w:rPr>
      </w:pPr>
      <w:r>
        <w:rPr>
          <w:rFonts w:ascii="Times New Roman" w:cs="Times New Roman" w:eastAsia="Times New Roman" w:hAnsi="Times New Roman"/>
          <w:sz w:val="20"/>
          <w:szCs w:val="20"/>
          <w:color w:val="auto"/>
        </w:rPr>
        <w:t xml:space="preserve">1.1.1.4 </w:t>
      </w:r>
      <w:r>
        <w:rPr>
          <w:rFonts w:ascii="Times New Roman" w:cs="Times New Roman" w:eastAsia="Times New Roman" w:hAnsi="Times New Roman"/>
          <w:sz w:val="20"/>
          <w:szCs w:val="20"/>
          <w:u w:val="single" w:color="auto"/>
          <w:color w:val="auto"/>
        </w:rPr>
        <w:t>Erroneous Financial Information</w:t>
      </w:r>
      <w:r>
        <w:rPr>
          <w:rFonts w:ascii="Times New Roman" w:cs="Times New Roman" w:eastAsia="Times New Roman" w:hAnsi="Times New Roman"/>
          <w:sz w:val="20"/>
          <w:szCs w:val="20"/>
          <w:color w:val="auto"/>
        </w:rPr>
        <w:t>. Promptly in the event that the Borrower or its accountants conclude or advise that any previously issued financial statement or audit report should no longer be relied upon or that disclosure should be made or action should be taken to prevent future reliance, notice in writing setting forth the details thereof and the action which the Borrower proposes to take with respect thereto.</w:t>
      </w:r>
    </w:p>
    <w:p>
      <w:pPr>
        <w:spacing w:after="0" w:line="144" w:lineRule="exact"/>
        <w:rPr>
          <w:sz w:val="20"/>
          <w:szCs w:val="20"/>
          <w:color w:val="auto"/>
        </w:rPr>
      </w:pPr>
    </w:p>
    <w:p>
      <w:pPr>
        <w:jc w:val="both"/>
        <w:ind w:right="60" w:firstLine="1993"/>
        <w:spacing w:after="0" w:line="242"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xml:space="preserve"> Promptly upon the occurrence of any ERISA Event which would constitute a Material Adverse Change, notice in writing setting forth the details thereof and the action which the Borrower proposes to take with respect thereto.</w:t>
      </w:r>
    </w:p>
    <w:p>
      <w:pPr>
        <w:spacing w:after="0" w:line="140" w:lineRule="exact"/>
        <w:rPr>
          <w:sz w:val="20"/>
          <w:szCs w:val="20"/>
          <w:color w:val="auto"/>
        </w:rPr>
      </w:pPr>
    </w:p>
    <w:p>
      <w:pPr>
        <w:ind w:left="2000"/>
        <w:spacing w:after="0"/>
        <w:tabs>
          <w:tab w:leader="none" w:pos="300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20"/>
          <w:szCs w:val="20"/>
          <w:u w:val="single" w:color="auto"/>
          <w:color w:val="auto"/>
        </w:rPr>
        <w:t>Other Reports</w:t>
      </w:r>
      <w:r>
        <w:rPr>
          <w:rFonts w:ascii="Times New Roman" w:cs="Times New Roman" w:eastAsia="Times New Roman" w:hAnsi="Times New Roman"/>
          <w:sz w:val="20"/>
          <w:szCs w:val="20"/>
          <w:color w:val="auto"/>
        </w:rPr>
        <w:t>. Promptly upon their becoming available to the Borrower:</w:t>
      </w:r>
    </w:p>
    <w:p>
      <w:pPr>
        <w:spacing w:after="0" w:line="173" w:lineRule="exact"/>
        <w:rPr>
          <w:sz w:val="20"/>
          <w:szCs w:val="20"/>
          <w:color w:val="auto"/>
        </w:rPr>
      </w:pPr>
    </w:p>
    <w:p>
      <w:pPr>
        <w:ind w:right="120" w:firstLine="1993"/>
        <w:spacing w:after="0" w:line="242" w:lineRule="auto"/>
        <w:tabs>
          <w:tab w:leader="none" w:pos="240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Budget</w:t>
      </w:r>
      <w:r>
        <w:rPr>
          <w:rFonts w:ascii="Times New Roman" w:cs="Times New Roman" w:eastAsia="Times New Roman" w:hAnsi="Times New Roman"/>
          <w:sz w:val="20"/>
          <w:szCs w:val="20"/>
          <w:color w:val="auto"/>
        </w:rPr>
        <w:t>. The annual budget and any forecasts or projections of the Borrower, to be supplied not later than thirty (30) days after commencement of the fiscal year to which any of the foregoing may be applicable,</w:t>
      </w:r>
    </w:p>
    <w:p>
      <w:pPr>
        <w:spacing w:after="0" w:line="140" w:lineRule="exact"/>
        <w:rPr>
          <w:rFonts w:ascii="Times New Roman" w:cs="Times New Roman" w:eastAsia="Times New Roman" w:hAnsi="Times New Roman"/>
          <w:sz w:val="20"/>
          <w:szCs w:val="20"/>
          <w:color w:val="auto"/>
        </w:rPr>
      </w:pPr>
    </w:p>
    <w:p>
      <w:pPr>
        <w:ind w:right="240" w:firstLine="1993"/>
        <w:spacing w:after="0" w:line="242" w:lineRule="auto"/>
        <w:tabs>
          <w:tab w:leader="none" w:pos="240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Management Letters</w:t>
      </w:r>
      <w:r>
        <w:rPr>
          <w:rFonts w:ascii="Times New Roman" w:cs="Times New Roman" w:eastAsia="Times New Roman" w:hAnsi="Times New Roman"/>
          <w:sz w:val="20"/>
          <w:szCs w:val="20"/>
          <w:color w:val="auto"/>
        </w:rPr>
        <w:t>. Any reports including management letters submitted to the Borrower by independent accountants in connection with any annual, interim or special audit,</w:t>
      </w:r>
    </w:p>
    <w:p>
      <w:pPr>
        <w:spacing w:after="0" w:line="140" w:lineRule="exact"/>
        <w:rPr>
          <w:rFonts w:ascii="Times New Roman" w:cs="Times New Roman" w:eastAsia="Times New Roman" w:hAnsi="Times New Roman"/>
          <w:sz w:val="20"/>
          <w:szCs w:val="20"/>
          <w:color w:val="auto"/>
        </w:rPr>
      </w:pPr>
    </w:p>
    <w:p>
      <w:pPr>
        <w:ind w:right="100" w:firstLine="1993"/>
        <w:spacing w:after="0" w:line="230" w:lineRule="auto"/>
        <w:tabs>
          <w:tab w:leader="none" w:pos="240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Reports; Shareholder Communications</w:t>
      </w:r>
      <w:r>
        <w:rPr>
          <w:rFonts w:ascii="Times New Roman" w:cs="Times New Roman" w:eastAsia="Times New Roman" w:hAnsi="Times New Roman"/>
          <w:sz w:val="20"/>
          <w:szCs w:val="20"/>
          <w:color w:val="auto"/>
        </w:rPr>
        <w:t>. Reports, including Forms 10-K, 10-Q and 8-K, registration statements and prospectuses and other shareholder communications, filed by the Borrower with the Securities and Exchange Commission, and</w:t>
      </w:r>
    </w:p>
    <w:p>
      <w:pPr>
        <w:spacing w:after="0" w:line="137"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Such other reports and information as any of the Lenders may from time to time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request.</w:t>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1.1.vDelivery.</w:t>
      </w:r>
    </w:p>
    <w:p>
      <w:pPr>
        <w:spacing w:after="0" w:line="173" w:lineRule="exact"/>
        <w:rPr>
          <w:sz w:val="20"/>
          <w:szCs w:val="20"/>
          <w:color w:val="auto"/>
        </w:rPr>
      </w:pPr>
    </w:p>
    <w:p>
      <w:pPr>
        <w:jc w:val="both"/>
        <w:ind w:left="1200"/>
        <w:spacing w:after="0" w:line="222" w:lineRule="auto"/>
        <w:rPr>
          <w:sz w:val="20"/>
          <w:szCs w:val="20"/>
          <w:color w:val="auto"/>
        </w:rPr>
      </w:pPr>
      <w:r>
        <w:rPr>
          <w:rFonts w:ascii="Times New Roman" w:cs="Times New Roman" w:eastAsia="Times New Roman" w:hAnsi="Times New Roman"/>
          <w:sz w:val="20"/>
          <w:szCs w:val="20"/>
          <w:color w:val="auto"/>
        </w:rPr>
        <w:t>Information required to be delivered pursuant to Article 8 shall be deemed to have been delivered to the Lenders on the date on which such information has been posted on the Borrower's website on the Internet at www.gentex.com or is available on the website of the SEC at www.sec.gov (to the extent such information has been posted or is available as described in such notice). Information required to be delivered pursuant to Article 8 may also be delivered by electronic communication pursuant to procedures approved by the Administrative Agent pursuant to Section 11.5.2 [Electronic Communications].</w:t>
      </w:r>
    </w:p>
    <w:p>
      <w:pPr>
        <w:spacing w:after="0" w:line="144" w:lineRule="exact"/>
        <w:rPr>
          <w:sz w:val="20"/>
          <w:szCs w:val="20"/>
          <w:color w:val="auto"/>
        </w:rPr>
      </w:pPr>
    </w:p>
    <w:p>
      <w:pPr>
        <w:ind w:left="5480" w:hanging="600"/>
        <w:spacing w:after="0"/>
        <w:tabs>
          <w:tab w:leader="none" w:pos="54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w:t>
      </w:r>
    </w:p>
    <w:p>
      <w:pPr>
        <w:spacing w:after="0" w:line="17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19"/>
          <w:szCs w:val="19"/>
          <w:color w:val="auto"/>
        </w:rPr>
        <w:t>Events of Default.</w:t>
      </w:r>
    </w:p>
    <w:p>
      <w:pPr>
        <w:spacing w:after="0" w:line="173" w:lineRule="exact"/>
        <w:rPr>
          <w:sz w:val="20"/>
          <w:szCs w:val="20"/>
          <w:color w:val="auto"/>
        </w:rPr>
      </w:pPr>
    </w:p>
    <w:p>
      <w:pPr>
        <w:ind w:left="1200"/>
        <w:spacing w:after="0" w:line="242" w:lineRule="auto"/>
        <w:rPr>
          <w:sz w:val="20"/>
          <w:szCs w:val="20"/>
          <w:color w:val="auto"/>
        </w:rPr>
      </w:pPr>
      <w:r>
        <w:rPr>
          <w:rFonts w:ascii="Times New Roman" w:cs="Times New Roman" w:eastAsia="Times New Roman" w:hAnsi="Times New Roman"/>
          <w:sz w:val="20"/>
          <w:szCs w:val="20"/>
          <w:color w:val="auto"/>
        </w:rPr>
        <w:t>An Event of Default shall mean the occurrence or existence of any one or more of the following events or conditions (whatever the reason therefor and whether voluntary, involuntary or effected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1.1.iPayments Under Loan Documents.</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The Borrower shall fail to pay any principal of any Loan (including scheduled installments, mandatory prepayments or the payment due at maturity), Reimbursement Obligation or Letter of Credit or Obligation or any interest on any Loan, Reimbursement Obligation or Letter of Credit Obligation or any other amount owing hereunder or under the other Loan Documents on the date on which such principal becomes due in accordance with the terms hereof or thereof and, in the case of interest or any other amount, within three (3) Business Days of such interest or other amount becoming due in accordance with the terms hereof or thereof;</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1.1.iiBreach of Warranty.</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color w:val="auto"/>
        </w:rPr>
        <w:t>Any representation or warranty made at any time by any of the Loan Parties herein or by any of the Loan Parties in any other Loan Document, or in any certificate, other instrument or statement furnished pursuant to the provisions hereof or thereof, shall prove to have been false or misleading in any material respect as of the time it was made or furnished;</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1.1.iiiReserved.</w:t>
      </w: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1.1.ivBreach of Negative Covenants, Anti-Terrorism Laws or Notice of Default.</w:t>
      </w:r>
    </w:p>
    <w:p>
      <w:pPr>
        <w:spacing w:after="0" w:line="173"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20"/>
          <w:szCs w:val="20"/>
          <w:color w:val="auto"/>
        </w:rPr>
        <w:t>Any of the Loan Parties shall default in the observance or performance of any covenant contained in Section 8.1.8 [</w:t>
      </w:r>
      <w:r>
        <w:rPr>
          <w:rFonts w:ascii="Times New Roman" w:cs="Times New Roman" w:eastAsia="Times New Roman" w:hAnsi="Times New Roman"/>
          <w:sz w:val="20"/>
          <w:szCs w:val="20"/>
          <w:u w:val="single" w:color="auto"/>
          <w:color w:val="0000FF"/>
        </w:rPr>
        <w:t>Sanctions and other</w:t>
      </w:r>
      <w:r>
        <w:rPr>
          <w:rFonts w:ascii="Times New Roman" w:cs="Times New Roman" w:eastAsia="Times New Roman" w:hAnsi="Times New Roman"/>
          <w:sz w:val="20"/>
          <w:szCs w:val="20"/>
          <w:color w:val="auto"/>
        </w:rPr>
        <w:t xml:space="preserve"> Anti-Terrorism Laws</w:t>
      </w:r>
      <w:r>
        <w:rPr>
          <w:rFonts w:ascii="Times New Roman" w:cs="Times New Roman" w:eastAsia="Times New Roman" w:hAnsi="Times New Roman"/>
          <w:sz w:val="20"/>
          <w:szCs w:val="20"/>
          <w:color w:val="FF0000"/>
          <w:strike w:val="1"/>
        </w:rPr>
        <w:t>; International Trade Law Compliance</w:t>
      </w:r>
      <w:r>
        <w:rPr>
          <w:rFonts w:ascii="Times New Roman" w:cs="Times New Roman" w:eastAsia="Times New Roman" w:hAnsi="Times New Roman"/>
          <w:sz w:val="20"/>
          <w:szCs w:val="20"/>
          <w:color w:val="auto"/>
        </w:rPr>
        <w:t>], Section 8.2 [Negative Covenants] or Section 8.3.4.1 [Default];</w:t>
      </w:r>
    </w:p>
    <w:p>
      <w:pPr>
        <w:spacing w:after="0" w:line="14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1.1.vBreach of Other Covenants.</w:t>
      </w:r>
    </w:p>
    <w:p>
      <w:pPr>
        <w:spacing w:after="0" w:line="17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Any of the Loan Parties shall default in the observance or performance of any other covenant, condition or provision hereof or of any other Loan Document and such default shall continue unremedied for a period of thirty (30) days from receipt of notice to the defaulting party by the Administrative Agent;</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1.1.viDefaults in Other Agreements or Indebtedness.</w:t>
      </w:r>
    </w:p>
    <w:p>
      <w:pPr>
        <w:spacing w:after="0" w:line="173" w:lineRule="exact"/>
        <w:rPr>
          <w:sz w:val="20"/>
          <w:szCs w:val="20"/>
          <w:color w:val="auto"/>
        </w:rPr>
      </w:pPr>
    </w:p>
    <w:p>
      <w:pPr>
        <w:jc w:val="both"/>
        <w:ind w:left="1200"/>
        <w:spacing w:after="0"/>
        <w:rPr>
          <w:sz w:val="20"/>
          <w:szCs w:val="20"/>
          <w:color w:val="auto"/>
        </w:rPr>
      </w:pPr>
      <w:r>
        <w:rPr>
          <w:rFonts w:ascii="Times New Roman" w:cs="Times New Roman" w:eastAsia="Times New Roman" w:hAnsi="Times New Roman"/>
          <w:sz w:val="20"/>
          <w:szCs w:val="20"/>
          <w:color w:val="auto"/>
        </w:rPr>
        <w:t>A default or event of default shall occur (after giving effect to the cure periods, if any, applicable thereto) at any time under the terms of any other agreement involving borrowed money or the extension of credit or any other Indebtedness under which any Loan Party or Subsidiary of any Loan Party may be obligated as a borrower or guarantor in excess of $35,000,000 in the aggregate, and such default or event of default consists of the failure to pay (beyond any period of grace permitted with respect thereto) any Indebtedness when due (whether at stated maturity, by acceleration or otherwise) or if such default or event of default permits or causes the acceleration of any Indebtedness or the termination of any commitment to lend;</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1.1.viiFinal Judgments or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71"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Any final judgments or orders for the payment of money in excess of $35,000,000 in the aggregate (excluding liabilities to the extent paid or covered by insurance as to which the relevant insurance company has not disputed coverage) shall be entered against any Loan Party by a court having jurisdiction in the premises, which judgment is not discharged, vacated, bonded or stayed pending appeal within a period of thirty (30) days from the date of entry;</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1.1.viiiLoan Document Unenforceable.</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1.1.ixEvents Relating to Benefit Arrangements, Pension Plans and Multiemployer Plans.</w:t>
      </w:r>
    </w:p>
    <w:p>
      <w:pPr>
        <w:spacing w:after="0" w:line="173" w:lineRule="exact"/>
        <w:rPr>
          <w:sz w:val="20"/>
          <w:szCs w:val="20"/>
          <w:color w:val="auto"/>
        </w:rPr>
      </w:pPr>
    </w:p>
    <w:p>
      <w:pPr>
        <w:ind w:left="-200" w:right="20" w:firstLine="1993"/>
        <w:spacing w:after="0" w:line="220" w:lineRule="auto"/>
        <w:tabs>
          <w:tab w:leader="none" w:pos="225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 ERISA Event occurs with respect to a Pension Plan which has resulted or could reasonably be expected to result in liability of any member of the ERISA Group under Title IV of ERISA in an aggregate amount which could reasonably be expected to result in a Material Adverse Change, or (ii) any member of the ERISA Group fails to pay when, as a matter of law, due, after the expiration of any applicable grace period, any installment payment with respect to its assessed (whether or not review and appeal is pending) withdrawal liability under Section 4201 of ERISA under a Multiemployer Plan, where the failure to make such payment of the aggregate amount of unamortized withdrawal liability has resulted or could reasonably be expected to result in a Material Adverse Change;</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1.1.xChange of Control.</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A Change of Control shall occur; or</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1.1.xiRelief Proceedings.</w:t>
      </w:r>
    </w:p>
    <w:p>
      <w:pPr>
        <w:spacing w:after="0" w:line="173" w:lineRule="exact"/>
        <w:rPr>
          <w:sz w:val="20"/>
          <w:szCs w:val="20"/>
          <w:color w:val="auto"/>
        </w:rPr>
      </w:pPr>
    </w:p>
    <w:p>
      <w:pPr>
        <w:jc w:val="both"/>
        <w:ind w:left="1000" w:firstLine="8"/>
        <w:spacing w:after="0" w:line="225" w:lineRule="auto"/>
        <w:tabs>
          <w:tab w:leader="none" w:pos="129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Proceeding shall have been instituted against any Loan Party and such Relief Proceeding shall remain undismissed or unstayed and in effect for a period of sixty (60) consecutive days or such court shall enter a decree or order granting any of the relief sought in such Relief Proceeding, (ii) any Loan Party institutes, or takes any action in furtherance of, a Relief Proceeding, or (iii) any Loan Party admits in writing its inability to pay its debts as they mature.</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Consequences of Event of Default.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1.1.iEvents of Default Other Than Bankruptcy, Insolvency or Reorganization Proceedings.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If an Event of Default specified under Sections 9.1.1 through 9.1.10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040"/>
          </w:cols>
          <w:pgMar w:left="520" w:top="1440" w:right="339" w:bottom="1440" w:gutter="0" w:footer="0" w:header="0"/>
        </w:sectPr>
      </w:pPr>
    </w:p>
    <w:bookmarkStart w:id="183" w:name="page184"/>
    <w:bookmarkEnd w:id="183"/>
    <w:p>
      <w:pPr>
        <w:spacing w:after="0" w:line="71"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declare the unpaid principal amount of the Notes then outstanding and all interest accrued thereon, any unpaid fees and all other Indebtedness of the Borrower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expressly waived, and (ii) require the Borrower to, and the Borrower shall thereupon,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 hereby pledges to the Administrative Agent and the Lenders, and grants to the Administrative Agent and the Lenders a security interest in, all such cash as security for such Obligations; and</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1.1.iiBankruptcy, Insolvency or Reorganization Proceedings.</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If an Event of Default specified under Section 9.1.11 [Relief Proceedings] shall occur and be continuing, the Lenders shall be under no further obligations to make Loans hereunder and the Issuing Lender shall be under no obligation to issue Letters of Credit and the unpaid principal amount of the Loans then outstanding and all interest accrued thereon, any unpaid fees and all other Indebtedness of the Borrower to the Lenders hereunder and thereunder shall be immediately due and payable, without presentment, demand, protest or notice of any kind, all of which are hereby expressly waived; and</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1.1.iiiSet-off.</w:t>
      </w:r>
    </w:p>
    <w:p>
      <w:pPr>
        <w:spacing w:after="0" w:line="173"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color w:val="auto"/>
        </w:rPr>
        <w:t>If an Event of Default shall have occurred and be continuing, each Lender, the Issuing Lender, and each of their respective Affiliates and any participant of such Lender or Affiliate which has agreed in writing to be bound by the provisions of Section 5.3 [Sharing of Payments by Lenders]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 or such Loan Party may be contingent or unmatured or are owed to a branch or office of such Lender or the Issuing Lender different from the branch or office holding such deposit or obligated on such Indebtedness</w:t>
      </w:r>
      <w:r>
        <w:rPr>
          <w:rFonts w:ascii="Times New Roman" w:cs="Times New Roman" w:eastAsia="Times New Roman" w:hAnsi="Times New Roman"/>
          <w:sz w:val="20"/>
          <w:szCs w:val="20"/>
          <w:u w:val="single" w:color="auto"/>
          <w:color w:val="0000FF"/>
        </w:rPr>
        <w:t>, provided that in the event that any Defaulting Lender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exercise any such right of setoff, (x) all amounts so set off shall be paid over immediately to the Administrative Agent for further application in accordance with the provisions of Section 2.11 [Defaulting Lenders] and, pending such payment, shall be segregated by such Defaulting Lender from its other funds and deemed held in trust for the benefit of the Administrative Agent, the Issuing Lenders, and the Lenders, and (y) the Defaulting Lender shall provide promptly to the Administrative Agent a statement describing in reasonable detail the Obligations owing to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040"/>
          </w:cols>
          <w:pgMar w:left="520" w:top="1440" w:right="339" w:bottom="1440" w:gutter="0" w:footer="0" w:header="0"/>
        </w:sectPr>
      </w:pPr>
    </w:p>
    <w:bookmarkStart w:id="184" w:name="page185"/>
    <w:bookmarkEnd w:id="184"/>
    <w:p>
      <w:pPr>
        <w:spacing w:after="0" w:line="71"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u w:val="single" w:color="auto"/>
          <w:color w:val="0000FF"/>
        </w:rPr>
        <w:t>as to which it exercised such right of setoff</w:t>
      </w:r>
      <w:r>
        <w:rPr>
          <w:rFonts w:ascii="Times New Roman" w:cs="Times New Roman" w:eastAsia="Times New Roman" w:hAnsi="Times New Roman"/>
          <w:sz w:val="20"/>
          <w:szCs w:val="20"/>
          <w:color w:val="000000"/>
        </w:rPr>
        <w:t>. The rights of each Lender, the Issuing Lender and their respective Affiliates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participants under this Section are in addition to other rights and remedies (including other rights of setoff) that such Lender, the Issuing Lender or their respective Affiliates and participants may have. Each Lender and the Issuing Lender agrees to notify the Borrower and the Administrative Agent promptly after any such setoff and application; provided that the failure to give such notice shall not affect the validity of such setoff and application. The provisions of this Section 9.2.3 are solely for the benefit of the Lenders and the Issuing Lender (and their Affiliates and participants), and neither the Borrower nor any other Loan Party shall have rights as a third party beneficiary of any of such provisions; and</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1.1.ivApplication of Proceeds.</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From and after the date on which the Administrative Agent has taken any action pursuant to this Section 9.2 and until Payment in Full, any and all proceeds received by the Administrative Agent from any sale or other disposition of any assets of any Loan Party after entry of judgment, or any part thereof, or the exercise of any other remedy by the Administrative Agent, shall be applied as follows:</w:t>
      </w:r>
    </w:p>
    <w:p>
      <w:pPr>
        <w:spacing w:after="0" w:line="144" w:lineRule="exact"/>
        <w:rPr>
          <w:sz w:val="20"/>
          <w:szCs w:val="20"/>
          <w:color w:val="auto"/>
        </w:rPr>
      </w:pPr>
    </w:p>
    <w:p>
      <w:pPr>
        <w:ind w:right="40" w:firstLine="1993"/>
        <w:spacing w:after="0" w:line="225" w:lineRule="auto"/>
        <w:tabs>
          <w:tab w:leader="none" w:pos="240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attorney fees, payable to the Administrative Agent in its capacity as such, the Issuing Lender in its capacity as such and the Swing Loan Lender in its capacity as such, ratably among the Administrative Agent, the Issuing Lender and Swing Loan Lender in proportion to the respective amounts described in this clause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payable to them;</w:t>
      </w:r>
    </w:p>
    <w:p>
      <w:pPr>
        <w:spacing w:after="0" w:line="143" w:lineRule="exact"/>
        <w:rPr>
          <w:rFonts w:ascii="Times New Roman" w:cs="Times New Roman" w:eastAsia="Times New Roman" w:hAnsi="Times New Roman"/>
          <w:sz w:val="20"/>
          <w:szCs w:val="20"/>
          <w:color w:val="auto"/>
        </w:rPr>
      </w:pPr>
    </w:p>
    <w:p>
      <w:pPr>
        <w:ind w:right="60" w:firstLine="1993"/>
        <w:spacing w:after="0" w:line="230" w:lineRule="auto"/>
        <w:tabs>
          <w:tab w:leader="none" w:pos="240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43" w:lineRule="exact"/>
        <w:rPr>
          <w:rFonts w:ascii="Times New Roman" w:cs="Times New Roman" w:eastAsia="Times New Roman" w:hAnsi="Times New Roman"/>
          <w:sz w:val="20"/>
          <w:szCs w:val="20"/>
          <w:color w:val="auto"/>
        </w:rPr>
      </w:pPr>
    </w:p>
    <w:p>
      <w:pPr>
        <w:ind w:right="80" w:firstLine="1993"/>
        <w:spacing w:after="0" w:line="230" w:lineRule="auto"/>
        <w:tabs>
          <w:tab w:leader="none" w:pos="240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interest on the Loans and Reimbursement Obligations, ratably among the Lenders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43" w:lineRule="exact"/>
        <w:rPr>
          <w:rFonts w:ascii="Times New Roman" w:cs="Times New Roman" w:eastAsia="Times New Roman" w:hAnsi="Times New Roman"/>
          <w:sz w:val="20"/>
          <w:szCs w:val="20"/>
          <w:color w:val="auto"/>
        </w:rPr>
      </w:pPr>
    </w:p>
    <w:p>
      <w:pPr>
        <w:ind w:right="100" w:firstLine="1993"/>
        <w:spacing w:after="0" w:line="222" w:lineRule="auto"/>
        <w:tabs>
          <w:tab w:leader="none" w:pos="240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Reimbursement Obligations and payment obligations then owing under Lender Provided Interest Rate Hedges, Lender Provided Foreign Currency Hedges, and Other Lender Provided Financial Service Products, ratably among the Lenders, the Issuing Lender, and the Lenders or Affiliates of Lenders which provide Lender Provided Interest Rate Hedges, Lender Provided Foreign Currency Hedges and Other Lender Provided Financial Service Products,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44" w:lineRule="exact"/>
        <w:rPr>
          <w:rFonts w:ascii="Times New Roman" w:cs="Times New Roman" w:eastAsia="Times New Roman" w:hAnsi="Times New Roman"/>
          <w:sz w:val="20"/>
          <w:szCs w:val="20"/>
          <w:color w:val="auto"/>
        </w:rPr>
      </w:pPr>
    </w:p>
    <w:p>
      <w:pPr>
        <w:ind w:right="280" w:firstLine="1993"/>
        <w:spacing w:after="0" w:line="242" w:lineRule="auto"/>
        <w:tabs>
          <w:tab w:leader="none" w:pos="240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Administrative Agent for the account of the Issuing Lender, to cash collateralize any undrawn amounts under outstanding Letters of Credit; and</w:t>
      </w:r>
    </w:p>
    <w:p>
      <w:pPr>
        <w:spacing w:after="0" w:line="140" w:lineRule="exact"/>
        <w:rPr>
          <w:rFonts w:ascii="Times New Roman" w:cs="Times New Roman" w:eastAsia="Times New Roman" w:hAnsi="Times New Roman"/>
          <w:sz w:val="20"/>
          <w:szCs w:val="20"/>
          <w:color w:val="auto"/>
        </w:rPr>
      </w:pPr>
    </w:p>
    <w:p>
      <w:pPr>
        <w:ind w:left="2400" w:hanging="407"/>
        <w:spacing w:after="0"/>
        <w:tabs>
          <w:tab w:leader="none" w:pos="24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to the Loan Parties or as required by Law.</w:t>
      </w:r>
    </w:p>
    <w:p>
      <w:pPr>
        <w:spacing w:after="0" w:line="173"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20"/>
          <w:szCs w:val="20"/>
          <w:color w:val="auto"/>
        </w:rPr>
        <w:t>Notwithstanding anything to the contrary in this Section 9.2.4, no Swap Obligations of any Non-Qualifying Party shall be paid with amounts received from such Non-Qualifying Party under its Guaranty Agreement (including sums received as a result of the exercise of remedies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71"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20"/>
          <w:szCs w:val="20"/>
          <w:color w:val="auto"/>
        </w:rPr>
        <w:t>respect to such Guaranty Agreement) or from the proceeds of such Non-Qualifying Party's collateral for the Obligations (if any) if such Swap Obligations would constitute Excluded Hedge Liabilities; provided, however, that to the extent possible appropriate adjustments shall be made with respect to payments and/or the proceeds of collateral for the Obligations (if any) from other Loan Parties that are Eligible Contract Participants with respect to such Swap Obligations to preserve the allocation to Obligations otherwise set forth above in this Section 9.2.4.</w:t>
      </w:r>
    </w:p>
    <w:p>
      <w:pPr>
        <w:spacing w:after="0" w:line="144" w:lineRule="exact"/>
        <w:rPr>
          <w:sz w:val="20"/>
          <w:szCs w:val="20"/>
          <w:color w:val="auto"/>
        </w:rPr>
      </w:pPr>
    </w:p>
    <w:p>
      <w:pPr>
        <w:ind w:left="4480" w:hanging="595"/>
        <w:spacing w:after="0"/>
        <w:tabs>
          <w:tab w:leader="none" w:pos="44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w:t>
      </w:r>
    </w:p>
    <w:p>
      <w:pPr>
        <w:spacing w:after="0" w:line="17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20"/>
          <w:szCs w:val="20"/>
          <w:color w:val="auto"/>
        </w:rPr>
        <w:t>Appointment and Authority.</w:t>
      </w:r>
    </w:p>
    <w:p>
      <w:pPr>
        <w:spacing w:after="0" w:line="173" w:lineRule="exact"/>
        <w:rPr>
          <w:sz w:val="20"/>
          <w:szCs w:val="20"/>
          <w:color w:val="auto"/>
        </w:rPr>
      </w:pPr>
    </w:p>
    <w:p>
      <w:pPr>
        <w:jc w:val="both"/>
        <w:ind w:left="1200"/>
        <w:spacing w:after="0" w:line="216" w:lineRule="auto"/>
        <w:rPr>
          <w:sz w:val="20"/>
          <w:szCs w:val="20"/>
          <w:color w:val="auto"/>
        </w:rPr>
      </w:pPr>
      <w:r>
        <w:rPr>
          <w:rFonts w:ascii="Times New Roman" w:cs="Times New Roman" w:eastAsia="Times New Roman" w:hAnsi="Times New Roman"/>
          <w:sz w:val="20"/>
          <w:szCs w:val="20"/>
          <w:color w:val="auto"/>
        </w:rPr>
        <w:t>Each of the Lenders and the Issuing Lender hereby irrevocably appoints PNC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10 are solely for the benefit of the Administrative Agent, the Lenders and the Issuing Lender, and neither the Borrower nor any other Loan Party shall have rights as a third party beneficiary of any of such provisions</w:t>
      </w:r>
      <w:r>
        <w:rPr>
          <w:rFonts w:ascii="Times New Roman" w:cs="Times New Roman" w:eastAsia="Times New Roman" w:hAnsi="Times New Roman"/>
          <w:sz w:val="20"/>
          <w:szCs w:val="20"/>
          <w:u w:val="single" w:color="auto"/>
          <w:color w:val="0000FF"/>
        </w:rPr>
        <w:t>. It is understood and agreed that the use of the term “agent”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r>
        <w:rPr>
          <w:rFonts w:ascii="Times New Roman" w:cs="Times New Roman" w:eastAsia="Times New Roman" w:hAnsi="Times New Roman"/>
          <w:sz w:val="20"/>
          <w:szCs w:val="20"/>
          <w:color w:val="000000"/>
        </w:rPr>
        <w:t>.</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Rights as a Lender.</w:t>
      </w:r>
    </w:p>
    <w:p>
      <w:pPr>
        <w:spacing w:after="0" w:line="173"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4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1.c</w:t>
      </w:r>
      <w:r>
        <w:rPr>
          <w:sz w:val="20"/>
          <w:szCs w:val="20"/>
          <w:color w:val="auto"/>
        </w:rPr>
        <w:tab/>
      </w:r>
      <w:r>
        <w:rPr>
          <w:rFonts w:ascii="Times New Roman" w:cs="Times New Roman" w:eastAsia="Times New Roman" w:hAnsi="Times New Roman"/>
          <w:sz w:val="20"/>
          <w:szCs w:val="20"/>
          <w:color w:val="auto"/>
        </w:rPr>
        <w:t>Exculpatory Provisions.</w:t>
      </w:r>
    </w:p>
    <w:p>
      <w:pPr>
        <w:spacing w:after="0" w:line="16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set forth herein and in the other</w:t>
      </w:r>
    </w:p>
    <w:p>
      <w:pPr>
        <w:ind w:left="1200"/>
        <w:spacing w:after="0"/>
        <w:rPr>
          <w:sz w:val="20"/>
          <w:szCs w:val="20"/>
          <w:color w:val="auto"/>
        </w:rPr>
      </w:pPr>
      <w:r>
        <w:rPr>
          <w:rFonts w:ascii="Times New Roman" w:cs="Times New Roman" w:eastAsia="Times New Roman" w:hAnsi="Times New Roman"/>
          <w:sz w:val="20"/>
          <w:szCs w:val="20"/>
          <w:color w:val="auto"/>
        </w:rPr>
        <w:t>Loan Documents. Without limiting the generality of the foregoing, the Administrative Agent:</w:t>
      </w:r>
    </w:p>
    <w:p>
      <w:pPr>
        <w:spacing w:after="0" w:line="151" w:lineRule="exact"/>
        <w:rPr>
          <w:sz w:val="20"/>
          <w:szCs w:val="20"/>
          <w:color w:val="auto"/>
        </w:rPr>
      </w:pPr>
    </w:p>
    <w:p>
      <w:pPr>
        <w:ind w:right="80" w:firstLine="2383"/>
        <w:spacing w:after="0" w:line="242" w:lineRule="auto"/>
        <w:tabs>
          <w:tab w:leader="none" w:pos="301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Potential Default or Event of Default has occurred and is continuing;</w:t>
      </w:r>
    </w:p>
    <w:p>
      <w:pPr>
        <w:spacing w:after="0" w:line="140" w:lineRule="exact"/>
        <w:rPr>
          <w:rFonts w:ascii="Times New Roman" w:cs="Times New Roman" w:eastAsia="Times New Roman" w:hAnsi="Times New Roman"/>
          <w:sz w:val="20"/>
          <w:szCs w:val="20"/>
          <w:color w:val="auto"/>
        </w:rPr>
      </w:pPr>
    </w:p>
    <w:p>
      <w:pPr>
        <w:jc w:val="both"/>
        <w:ind w:right="140" w:firstLine="2327"/>
        <w:spacing w:after="0" w:line="230" w:lineRule="auto"/>
        <w:tabs>
          <w:tab w:leader="none" w:pos="301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71"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 xml:space="preserve">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44" w:lineRule="exact"/>
        <w:rPr>
          <w:sz w:val="20"/>
          <w:szCs w:val="20"/>
          <w:color w:val="auto"/>
        </w:rPr>
      </w:pPr>
    </w:p>
    <w:p>
      <w:pPr>
        <w:ind w:right="440" w:firstLine="2271"/>
        <w:spacing w:after="0" w:line="230" w:lineRule="auto"/>
        <w:tabs>
          <w:tab w:leader="none" w:pos="301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44"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11.1 [Modifications, Amendments or Waivers] and 9.2 [Consequences of Event of Default]) or (ii) in the absence of its own gross negligence or willful misconduct. The Administrative Agent shall be deemed not to have knowledge of any Potential Default or Event of Default unless and until notice describing such Potential Default or Event of Default is given to the Administrative Agent by the Borrower, a Lender or the Issuing Lender.</w:t>
      </w:r>
    </w:p>
    <w:p>
      <w:pPr>
        <w:spacing w:after="0" w:line="141" w:lineRule="exact"/>
        <w:rPr>
          <w:sz w:val="20"/>
          <w:szCs w:val="20"/>
          <w:color w:val="auto"/>
        </w:rPr>
      </w:pPr>
    </w:p>
    <w:p>
      <w:pPr>
        <w:jc w:val="both"/>
        <w:ind w:left="1200"/>
        <w:spacing w:after="0" w:line="217"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Article 7 [Conditions of Lending and Issuance of Letters of Credit] or elsewhere herein, other than to confirm receipt of items expressly required to be delivered to the Administrative Agent.</w:t>
      </w:r>
    </w:p>
    <w:p>
      <w:pPr>
        <w:spacing w:after="0" w:line="148"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1.d</w:t>
      </w:r>
      <w:r>
        <w:rPr>
          <w:sz w:val="20"/>
          <w:szCs w:val="20"/>
          <w:color w:val="auto"/>
        </w:rPr>
        <w:tab/>
      </w:r>
      <w:r>
        <w:rPr>
          <w:rFonts w:ascii="Times New Roman" w:cs="Times New Roman" w:eastAsia="Times New Roman" w:hAnsi="Times New Roman"/>
          <w:sz w:val="20"/>
          <w:szCs w:val="20"/>
          <w:color w:val="auto"/>
        </w:rPr>
        <w:t>Reliance by Administrative Agent.</w:t>
      </w:r>
    </w:p>
    <w:p>
      <w:pPr>
        <w:spacing w:after="0" w:line="173" w:lineRule="exact"/>
        <w:rPr>
          <w:sz w:val="20"/>
          <w:szCs w:val="20"/>
          <w:color w:val="auto"/>
        </w:rPr>
      </w:pPr>
    </w:p>
    <w:p>
      <w:pPr>
        <w:jc w:val="both"/>
        <w:ind w:left="1200"/>
        <w:spacing w:after="0" w:line="215"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amendment or extension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amendment or extension, as the case may be, of such Letter of Credit. The Administrative Agent may consult with legal counsel (who may be counsel for the Borrower), independent accountants and other experts selected by 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71"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shall not be liable for any action taken or not taken by it in accordance with the advice of any such counsel, accountants or experts.</w:t>
      </w:r>
    </w:p>
    <w:p>
      <w:pPr>
        <w:spacing w:after="0" w:line="140"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1.e</w:t>
      </w:r>
      <w:r>
        <w:rPr>
          <w:sz w:val="20"/>
          <w:szCs w:val="20"/>
          <w:color w:val="auto"/>
        </w:rPr>
        <w:tab/>
      </w:r>
      <w:r>
        <w:rPr>
          <w:rFonts w:ascii="Times New Roman" w:cs="Times New Roman" w:eastAsia="Times New Roman" w:hAnsi="Times New Roman"/>
          <w:sz w:val="20"/>
          <w:szCs w:val="20"/>
          <w:color w:val="auto"/>
        </w:rPr>
        <w:t>Delegation of Duties.</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10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1.f</w:t>
      </w:r>
      <w:r>
        <w:rPr>
          <w:sz w:val="20"/>
          <w:szCs w:val="20"/>
          <w:color w:val="auto"/>
        </w:rPr>
        <w:tab/>
      </w:r>
      <w:r>
        <w:rPr>
          <w:rFonts w:ascii="Times New Roman" w:cs="Times New Roman" w:eastAsia="Times New Roman" w:hAnsi="Times New Roman"/>
          <w:sz w:val="20"/>
          <w:szCs w:val="20"/>
          <w:color w:val="auto"/>
        </w:rPr>
        <w:t>Resignation of Administrative Agent.</w:t>
      </w:r>
    </w:p>
    <w:p>
      <w:pPr>
        <w:spacing w:after="0" w:line="200" w:lineRule="exact"/>
        <w:rPr>
          <w:sz w:val="20"/>
          <w:szCs w:val="20"/>
          <w:color w:val="auto"/>
        </w:rPr>
      </w:pPr>
    </w:p>
    <w:p>
      <w:pPr>
        <w:spacing w:after="0" w:line="400" w:lineRule="exact"/>
        <w:rPr>
          <w:sz w:val="20"/>
          <w:szCs w:val="20"/>
          <w:color w:val="auto"/>
        </w:rPr>
      </w:pPr>
    </w:p>
    <w:p>
      <w:pPr>
        <w:ind w:left="-200" w:right="100" w:firstLine="2383"/>
        <w:spacing w:after="0" w:line="216" w:lineRule="auto"/>
        <w:tabs>
          <w:tab w:leader="none" w:pos="2863" w:val="left"/>
        </w:tabs>
        <w:numPr>
          <w:ilvl w:val="0"/>
          <w:numId w:val="13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 xml:space="preserve">The Administrative Agent may at any time give notice of its resignation to the Lenders, the Issuing Lender and the Borrower. Upon receipt of any such notice of resignation, the Required Lenders shall have the right, with written approval from an Authorized Officer of the Borrower (so long as no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Administrative Agent gives notice of its resignation </w:t>
      </w:r>
      <w:r>
        <w:rPr>
          <w:rFonts w:ascii="Times New Roman" w:cs="Times New Roman" w:eastAsia="Times New Roman" w:hAnsi="Times New Roman"/>
          <w:sz w:val="20"/>
          <w:szCs w:val="20"/>
          <w:color w:val="0000FF"/>
        </w:rPr>
        <w:t>(or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earlier day as shall be agreed by the Required Lenders) (the “</w:t>
      </w:r>
      <w:r>
        <w:rPr>
          <w:rFonts w:ascii="Times New Roman" w:cs="Times New Roman" w:eastAsia="Times New Roman" w:hAnsi="Times New Roman"/>
          <w:sz w:val="20"/>
          <w:szCs w:val="20"/>
          <w:b w:val="1"/>
          <w:bCs w:val="1"/>
          <w:u w:val="single" w:color="auto"/>
          <w:color w:val="0000FF"/>
        </w:rPr>
        <w:t>Resignation Effective Date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then the retiring Administrative Agent may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(but shall not be obligated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on behalf of the Lenders and the Issuing Lender, appoint a successor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if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rPr>
        <w:t>in no event shall any such successor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Administrative Agent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shall notify the Borrower and the Lenders that no qualifying Person has</w:t>
      </w:r>
      <w:r>
        <w:rPr>
          <w:rFonts w:ascii="Times New Roman" w:cs="Times New Roman" w:eastAsia="Times New Roman" w:hAnsi="Times New Roman"/>
          <w:sz w:val="20"/>
          <w:szCs w:val="20"/>
          <w:u w:val="single" w:color="auto"/>
          <w:color w:val="0000FF"/>
        </w:rPr>
        <w:t>be 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Defaulting Lender. Whether or not a successor has been appointed, such resignation shall become effective in accordance with such notice on the Resignation Effective Date.</w:t>
      </w:r>
    </w:p>
    <w:p>
      <w:pPr>
        <w:spacing w:after="0" w:line="144" w:lineRule="exact"/>
        <w:rPr>
          <w:rFonts w:ascii="Times New Roman" w:cs="Times New Roman" w:eastAsia="Times New Roman" w:hAnsi="Times New Roman"/>
          <w:sz w:val="20"/>
          <w:szCs w:val="20"/>
          <w:u w:val="single" w:color="auto"/>
          <w:color w:val="0000FF"/>
        </w:rPr>
      </w:pPr>
    </w:p>
    <w:p>
      <w:pPr>
        <w:ind w:left="-200" w:right="40" w:firstLine="2327"/>
        <w:spacing w:after="0" w:line="220" w:lineRule="auto"/>
        <w:tabs>
          <w:tab w:leader="none" w:pos="2813" w:val="left"/>
        </w:tabs>
        <w:numPr>
          <w:ilvl w:val="0"/>
          <w:numId w:val="13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w:t>
      </w:r>
      <w:r>
        <w:rPr>
          <w:rFonts w:ascii="Times New Roman" w:cs="Times New Roman" w:eastAsia="Times New Roman" w:hAnsi="Times New Roman"/>
          <w:sz w:val="20"/>
          <w:szCs w:val="20"/>
          <w:u w:val="single" w:color="auto"/>
          <w:color w:val="00C000"/>
        </w:rPr>
        <w:t>in consultation with the Borrower</w:t>
      </w:r>
      <w:r>
        <w:rPr>
          <w:rFonts w:ascii="Times New Roman" w:cs="Times New Roman" w:eastAsia="Times New Roman" w:hAnsi="Times New Roman"/>
          <w:sz w:val="20"/>
          <w:szCs w:val="20"/>
          <w:u w:val="single" w:color="auto"/>
          <w:color w:val="0000FF"/>
        </w:rPr>
        <w:t>, appoint a successor. If no such successor shall have been so appointed by the Required Lenders and shall have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accepted such appointment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within 30 days (or such earlier day as shall be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agreed by the Required Lenders) (the “Removal Effective Date”)</w:t>
      </w:r>
      <w:r>
        <w:rPr>
          <w:rFonts w:ascii="Times New Roman" w:cs="Times New Roman" w:eastAsia="Times New Roman" w:hAnsi="Times New Roman"/>
          <w:sz w:val="20"/>
          <w:szCs w:val="20"/>
          <w:color w:val="000000"/>
        </w:rPr>
        <w:t>, then such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resignation</w:t>
      </w:r>
      <w:r>
        <w:rPr>
          <w:rFonts w:ascii="Times New Roman" w:cs="Times New Roman" w:eastAsia="Times New Roman" w:hAnsi="Times New Roman"/>
          <w:sz w:val="20"/>
          <w:szCs w:val="20"/>
          <w:u w:val="single" w:color="auto"/>
          <w:color w:val="0000FF"/>
        </w:rPr>
        <w:t>removal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nonetheless become effective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accordance with such notice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u w:val="single" w:color="auto"/>
          <w:color w:val="0000FF"/>
        </w:rPr>
        <w:t>on the Removal Effective Date.</w:t>
      </w:r>
    </w:p>
    <w:p>
      <w:pPr>
        <w:spacing w:after="0" w:line="144" w:lineRule="exact"/>
        <w:rPr>
          <w:rFonts w:ascii="Times New Roman" w:cs="Times New Roman" w:eastAsia="Times New Roman" w:hAnsi="Times New Roman"/>
          <w:sz w:val="20"/>
          <w:szCs w:val="20"/>
          <w:u w:val="single" w:color="auto"/>
          <w:color w:val="0000FF"/>
        </w:rPr>
      </w:pPr>
    </w:p>
    <w:p>
      <w:pPr>
        <w:ind w:left="-200" w:firstLine="2271"/>
        <w:spacing w:after="0" w:line="219" w:lineRule="auto"/>
        <w:tabs>
          <w:tab w:leader="none" w:pos="2813" w:val="left"/>
        </w:tabs>
        <w:numPr>
          <w:ilvl w:val="0"/>
          <w:numId w:val="13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 effect from the Resignation Effective Date or the Removal Effective Date (as 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retiring </w:t>
      </w:r>
      <w:r>
        <w:rPr>
          <w:rFonts w:ascii="Times New Roman" w:cs="Times New Roman" w:eastAsia="Times New Roman" w:hAnsi="Times New Roman"/>
          <w:sz w:val="20"/>
          <w:szCs w:val="20"/>
          <w:u w:val="single" w:color="auto"/>
          <w:color w:val="0000FF"/>
        </w:rPr>
        <w:t>or removed</w:t>
      </w:r>
      <w:r>
        <w:rPr>
          <w:rFonts w:ascii="Times New Roman" w:cs="Times New Roman" w:eastAsia="Times New Roman" w:hAnsi="Times New Roman"/>
          <w:sz w:val="20"/>
          <w:szCs w:val="20"/>
          <w:color w:val="000000"/>
        </w:rPr>
        <w:t xml:space="preserve">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w:t>
      </w:r>
      <w:r>
        <w:rPr>
          <w:rFonts w:ascii="Times New Roman" w:cs="Times New Roman" w:eastAsia="Times New Roman" w:hAnsi="Times New Roman"/>
          <w:sz w:val="20"/>
          <w:szCs w:val="20"/>
          <w:u w:val="single" w:color="auto"/>
          <w:color w:val="0000FF"/>
        </w:rPr>
        <w:t>or removed</w:t>
      </w:r>
      <w:r>
        <w:rPr>
          <w:rFonts w:ascii="Times New Roman" w:cs="Times New Roman" w:eastAsia="Times New Roman" w:hAnsi="Times New Roman"/>
          <w:sz w:val="20"/>
          <w:szCs w:val="20"/>
          <w:color w:val="000000"/>
        </w:rPr>
        <w:t xml:space="preserve"> Administrative Agent shall continue to hold such collateral security until such time as a successor Administrative Agent is appointed) and (ii) </w:t>
      </w:r>
      <w:r>
        <w:rPr>
          <w:rFonts w:ascii="Times New Roman" w:cs="Times New Roman" w:eastAsia="Times New Roman" w:hAnsi="Times New Roman"/>
          <w:sz w:val="20"/>
          <w:szCs w:val="20"/>
          <w:u w:val="single" w:color="auto"/>
          <w:color w:val="0000FF"/>
        </w:rPr>
        <w:t>except for any indemnity payments owed to the retiring or removed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all payments, communications and determinations provided to be made by, to or through 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instead be made by or to each Lender and the Issuing Lender directly, until such time as the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6251575</wp:posOffset>
            </wp:positionH>
            <wp:positionV relativeFrom="paragraph">
              <wp:posOffset>-2585720</wp:posOffset>
            </wp:positionV>
            <wp:extent cx="4470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040"/>
          </w:cols>
          <w:pgMar w:left="520" w:top="1440" w:right="339" w:bottom="1440" w:gutter="0" w:footer="0" w:header="0"/>
        </w:sectPr>
      </w:pPr>
    </w:p>
    <w:bookmarkStart w:id="188" w:name="page189"/>
    <w:bookmarkEnd w:id="188"/>
    <w:p>
      <w:pPr>
        <w:spacing w:after="0" w:line="7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20"/>
          <w:szCs w:val="20"/>
          <w:color w:val="auto"/>
        </w:rPr>
        <w:t xml:space="preserve">Lenders appoint a successor Administrative Agent as provided for above in this Section 10.6. Upon the acceptance of a successor's appointment as Administrative Agent hereunder, such successor shall succeed to and become vested with all of the rights, powers, privileges and duties of the retiring </w:t>
      </w:r>
      <w:r>
        <w:rPr>
          <w:rFonts w:ascii="Times New Roman" w:cs="Times New Roman" w:eastAsia="Times New Roman" w:hAnsi="Times New Roman"/>
          <w:sz w:val="20"/>
          <w:szCs w:val="20"/>
          <w:color w:val="FF0000"/>
          <w:strike w:val="1"/>
        </w:rPr>
        <w:t>(or retired)</w:t>
      </w:r>
      <w:r>
        <w:rPr>
          <w:rFonts w:ascii="Times New Roman" w:cs="Times New Roman" w:eastAsia="Times New Roman" w:hAnsi="Times New Roman"/>
          <w:sz w:val="20"/>
          <w:szCs w:val="20"/>
          <w:u w:val="single" w:color="auto"/>
          <w:color w:val="0000FF"/>
        </w:rPr>
        <w:t>or removed Administrative Agent (other than any rights to indemnity payments owed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retiring or removed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Administrative Agent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and the retiring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or removed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Administrative Agent shall be discharged from all of its duties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obligations hereunder or under the other Loan Documents </w:t>
      </w:r>
      <w:r>
        <w:rPr>
          <w:rFonts w:ascii="Times New Roman" w:cs="Times New Roman" w:eastAsia="Times New Roman" w:hAnsi="Times New Roman"/>
          <w:sz w:val="20"/>
          <w:szCs w:val="20"/>
          <w:color w:val="FF0000"/>
        </w:rPr>
        <w:t>(if not already discharged therefrom as provided above in this Section)</w:t>
      </w:r>
      <w:r>
        <w:rPr>
          <w:rFonts w:ascii="Times New Roman" w:cs="Times New Roman" w:eastAsia="Times New Roman" w:hAnsi="Times New Roman"/>
          <w:sz w:val="20"/>
          <w:szCs w:val="20"/>
          <w:color w:val="000000"/>
        </w:rPr>
        <w:t xml:space="preserve">. The fees payable by the Borrower to a successor Administrative Agent shall be the same as those payable to its predecessor unless otherwise agreed between the Borrower and such successor. After the retiring </w:t>
      </w:r>
      <w:r>
        <w:rPr>
          <w:rFonts w:ascii="Times New Roman" w:cs="Times New Roman" w:eastAsia="Times New Roman" w:hAnsi="Times New Roman"/>
          <w:sz w:val="20"/>
          <w:szCs w:val="20"/>
          <w:u w:val="single" w:color="auto"/>
          <w:color w:val="0000FF"/>
        </w:rPr>
        <w:t>or removed</w:t>
      </w:r>
      <w:r>
        <w:rPr>
          <w:rFonts w:ascii="Times New Roman" w:cs="Times New Roman" w:eastAsia="Times New Roman" w:hAnsi="Times New Roman"/>
          <w:sz w:val="20"/>
          <w:szCs w:val="20"/>
          <w:color w:val="000000"/>
        </w:rPr>
        <w:t xml:space="preserve"> Administrative Agent's resignation </w:t>
      </w:r>
      <w:r>
        <w:rPr>
          <w:rFonts w:ascii="Times New Roman" w:cs="Times New Roman" w:eastAsia="Times New Roman" w:hAnsi="Times New Roman"/>
          <w:sz w:val="20"/>
          <w:szCs w:val="20"/>
          <w:color w:val="0000FF"/>
        </w:rPr>
        <w:t>or removal</w:t>
      </w:r>
      <w:r>
        <w:rPr>
          <w:rFonts w:ascii="Times New Roman" w:cs="Times New Roman" w:eastAsia="Times New Roman" w:hAnsi="Times New Roman"/>
          <w:sz w:val="20"/>
          <w:szCs w:val="20"/>
          <w:color w:val="000000"/>
        </w:rPr>
        <w:t xml:space="preserve"> hereunder and under the other Loan Documents, the provisions of this Article 10 and Section 11.3 [Expenses; Indemnity; Damage Waiver] shall continue in effect for the benefit of such retiring </w:t>
      </w:r>
      <w:r>
        <w:rPr>
          <w:rFonts w:ascii="Times New Roman" w:cs="Times New Roman" w:eastAsia="Times New Roman" w:hAnsi="Times New Roman"/>
          <w:sz w:val="20"/>
          <w:szCs w:val="20"/>
          <w:u w:val="single" w:color="auto"/>
          <w:color w:val="0000FF"/>
        </w:rPr>
        <w:t>or removed</w:t>
      </w:r>
      <w:r>
        <w:rPr>
          <w:rFonts w:ascii="Times New Roman" w:cs="Times New Roman" w:eastAsia="Times New Roman" w:hAnsi="Times New Roman"/>
          <w:sz w:val="20"/>
          <w:szCs w:val="20"/>
          <w:color w:val="000000"/>
        </w:rPr>
        <w:t xml:space="preserve"> Administrative Agent, its sub-agents and their respective Related Parties in respect of any actions taken or omitted to be taken by any of them while the retiring </w:t>
      </w:r>
      <w:r>
        <w:rPr>
          <w:rFonts w:ascii="Times New Roman" w:cs="Times New Roman" w:eastAsia="Times New Roman" w:hAnsi="Times New Roman"/>
          <w:sz w:val="20"/>
          <w:szCs w:val="20"/>
          <w:color w:val="0000FF"/>
        </w:rPr>
        <w:t>or removed</w:t>
      </w:r>
      <w:r>
        <w:rPr>
          <w:rFonts w:ascii="Times New Roman" w:cs="Times New Roman" w:eastAsia="Times New Roman" w:hAnsi="Times New Roman"/>
          <w:sz w:val="20"/>
          <w:szCs w:val="20"/>
          <w:color w:val="000000"/>
        </w:rPr>
        <w:t xml:space="preserve"> Administrative Agent was acting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-839470</wp:posOffset>
            </wp:positionV>
            <wp:extent cx="36429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5496560</wp:posOffset>
            </wp:positionH>
            <wp:positionV relativeFrom="paragraph">
              <wp:posOffset>-535940</wp:posOffset>
            </wp:positionV>
            <wp:extent cx="5892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58928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-152400</wp:posOffset>
            </wp:positionV>
            <wp:extent cx="6172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29" w:lineRule="exact"/>
        <w:rPr>
          <w:sz w:val="20"/>
          <w:szCs w:val="20"/>
          <w:color w:val="auto"/>
        </w:rPr>
      </w:pPr>
    </w:p>
    <w:p>
      <w:pPr>
        <w:jc w:val="both"/>
        <w:ind w:firstLine="604"/>
        <w:spacing w:after="0" w:line="220" w:lineRule="auto"/>
        <w:rPr>
          <w:sz w:val="20"/>
          <w:szCs w:val="20"/>
          <w:color w:val="auto"/>
        </w:rPr>
      </w:pPr>
      <w:r>
        <w:rPr>
          <w:rFonts w:ascii="Times New Roman" w:cs="Times New Roman" w:eastAsia="Times New Roman" w:hAnsi="Times New Roman"/>
          <w:sz w:val="20"/>
          <w:szCs w:val="20"/>
          <w:color w:val="auto"/>
        </w:rPr>
        <w:t>If PNC resigns as Administrative Agent under this Section 10.6, PNC shall also resign as an Issuing Lender. Upon the appointment of a successor Administrative Agent hereunder, such successor shall (i) succeed to all of the rights, powers, privileges and duties of PNC as the retiring Issuing Lender and Administrative Agent and PNC shall be discharged from all of its respective duties and obligations as Issuing Lender and Administrative Agent under the Loan Documents, and (ii) issue letters of credit in substitution for the Letters of Credit issued by PNC, if any, outstanding at the time of such succession or make other arrangement satisfactory to PNC to effectively assume the obligations of PNC with respect to such Letters of Credit.</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1.g</w:t>
      </w:r>
      <w:r>
        <w:rPr>
          <w:sz w:val="20"/>
          <w:szCs w:val="20"/>
          <w:color w:val="auto"/>
        </w:rPr>
        <w:tab/>
      </w:r>
      <w:r>
        <w:rPr>
          <w:rFonts w:ascii="Times New Roman" w:cs="Times New Roman" w:eastAsia="Times New Roman" w:hAnsi="Times New Roman"/>
          <w:sz w:val="20"/>
          <w:szCs w:val="20"/>
          <w:color w:val="auto"/>
        </w:rPr>
        <w:t>Non-Reliance on Administrative Agent and Other Lenders.</w:t>
      </w:r>
    </w:p>
    <w:p>
      <w:pPr>
        <w:spacing w:after="0" w:line="173"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color w:val="auto"/>
        </w:rPr>
        <w:t>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1.h</w:t>
      </w:r>
      <w:r>
        <w:rPr>
          <w:sz w:val="20"/>
          <w:szCs w:val="20"/>
          <w:color w:val="auto"/>
        </w:rPr>
        <w:tab/>
      </w:r>
      <w:r>
        <w:rPr>
          <w:rFonts w:ascii="Times New Roman" w:cs="Times New Roman" w:eastAsia="Times New Roman" w:hAnsi="Times New Roman"/>
          <w:sz w:val="20"/>
          <w:szCs w:val="20"/>
          <w:color w:val="auto"/>
        </w:rPr>
        <w:t>No Other Duties, etc.</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financial institutions listed on the cover page hereof shall have any powers, duties or responsibilities under this Agreement or any of the other Loan Documents, except in its capacity, as applicable, as the Administrative Agent, a Lender or the Issuing Lender hereunder.</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1.i</w:t>
      </w:r>
      <w:r>
        <w:rPr>
          <w:sz w:val="20"/>
          <w:szCs w:val="20"/>
          <w:color w:val="auto"/>
        </w:rPr>
        <w:tab/>
      </w: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40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1.j</w:t>
      </w:r>
      <w:r>
        <w:rPr>
          <w:sz w:val="20"/>
          <w:szCs w:val="20"/>
          <w:color w:val="auto"/>
        </w:rPr>
        <w:tab/>
      </w:r>
      <w:r>
        <w:rPr>
          <w:rFonts w:ascii="Times New Roman" w:cs="Times New Roman" w:eastAsia="Times New Roman" w:hAnsi="Times New Roman"/>
          <w:sz w:val="20"/>
          <w:szCs w:val="20"/>
          <w:color w:val="auto"/>
        </w:rPr>
        <w:t>Authorization to Release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71" w:lineRule="exact"/>
        <w:rPr>
          <w:sz w:val="20"/>
          <w:szCs w:val="20"/>
          <w:color w:val="auto"/>
        </w:rPr>
      </w:pPr>
    </w:p>
    <w:p>
      <w:pPr>
        <w:ind w:right="220" w:firstLine="604"/>
        <w:spacing w:after="0" w:line="217" w:lineRule="auto"/>
        <w:rPr>
          <w:sz w:val="20"/>
          <w:szCs w:val="20"/>
          <w:color w:val="auto"/>
        </w:rPr>
      </w:pPr>
      <w:r>
        <w:rPr>
          <w:rFonts w:ascii="Times New Roman" w:cs="Times New Roman" w:eastAsia="Times New Roman" w:hAnsi="Times New Roman"/>
          <w:sz w:val="20"/>
          <w:szCs w:val="20"/>
          <w:color w:val="auto"/>
        </w:rPr>
        <w:t>The Lenders and Issuing Lender authorize the Administrative Agent to release any Guarantor from its obligations under the Guaranty Agreement if the ownership interests in such Guarantor are sold or otherwise disposed of or transferred to Persons other than Loan Parties or Subsidiaries of the Loan Parties in a transaction permitted under Section 8.2.6 [Dispositions of Assets or Subsidiaries] or Section 8.2.5 [Liquidations, Mergers, Consolidations]. In each case as specified in this Section 10.10 [Authorization to Release Guarantors],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this Agreement and the Guaranty Agreement, in each case in accordance with the terms of the Loan Documents and this Section 10.10 [Authorization to Release Guarantors].</w:t>
      </w:r>
    </w:p>
    <w:p>
      <w:pPr>
        <w:spacing w:after="0" w:line="148"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1.k</w:t>
      </w:r>
      <w:r>
        <w:rPr>
          <w:sz w:val="20"/>
          <w:szCs w:val="20"/>
          <w:color w:val="auto"/>
        </w:rPr>
        <w:tab/>
      </w:r>
      <w:r>
        <w:rPr>
          <w:rFonts w:ascii="Times New Roman" w:cs="Times New Roman" w:eastAsia="Times New Roman" w:hAnsi="Times New Roman"/>
          <w:sz w:val="20"/>
          <w:szCs w:val="20"/>
          <w:color w:val="auto"/>
        </w:rPr>
        <w:t>No Reliance on Administrative Agent's Customer Identification Program.</w:t>
      </w:r>
    </w:p>
    <w:p>
      <w:pPr>
        <w:spacing w:after="0" w:line="173" w:lineRule="exact"/>
        <w:rPr>
          <w:sz w:val="20"/>
          <w:szCs w:val="20"/>
          <w:color w:val="auto"/>
        </w:rPr>
      </w:pPr>
    </w:p>
    <w:p>
      <w:pPr>
        <w:jc w:val="both"/>
        <w:ind w:left="1200"/>
        <w:spacing w:after="0" w:line="217" w:lineRule="auto"/>
        <w:rPr>
          <w:sz w:val="20"/>
          <w:szCs w:val="20"/>
          <w:color w:val="auto"/>
        </w:rPr>
      </w:pPr>
      <w:r>
        <w:rPr>
          <w:rFonts w:ascii="Times New Roman" w:cs="Times New Roman" w:eastAsia="Times New Roman" w:hAnsi="Times New Roman"/>
          <w:sz w:val="20"/>
          <w:szCs w:val="20"/>
          <w:color w:val="auto"/>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20"/>
          <w:szCs w:val="20"/>
          <w:b w:val="1"/>
          <w:bCs w:val="1"/>
          <w:color w:val="auto"/>
        </w:rPr>
        <w:t>CIP Regulations</w:t>
      </w:r>
      <w:r>
        <w:rPr>
          <w:rFonts w:ascii="Times New Roman" w:cs="Times New Roman" w:eastAsia="Times New Roman" w:hAnsi="Times New Roman"/>
          <w:sz w:val="20"/>
          <w:szCs w:val="20"/>
          <w:color w:val="auto"/>
        </w:rPr>
        <w:t>"), or any other Anti-Terrorism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148"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1.l</w:t>
      </w:r>
      <w:r>
        <w:rPr>
          <w:sz w:val="20"/>
          <w:szCs w:val="20"/>
          <w:color w:val="auto"/>
        </w:rPr>
        <w:tab/>
      </w:r>
      <w:r>
        <w:rPr>
          <w:rFonts w:ascii="Times New Roman" w:cs="Times New Roman" w:eastAsia="Times New Roman" w:hAnsi="Times New Roman"/>
          <w:sz w:val="20"/>
          <w:szCs w:val="20"/>
          <w:u w:val="single" w:color="auto"/>
          <w:color w:val="0000FF"/>
        </w:rPr>
        <w:t>ERISA Matters.</w:t>
      </w:r>
    </w:p>
    <w:p>
      <w:pPr>
        <w:spacing w:after="0" w:line="173" w:lineRule="exact"/>
        <w:rPr>
          <w:sz w:val="20"/>
          <w:szCs w:val="20"/>
          <w:color w:val="auto"/>
        </w:rPr>
      </w:pPr>
    </w:p>
    <w:p>
      <w:pPr>
        <w:ind w:right="120" w:firstLine="2383"/>
        <w:spacing w:after="0" w:line="225" w:lineRule="auto"/>
        <w:tabs>
          <w:tab w:leader="none" w:pos="3063" w:val="left"/>
        </w:tabs>
        <w:numPr>
          <w:ilvl w:val="0"/>
          <w:numId w:val="137"/>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Each Lender (x) represents and warrants, as of the date such Person became a Lender party hereto, to, and (y) covenants, from the date such Person became a Lender party hereto to the date such Person ceases being a Lender party hereto, for the benefit of, Administrative Agent and the Lead Arranger and their respective Affiliates, and not for the benefit of Borrower or any other Loan Party, that at least one of the following is and will be true:</w:t>
      </w:r>
    </w:p>
    <w:p>
      <w:pPr>
        <w:spacing w:after="0" w:line="144" w:lineRule="exact"/>
        <w:rPr>
          <w:sz w:val="20"/>
          <w:szCs w:val="20"/>
          <w:color w:val="auto"/>
        </w:rPr>
      </w:pPr>
    </w:p>
    <w:p>
      <w:pPr>
        <w:ind w:left="1200" w:right="160" w:firstLine="1622"/>
        <w:spacing w:after="0" w:line="242" w:lineRule="auto"/>
        <w:rPr>
          <w:sz w:val="20"/>
          <w:szCs w:val="20"/>
          <w:color w:val="auto"/>
        </w:rPr>
      </w:pPr>
      <w:r>
        <w:rPr>
          <w:rFonts w:ascii="Times New Roman" w:cs="Times New Roman" w:eastAsia="Times New Roman" w:hAnsi="Times New Roman"/>
          <w:sz w:val="20"/>
          <w:szCs w:val="20"/>
          <w:u w:val="single" w:color="auto"/>
          <w:color w:val="0000FF"/>
        </w:rPr>
        <w:t>(i)such Lender is not using “plan assets” (within the meaning of 29 CFR § 2510.3-101, as modified by Section 3(42) of ERISA) of one or more Plans in connection with the Loans or the Commitments,</w:t>
      </w:r>
    </w:p>
    <w:p>
      <w:pPr>
        <w:spacing w:after="0" w:line="136" w:lineRule="exact"/>
        <w:rPr>
          <w:sz w:val="20"/>
          <w:szCs w:val="20"/>
          <w:color w:val="auto"/>
        </w:rPr>
      </w:pPr>
    </w:p>
    <w:p>
      <w:pPr>
        <w:ind w:left="1200" w:firstLine="1566"/>
        <w:spacing w:after="0" w:line="219" w:lineRule="auto"/>
        <w:rPr>
          <w:sz w:val="20"/>
          <w:szCs w:val="20"/>
          <w:color w:val="auto"/>
        </w:rPr>
      </w:pPr>
      <w:r>
        <w:rPr>
          <w:rFonts w:ascii="Times New Roman" w:cs="Times New Roman" w:eastAsia="Times New Roman" w:hAnsi="Times New Roman"/>
          <w:sz w:val="20"/>
          <w:szCs w:val="20"/>
          <w:u w:val="single" w:color="auto"/>
          <w:color w:val="0000FF"/>
        </w:rPr>
        <w:t>(ii)the transaction exemption set forth in one or more Prohibited Transaction Exemptions (“</w:t>
      </w:r>
      <w:r>
        <w:rPr>
          <w:rFonts w:ascii="Times New Roman" w:cs="Times New Roman" w:eastAsia="Times New Roman" w:hAnsi="Times New Roman"/>
          <w:sz w:val="20"/>
          <w:szCs w:val="20"/>
          <w:b w:val="1"/>
          <w:bCs w:val="1"/>
          <w:u w:val="single" w:color="auto"/>
          <w:color w:val="0000FF"/>
        </w:rPr>
        <w:t>PTEs</w:t>
      </w:r>
      <w:r>
        <w:rPr>
          <w:rFonts w:ascii="Times New Roman" w:cs="Times New Roman" w:eastAsia="Times New Roman" w:hAnsi="Times New Roman"/>
          <w:sz w:val="20"/>
          <w:szCs w:val="20"/>
          <w:u w:val="single" w:color="auto"/>
          <w:color w:val="0000FF"/>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71" w:lineRule="exact"/>
        <w:rPr>
          <w:sz w:val="20"/>
          <w:szCs w:val="20"/>
          <w:color w:val="auto"/>
        </w:rPr>
      </w:pPr>
    </w:p>
    <w:p>
      <w:pPr>
        <w:ind w:left="1200" w:right="20" w:firstLine="1510"/>
        <w:spacing w:after="0" w:line="217" w:lineRule="auto"/>
        <w:rPr>
          <w:sz w:val="20"/>
          <w:szCs w:val="20"/>
          <w:color w:val="auto"/>
        </w:rPr>
      </w:pPr>
      <w:r>
        <w:rPr>
          <w:rFonts w:ascii="Times New Roman" w:cs="Times New Roman" w:eastAsia="Times New Roman" w:hAnsi="Times New Roman"/>
          <w:sz w:val="20"/>
          <w:szCs w:val="20"/>
          <w:u w:val="single" w:color="auto"/>
          <w:color w:val="0000FF"/>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w:t>
      </w:r>
    </w:p>
    <w:p>
      <w:pPr>
        <w:spacing w:after="0" w:line="2" w:lineRule="exact"/>
        <w:rPr>
          <w:sz w:val="20"/>
          <w:szCs w:val="20"/>
          <w:color w:val="auto"/>
        </w:rPr>
      </w:pPr>
    </w:p>
    <w:p>
      <w:pPr>
        <w:ind w:left="1200" w:right="200" w:firstLine="8"/>
        <w:spacing w:after="0" w:line="219" w:lineRule="auto"/>
        <w:tabs>
          <w:tab w:leader="none" w:pos="1519" w:val="left"/>
        </w:tabs>
        <w:numPr>
          <w:ilvl w:val="0"/>
          <w:numId w:val="13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45" w:lineRule="exact"/>
        <w:rPr>
          <w:sz w:val="20"/>
          <w:szCs w:val="20"/>
          <w:color w:val="auto"/>
        </w:rPr>
      </w:pPr>
    </w:p>
    <w:p>
      <w:pPr>
        <w:ind w:left="1200" w:right="960" w:firstLine="1521"/>
        <w:spacing w:after="0" w:line="242" w:lineRule="auto"/>
        <w:rPr>
          <w:sz w:val="20"/>
          <w:szCs w:val="20"/>
          <w:color w:val="auto"/>
        </w:rPr>
      </w:pPr>
      <w:r>
        <w:rPr>
          <w:rFonts w:ascii="Times New Roman" w:cs="Times New Roman" w:eastAsia="Times New Roman" w:hAnsi="Times New Roman"/>
          <w:sz w:val="20"/>
          <w:szCs w:val="20"/>
          <w:u w:val="single" w:color="auto"/>
          <w:color w:val="0000FF"/>
        </w:rPr>
        <w:t>(iv)such other representation, warranty and covenant as may be agreed in writing between the Administrative Agent, in its sole discretion, and such Lender.</w:t>
      </w:r>
    </w:p>
    <w:p>
      <w:pPr>
        <w:spacing w:after="0" w:line="140" w:lineRule="exact"/>
        <w:rPr>
          <w:sz w:val="20"/>
          <w:szCs w:val="20"/>
          <w:color w:val="auto"/>
        </w:rPr>
      </w:pPr>
    </w:p>
    <w:p>
      <w:pPr>
        <w:ind w:right="40" w:firstLine="2327"/>
        <w:spacing w:after="0" w:line="217" w:lineRule="auto"/>
        <w:tabs>
          <w:tab w:leader="none" w:pos="3013" w:val="left"/>
        </w:tabs>
        <w:numPr>
          <w:ilvl w:val="1"/>
          <w:numId w:val="13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addition, unless sub-clause (i) in the immediately preceding Section 10.12(a) is true with respect to a Lender or such Lender has not provided another representation, warranty and covenant as provided in sub-clause (iv) in the immediately preceding Section 10.12(a), such Lender further (x) represents and warrants, as of the date such Person became a Lender party hereto, and</w:t>
      </w:r>
    </w:p>
    <w:p>
      <w:pPr>
        <w:spacing w:after="0" w:line="2" w:lineRule="exact"/>
        <w:rPr>
          <w:rFonts w:ascii="Times New Roman" w:cs="Times New Roman" w:eastAsia="Times New Roman" w:hAnsi="Times New Roman"/>
          <w:sz w:val="20"/>
          <w:szCs w:val="20"/>
          <w:u w:val="single" w:color="auto"/>
          <w:color w:val="0000FF"/>
        </w:rPr>
      </w:pPr>
    </w:p>
    <w:p>
      <w:pPr>
        <w:ind w:right="40" w:firstLine="1"/>
        <w:spacing w:after="0" w:line="223" w:lineRule="auto"/>
        <w:tabs>
          <w:tab w:leader="none" w:pos="285" w:val="left"/>
        </w:tabs>
        <w:numPr>
          <w:ilvl w:val="0"/>
          <w:numId w:val="14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Borrower, that:</w:t>
      </w:r>
    </w:p>
    <w:p>
      <w:pPr>
        <w:spacing w:after="0" w:line="142" w:lineRule="exact"/>
        <w:rPr>
          <w:sz w:val="20"/>
          <w:szCs w:val="20"/>
          <w:color w:val="auto"/>
        </w:rPr>
      </w:pPr>
    </w:p>
    <w:p>
      <w:pPr>
        <w:ind w:left="1200" w:right="80" w:firstLine="1622"/>
        <w:spacing w:after="0" w:line="230" w:lineRule="auto"/>
        <w:rPr>
          <w:sz w:val="20"/>
          <w:szCs w:val="20"/>
          <w:color w:val="auto"/>
        </w:rPr>
      </w:pPr>
      <w:r>
        <w:rPr>
          <w:rFonts w:ascii="Times New Roman" w:cs="Times New Roman" w:eastAsia="Times New Roman" w:hAnsi="Times New Roman"/>
          <w:sz w:val="20"/>
          <w:szCs w:val="20"/>
          <w:u w:val="single" w:color="auto"/>
          <w:color w:val="0000FF"/>
        </w:rPr>
        <w:t>(i)none of the Administrative Agent or the Lead Arranger or any of their respective Affiliates is a fiduciary with respect to the assets of such Lender (including in connection with the reservation or exercise of any rights by Administrative Agent under this Agreement, any Loan Document or any other documents related to hereto or thereto),</w:t>
      </w:r>
    </w:p>
    <w:p>
      <w:pPr>
        <w:spacing w:after="0" w:line="144" w:lineRule="exact"/>
        <w:rPr>
          <w:sz w:val="20"/>
          <w:szCs w:val="20"/>
          <w:color w:val="auto"/>
        </w:rPr>
      </w:pPr>
    </w:p>
    <w:p>
      <w:pPr>
        <w:ind w:left="1200" w:right="20" w:firstLine="1566"/>
        <w:spacing w:after="0" w:line="225" w:lineRule="auto"/>
        <w:rPr>
          <w:sz w:val="20"/>
          <w:szCs w:val="20"/>
          <w:color w:val="auto"/>
        </w:rPr>
      </w:pPr>
      <w:r>
        <w:rPr>
          <w:rFonts w:ascii="Times New Roman" w:cs="Times New Roman" w:eastAsia="Times New Roman" w:hAnsi="Times New Roman"/>
          <w:sz w:val="20"/>
          <w:szCs w:val="20"/>
          <w:u w:val="single" w:color="auto"/>
          <w:color w:val="0000FF"/>
        </w:rPr>
        <w:t>(ii)the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Loans),</w:t>
      </w:r>
    </w:p>
    <w:p>
      <w:pPr>
        <w:spacing w:after="0" w:line="144" w:lineRule="exact"/>
        <w:rPr>
          <w:sz w:val="20"/>
          <w:szCs w:val="20"/>
          <w:color w:val="auto"/>
        </w:rPr>
      </w:pPr>
    </w:p>
    <w:p>
      <w:pPr>
        <w:ind w:left="1200" w:right="20" w:firstLine="1510"/>
        <w:spacing w:after="0" w:line="225" w:lineRule="auto"/>
        <w:rPr>
          <w:sz w:val="20"/>
          <w:szCs w:val="20"/>
          <w:color w:val="auto"/>
        </w:rPr>
      </w:pPr>
      <w:r>
        <w:rPr>
          <w:rFonts w:ascii="Times New Roman" w:cs="Times New Roman" w:eastAsia="Times New Roman" w:hAnsi="Times New Roman"/>
          <w:sz w:val="20"/>
          <w:szCs w:val="20"/>
          <w:u w:val="single" w:color="auto"/>
          <w:color w:val="0000FF"/>
        </w:rPr>
        <w:t>(iii)the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44" w:lineRule="exact"/>
        <w:rPr>
          <w:sz w:val="20"/>
          <w:szCs w:val="20"/>
          <w:color w:val="auto"/>
        </w:rPr>
      </w:pPr>
    </w:p>
    <w:p>
      <w:pPr>
        <w:ind w:left="1200" w:right="80" w:firstLine="1521"/>
        <w:spacing w:after="0" w:line="230" w:lineRule="auto"/>
        <w:rPr>
          <w:sz w:val="20"/>
          <w:szCs w:val="20"/>
          <w:color w:val="auto"/>
        </w:rPr>
      </w:pPr>
      <w:r>
        <w:rPr>
          <w:rFonts w:ascii="Times New Roman" w:cs="Times New Roman" w:eastAsia="Times New Roman" w:hAnsi="Times New Roman"/>
          <w:sz w:val="20"/>
          <w:szCs w:val="20"/>
          <w:u w:val="single" w:color="auto"/>
          <w:color w:val="0000FF"/>
        </w:rPr>
        <w:t>(iv)no fee or other compensation is being paid directly to the Administrative Agent or Lead Arrangers or any their respective Affiliates for investment advice (as opposed to other services) in connection with the Loans, the Commitments or this Agreement.</w:t>
      </w:r>
    </w:p>
    <w:p>
      <w:pPr>
        <w:spacing w:after="0" w:line="157" w:lineRule="exact"/>
        <w:rPr>
          <w:sz w:val="20"/>
          <w:szCs w:val="20"/>
          <w:color w:val="auto"/>
        </w:rPr>
      </w:pPr>
    </w:p>
    <w:p>
      <w:pPr>
        <w:jc w:val="both"/>
        <w:ind w:firstLine="1208"/>
        <w:spacing w:after="0" w:line="259" w:lineRule="auto"/>
        <w:rPr>
          <w:sz w:val="20"/>
          <w:szCs w:val="20"/>
          <w:color w:val="auto"/>
        </w:rPr>
      </w:pPr>
      <w:r>
        <w:rPr>
          <w:rFonts w:ascii="Times New Roman" w:cs="Times New Roman" w:eastAsia="Times New Roman" w:hAnsi="Times New Roman"/>
          <w:sz w:val="20"/>
          <w:szCs w:val="20"/>
          <w:u w:val="single" w:color="auto"/>
          <w:color w:val="0000FF"/>
        </w:rPr>
        <w:t>The Administrative Agent and the Lead Arranger hereby inform the Lenders that each such Person is not undertaking to provide impartial investment advice, or to give advice in a fiduciary capacity, in connection with the transactions contemplated hereby, and that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0000FF"/>
        </w:rPr>
        <w:t>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2"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1.m</w:t>
        <w:tab/>
        <w:t>Erroneous Payments.</w:t>
      </w:r>
    </w:p>
    <w:p>
      <w:pPr>
        <w:spacing w:after="0" w:line="173" w:lineRule="exact"/>
        <w:rPr>
          <w:sz w:val="20"/>
          <w:szCs w:val="20"/>
          <w:color w:val="auto"/>
        </w:rPr>
      </w:pPr>
    </w:p>
    <w:p>
      <w:pPr>
        <w:ind w:right="20" w:firstLine="2383"/>
        <w:spacing w:after="0" w:line="213" w:lineRule="auto"/>
        <w:tabs>
          <w:tab w:leader="none" w:pos="3013" w:val="left"/>
        </w:tabs>
        <w:numPr>
          <w:ilvl w:val="0"/>
          <w:numId w:val="14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If the Administrative Agent notifies a Lender or Issuing Lender, or any Person who has received funds on behalf of a Lender or Issuing Lender such Lender or Issuing Lender (any such Lender, Issuing Lender or other recipient, a “</w:t>
      </w:r>
      <w:r>
        <w:rPr>
          <w:rFonts w:ascii="Times New Roman" w:cs="Times New Roman" w:eastAsia="Times New Roman" w:hAnsi="Times New Roman"/>
          <w:sz w:val="20"/>
          <w:szCs w:val="20"/>
          <w:b w:val="1"/>
          <w:bCs w:val="1"/>
          <w:u w:val="single" w:color="auto"/>
          <w:color w:val="0000FF"/>
        </w:rPr>
        <w:t>Payment Recipient</w:t>
      </w:r>
      <w:r>
        <w:rPr>
          <w:rFonts w:ascii="Times New Roman" w:cs="Times New Roman" w:eastAsia="Times New Roman" w:hAnsi="Times New Roman"/>
          <w:sz w:val="20"/>
          <w:szCs w:val="20"/>
          <w:u w:val="single" w:color="auto"/>
          <w:color w:val="0000FF"/>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u w:val="single" w:color="auto"/>
          <w:color w:val="0000FF"/>
        </w:rPr>
        <w:t>Erroneous Payment</w:t>
      </w:r>
      <w:r>
        <w:rPr>
          <w:rFonts w:ascii="Times New Roman" w:cs="Times New Roman" w:eastAsia="Times New Roman" w:hAnsi="Times New Roman"/>
          <w:sz w:val="20"/>
          <w:szCs w:val="20"/>
          <w:u w:val="single" w:color="auto"/>
          <w:color w:val="0000FF"/>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Issuing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53" w:lineRule="exact"/>
        <w:rPr>
          <w:rFonts w:ascii="Times New Roman" w:cs="Times New Roman" w:eastAsia="Times New Roman" w:hAnsi="Times New Roman"/>
          <w:sz w:val="20"/>
          <w:szCs w:val="20"/>
          <w:u w:val="single" w:color="auto"/>
          <w:color w:val="0000FF"/>
        </w:rPr>
      </w:pPr>
    </w:p>
    <w:p>
      <w:pPr>
        <w:ind w:right="160" w:firstLine="2327"/>
        <w:spacing w:after="0" w:line="217" w:lineRule="auto"/>
        <w:tabs>
          <w:tab w:leader="none" w:pos="3013" w:val="left"/>
        </w:tabs>
        <w:numPr>
          <w:ilvl w:val="0"/>
          <w:numId w:val="14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Without limiting immediately preceding clause (a), each Lender, Issuing Lender, or any Person who has received funds on behalf of a Lender or Issuing Lender such Lender or Issuing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Issuing Lender, or other such recipient, otherwise becomes aware was transmitted, or received, in error or by mistake (in whole or in part)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71" w:lineRule="exact"/>
        <w:rPr>
          <w:sz w:val="20"/>
          <w:szCs w:val="20"/>
          <w:color w:val="auto"/>
        </w:rPr>
      </w:pPr>
    </w:p>
    <w:p>
      <w:pPr>
        <w:ind w:left="1000" w:firstLine="1622"/>
        <w:spacing w:after="0" w:line="230" w:lineRule="auto"/>
        <w:rPr>
          <w:sz w:val="20"/>
          <w:szCs w:val="20"/>
          <w:color w:val="auto"/>
        </w:rPr>
      </w:pPr>
      <w:r>
        <w:rPr>
          <w:rFonts w:ascii="Times New Roman" w:cs="Times New Roman" w:eastAsia="Times New Roman" w:hAnsi="Times New Roman"/>
          <w:sz w:val="20"/>
          <w:szCs w:val="20"/>
          <w:u w:val="single" w:color="auto"/>
          <w:color w:val="0000FF"/>
        </w:rPr>
        <w:t>(i)(A)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44" w:lineRule="exact"/>
        <w:rPr>
          <w:sz w:val="20"/>
          <w:szCs w:val="20"/>
          <w:color w:val="auto"/>
        </w:rPr>
      </w:pPr>
    </w:p>
    <w:p>
      <w:pPr>
        <w:ind w:left="1000" w:right="40" w:firstLine="1566"/>
        <w:spacing w:after="0" w:line="225" w:lineRule="auto"/>
        <w:rPr>
          <w:sz w:val="20"/>
          <w:szCs w:val="20"/>
          <w:color w:val="auto"/>
        </w:rPr>
      </w:pPr>
      <w:r>
        <w:rPr>
          <w:rFonts w:ascii="Times New Roman" w:cs="Times New Roman" w:eastAsia="Times New Roman" w:hAnsi="Times New Roman"/>
          <w:sz w:val="20"/>
          <w:szCs w:val="20"/>
          <w:u w:val="single" w:color="auto"/>
          <w:color w:val="0000FF"/>
        </w:rPr>
        <w:t>(ii)such Lender or Issuing Lender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10.13(b).</w:t>
      </w:r>
    </w:p>
    <w:p>
      <w:pPr>
        <w:spacing w:after="0" w:line="144" w:lineRule="exact"/>
        <w:rPr>
          <w:sz w:val="20"/>
          <w:szCs w:val="20"/>
          <w:color w:val="auto"/>
        </w:rPr>
      </w:pPr>
    </w:p>
    <w:p>
      <w:pPr>
        <w:jc w:val="both"/>
        <w:ind w:left="-200" w:right="40" w:firstLine="2271"/>
        <w:spacing w:after="0" w:line="225" w:lineRule="auto"/>
        <w:tabs>
          <w:tab w:leader="none" w:pos="2813" w:val="left"/>
        </w:tabs>
        <w:numPr>
          <w:ilvl w:val="0"/>
          <w:numId w:val="14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Each Lender or Issuing Lender hereby authorizes the Administrative Agent to set off, net and apply any and all amounts at any time owing to such Lender or Issuing Lender under any Loan Document, or otherwise payable or distributable by the Administrative Agent to such Lender or Issuing Lender from any source, against any amount due to the Administrative Agent under immediately preceding clause (a) or under the indemnification provisions of this Agreement.</w:t>
      </w:r>
    </w:p>
    <w:p>
      <w:pPr>
        <w:spacing w:after="0" w:line="143" w:lineRule="exact"/>
        <w:rPr>
          <w:rFonts w:ascii="Times New Roman" w:cs="Times New Roman" w:eastAsia="Times New Roman" w:hAnsi="Times New Roman"/>
          <w:sz w:val="20"/>
          <w:szCs w:val="20"/>
          <w:u w:val="single" w:color="auto"/>
          <w:color w:val="0000FF"/>
        </w:rPr>
      </w:pPr>
    </w:p>
    <w:p>
      <w:pPr>
        <w:ind w:left="-200" w:firstLine="2282"/>
        <w:spacing w:after="0" w:line="212" w:lineRule="auto"/>
        <w:tabs>
          <w:tab w:leader="none" w:pos="2813" w:val="left"/>
        </w:tabs>
        <w:numPr>
          <w:ilvl w:val="0"/>
          <w:numId w:val="14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the event that an Erroneous Payment (or portion thereof) is not recovered by the Administrative Agent for any reason, after demand therefor by the Administrative Agent in accordance with immediately preceding clause (a), from any Lender or Issuing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b w:val="1"/>
          <w:bCs w:val="1"/>
          <w:u w:val="single" w:color="auto"/>
          <w:color w:val="0000FF"/>
        </w:rPr>
        <w:t>Erroneous Payment Return</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b w:val="1"/>
          <w:bCs w:val="1"/>
          <w:u w:val="single" w:color="auto"/>
          <w:color w:val="0000FF"/>
        </w:rPr>
        <w:t>Deficiency</w:t>
      </w:r>
      <w:r>
        <w:rPr>
          <w:rFonts w:ascii="Times New Roman" w:cs="Times New Roman" w:eastAsia="Times New Roman" w:hAnsi="Times New Roman"/>
          <w:sz w:val="20"/>
          <w:szCs w:val="20"/>
          <w:u w:val="single" w:color="auto"/>
          <w:color w:val="0000FF"/>
        </w:rPr>
        <w:t>”), upon the Administrative Agent’s notice to such Lender or Issuing Lender at any time, (i) such Lender or Issuing Lender shall</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be deemed to have assigned its Loans (but not its Commitments) with respect to which such Erroneous Payment was made (the “</w:t>
      </w:r>
      <w:r>
        <w:rPr>
          <w:rFonts w:ascii="Times New Roman" w:cs="Times New Roman" w:eastAsia="Times New Roman" w:hAnsi="Times New Roman"/>
          <w:sz w:val="20"/>
          <w:szCs w:val="20"/>
          <w:b w:val="1"/>
          <w:bCs w:val="1"/>
          <w:u w:val="single" w:color="auto"/>
          <w:color w:val="0000FF"/>
        </w:rPr>
        <w:t>Erroneous Payment Impacted Class</w:t>
      </w:r>
      <w:r>
        <w:rPr>
          <w:rFonts w:ascii="Times New Roman" w:cs="Times New Roman" w:eastAsia="Times New Roman" w:hAnsi="Times New Roman"/>
          <w:sz w:val="20"/>
          <w:szCs w:val="20"/>
          <w:u w:val="single" w:color="auto"/>
          <w:color w:val="0000FF"/>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b w:val="1"/>
          <w:bCs w:val="1"/>
          <w:u w:val="single" w:color="auto"/>
          <w:color w:val="0000FF"/>
        </w:rPr>
        <w:t>Erroneous Payment Deficiency Assignment</w:t>
      </w:r>
      <w:r>
        <w:rPr>
          <w:rFonts w:ascii="Times New Roman" w:cs="Times New Roman" w:eastAsia="Times New Roman" w:hAnsi="Times New Roman"/>
          <w:sz w:val="20"/>
          <w:szCs w:val="20"/>
          <w:u w:val="single" w:color="auto"/>
          <w:color w:val="0000FF"/>
        </w:rPr>
        <w:t>”) at par plus any accrued and unpaid interest (with the assignment fee to be waived by the Administrative Agent in such instance), and is hereby (together with the Borrower) deemed to execute and deliver an Assignment and Assumption Agreement with respect to such Erroneous Payment Deficiency Assignment, and such Lender or Issuing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040"/>
          </w:cols>
          <w:pgMar w:left="520" w:top="1440" w:right="339" w:bottom="1440" w:gutter="0" w:footer="0" w:header="0"/>
        </w:sectPr>
      </w:pPr>
    </w:p>
    <w:bookmarkStart w:id="193" w:name="page194"/>
    <w:bookmarkEnd w:id="193"/>
    <w:p>
      <w:pPr>
        <w:spacing w:after="0" w:line="7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20"/>
          <w:szCs w:val="20"/>
          <w:u w:val="single" w:color="auto"/>
          <w:color w:val="0000FF"/>
        </w:rPr>
        <w:t>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Lender under the Loan Documents with respect to each Erroneous Payment Return Deficiency (the “</w:t>
      </w:r>
      <w:r>
        <w:rPr>
          <w:rFonts w:ascii="Times New Roman" w:cs="Times New Roman" w:eastAsia="Times New Roman" w:hAnsi="Times New Roman"/>
          <w:sz w:val="20"/>
          <w:szCs w:val="20"/>
          <w:b w:val="1"/>
          <w:bCs w:val="1"/>
          <w:u w:val="single" w:color="auto"/>
          <w:color w:val="0000FF"/>
        </w:rPr>
        <w:t>Erroneous Payment Subrogation Rights</w:t>
      </w:r>
      <w:r>
        <w:rPr>
          <w:rFonts w:ascii="Times New Roman" w:cs="Times New Roman" w:eastAsia="Times New Roman" w:hAnsi="Times New Roman"/>
          <w:sz w:val="20"/>
          <w:szCs w:val="20"/>
          <w:u w:val="single" w:color="auto"/>
          <w:color w:val="0000FF"/>
        </w:rPr>
        <w:t>”).</w:t>
      </w:r>
    </w:p>
    <w:p>
      <w:pPr>
        <w:spacing w:after="0" w:line="144" w:lineRule="exact"/>
        <w:rPr>
          <w:sz w:val="20"/>
          <w:szCs w:val="20"/>
          <w:color w:val="auto"/>
        </w:rPr>
      </w:pPr>
    </w:p>
    <w:p>
      <w:pPr>
        <w:ind w:right="240" w:firstLine="2338"/>
        <w:spacing w:after="0" w:line="225" w:lineRule="auto"/>
        <w:tabs>
          <w:tab w:leader="none" w:pos="3013" w:val="left"/>
        </w:tabs>
        <w:numPr>
          <w:ilvl w:val="0"/>
          <w:numId w:val="14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43" w:lineRule="exact"/>
        <w:rPr>
          <w:rFonts w:ascii="Times New Roman" w:cs="Times New Roman" w:eastAsia="Times New Roman" w:hAnsi="Times New Roman"/>
          <w:sz w:val="20"/>
          <w:szCs w:val="20"/>
          <w:u w:val="single" w:color="auto"/>
          <w:color w:val="0000FF"/>
        </w:rPr>
      </w:pPr>
    </w:p>
    <w:p>
      <w:pPr>
        <w:ind w:right="80" w:firstLine="2282"/>
        <w:spacing w:after="0" w:line="225" w:lineRule="auto"/>
        <w:tabs>
          <w:tab w:leader="none" w:pos="3013" w:val="left"/>
        </w:tabs>
        <w:numPr>
          <w:ilvl w:val="0"/>
          <w:numId w:val="14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43" w:lineRule="exact"/>
        <w:rPr>
          <w:rFonts w:ascii="Times New Roman" w:cs="Times New Roman" w:eastAsia="Times New Roman" w:hAnsi="Times New Roman"/>
          <w:sz w:val="20"/>
          <w:szCs w:val="20"/>
          <w:u w:val="single" w:color="auto"/>
          <w:color w:val="0000FF"/>
        </w:rPr>
      </w:pPr>
    </w:p>
    <w:p>
      <w:pPr>
        <w:ind w:right="760" w:firstLine="2227"/>
        <w:spacing w:after="0" w:line="230" w:lineRule="auto"/>
        <w:tabs>
          <w:tab w:leader="none" w:pos="3013" w:val="left"/>
        </w:tabs>
        <w:numPr>
          <w:ilvl w:val="0"/>
          <w:numId w:val="14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Each party’s obligations, agreements and waivers under this Section 10.13 shall survive the resignation or replacement of the Administrative Agent, the termination of the Commitments and/or the repayment, satisfaction or discharge of all Obligations (or any portion thereof) under any Loan Document.</w:t>
      </w:r>
    </w:p>
    <w:p>
      <w:pPr>
        <w:spacing w:after="0" w:line="143" w:lineRule="exact"/>
        <w:rPr>
          <w:rFonts w:ascii="Times New Roman" w:cs="Times New Roman" w:eastAsia="Times New Roman" w:hAnsi="Times New Roman"/>
          <w:sz w:val="20"/>
          <w:szCs w:val="20"/>
          <w:u w:val="single" w:color="auto"/>
          <w:color w:val="0000FF"/>
        </w:rPr>
      </w:pPr>
    </w:p>
    <w:p>
      <w:pPr>
        <w:ind w:left="5080" w:hanging="593"/>
        <w:spacing w:after="0"/>
        <w:tabs>
          <w:tab w:leader="none" w:pos="508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MISCELLANEOUS</w:t>
      </w:r>
    </w:p>
    <w:p>
      <w:pPr>
        <w:spacing w:after="0" w:line="17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1.a</w:t>
      </w:r>
      <w:r>
        <w:rPr>
          <w:sz w:val="20"/>
          <w:szCs w:val="20"/>
          <w:color w:val="auto"/>
        </w:rPr>
        <w:tab/>
      </w:r>
      <w:r>
        <w:rPr>
          <w:rFonts w:ascii="Times New Roman" w:cs="Times New Roman" w:eastAsia="Times New Roman" w:hAnsi="Times New Roman"/>
          <w:sz w:val="20"/>
          <w:szCs w:val="20"/>
          <w:color w:val="auto"/>
        </w:rPr>
        <w:t>Modifications, Amendments or Waivers.</w:t>
      </w:r>
    </w:p>
    <w:p>
      <w:pPr>
        <w:spacing w:after="0" w:line="173" w:lineRule="exact"/>
        <w:rPr>
          <w:sz w:val="20"/>
          <w:szCs w:val="20"/>
          <w:color w:val="auto"/>
        </w:rPr>
      </w:pPr>
    </w:p>
    <w:p>
      <w:pPr>
        <w:jc w:val="both"/>
        <w:ind w:left="1200"/>
        <w:spacing w:after="0" w:line="220" w:lineRule="auto"/>
        <w:rPr>
          <w:sz w:val="20"/>
          <w:szCs w:val="20"/>
          <w:color w:val="auto"/>
        </w:rPr>
      </w:pPr>
      <w:r>
        <w:rPr>
          <w:rFonts w:ascii="Times New Roman" w:cs="Times New Roman" w:eastAsia="Times New Roman" w:hAnsi="Times New Roman"/>
          <w:sz w:val="20"/>
          <w:szCs w:val="20"/>
          <w:color w:val="auto"/>
        </w:rPr>
        <w:t xml:space="preserve">With the written consent of the Required Lenders, the Administrative Agent, acting on behalf of all the Lenders, and the Borrower,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agreement, waiver or consent may be made which will:</w:t>
      </w:r>
    </w:p>
    <w:p>
      <w:pPr>
        <w:spacing w:after="0" w:line="1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1.1.iIncrease of Commitment.</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Increase the amount of the Revolving Credit Commitment of any Lender hereunder without the consent of such Lender;</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1.1.iiExtension of Payment; Reduction of Principal, Interest or Fees; Modification of Terms of Payment.</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color w:val="auto"/>
        </w:rPr>
        <w:t>Whether or not any Loans are outstanding, extend the Expiration Date or the time for payment of principal or interest of any Loan (excluding the due date of any mandatory prepayment of a Loan), the Commitment Fee or any other fee payable to any Lender, or reduce the principal amount of or the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71" w:lineRule="exact"/>
        <w:rPr>
          <w:sz w:val="20"/>
          <w:szCs w:val="20"/>
          <w:color w:val="auto"/>
        </w:rPr>
      </w:pPr>
    </w:p>
    <w:p>
      <w:pPr>
        <w:jc w:val="both"/>
        <w:ind w:left="1200"/>
        <w:spacing w:after="0" w:line="242" w:lineRule="auto"/>
        <w:rPr>
          <w:sz w:val="20"/>
          <w:szCs w:val="20"/>
          <w:color w:val="auto"/>
        </w:rPr>
      </w:pPr>
      <w:r>
        <w:rPr>
          <w:rFonts w:ascii="Times New Roman" w:cs="Times New Roman" w:eastAsia="Times New Roman" w:hAnsi="Times New Roman"/>
          <w:sz w:val="20"/>
          <w:szCs w:val="20"/>
          <w:color w:val="auto"/>
        </w:rPr>
        <w:t>borne by any Loan or reduce the Commitment Fee or any other fee payable to any Lender, without the consent of each Lender directly affected thereby;</w:t>
      </w:r>
    </w:p>
    <w:p>
      <w:pPr>
        <w:spacing w:after="0" w:line="1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1.1.iiiRelease of Guarantor.</w:t>
      </w:r>
    </w:p>
    <w:p>
      <w:pPr>
        <w:spacing w:after="0" w:line="173" w:lineRule="exact"/>
        <w:rPr>
          <w:sz w:val="20"/>
          <w:szCs w:val="20"/>
          <w:color w:val="auto"/>
        </w:rPr>
      </w:pPr>
    </w:p>
    <w:p>
      <w:pPr>
        <w:jc w:val="both"/>
        <w:ind w:left="1200"/>
        <w:spacing w:after="0" w:line="230" w:lineRule="auto"/>
        <w:rPr>
          <w:sz w:val="20"/>
          <w:szCs w:val="20"/>
          <w:color w:val="auto"/>
        </w:rPr>
      </w:pPr>
      <w:r>
        <w:rPr>
          <w:rFonts w:ascii="Times New Roman" w:cs="Times New Roman" w:eastAsia="Times New Roman" w:hAnsi="Times New Roman"/>
          <w:sz w:val="20"/>
          <w:szCs w:val="20"/>
          <w:color w:val="auto"/>
        </w:rPr>
        <w:t xml:space="preserve">Except for sales of assets permitted by Section 8.2.6 [Dispositions of Assets or Subsidiaries] or Section 8.2.5 [Liquidations, Mergers, Consolidations], release any Guarantor from its Obligations under the Guaranty Agreement without the consent of all Lenders </w:t>
      </w:r>
      <w:r>
        <w:rPr>
          <w:rFonts w:ascii="Times New Roman" w:cs="Times New Roman" w:eastAsia="Times New Roman" w:hAnsi="Times New Roman"/>
          <w:sz w:val="20"/>
          <w:szCs w:val="20"/>
          <w:u w:val="single" w:color="auto"/>
          <w:color w:val="0000FF"/>
        </w:rPr>
        <w:t>(other than Defaulting Lenders)</w:t>
      </w:r>
      <w:r>
        <w:rPr>
          <w:rFonts w:ascii="Times New Roman" w:cs="Times New Roman" w:eastAsia="Times New Roman" w:hAnsi="Times New Roman"/>
          <w:sz w:val="20"/>
          <w:szCs w:val="20"/>
          <w:color w:val="auto"/>
        </w:rPr>
        <w:t>; or</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1.1.ivMiscellaneous.</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Amend Section 5.2 [Pro Rata Treatment of Lenders] or Section 5.3 [Sharing of Payments by Lenders], Section 9.2.4 [Application of Proceeds] or this Section 11.1, alter any provision regarding the pro rata treatment of the Lenders or requiring all Lenders to authorize the taking of any action or alter the definition of Required Lenders, in each case without the consent of all of the Lenders;</w:t>
      </w:r>
    </w:p>
    <w:p>
      <w:pPr>
        <w:spacing w:after="0" w:line="14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agreement, waiver or consent which would modify the interests, rights or obligations of the Administrative Agent, the Issuing Lender, or the Swing Loan Lender may be made without the written consent of the Administrative Agent, the Issuing Lender or the Swing Loan Lender, as applicable,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in connection with any proposed waiver, amendment or modification referred to in Sections 11.1.1 through 11.1.4 above, the consent of the Required Lenders is obtained but the consent of one or more of such other Lenders whose consent is required is not obtained (each a "</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then the Borrower shall have the right to replace any such Non-Consenting Lender with one or more replacement Lenders pursuant to Section 5.6.2 [Replacement of a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44" w:lineRule="exact"/>
        <w:rPr>
          <w:sz w:val="20"/>
          <w:szCs w:val="20"/>
          <w:color w:val="auto"/>
        </w:rPr>
      </w:pPr>
    </w:p>
    <w:p>
      <w:pPr>
        <w:ind w:right="280" w:firstLine="604"/>
        <w:spacing w:after="0" w:line="220" w:lineRule="auto"/>
        <w:rPr>
          <w:sz w:val="20"/>
          <w:szCs w:val="20"/>
          <w:color w:val="auto"/>
        </w:rPr>
      </w:pPr>
      <w:r>
        <w:rPr>
          <w:rFonts w:ascii="Times New Roman" w:cs="Times New Roman" w:eastAsia="Times New Roman" w:hAnsi="Times New Roman"/>
          <w:sz w:val="20"/>
          <w:szCs w:val="20"/>
          <w:color w:val="auto"/>
        </w:rPr>
        <w:t>Notwithstanding anything to the contrary herein,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Loans, Swing Loans and Letter of Credit Obligations and the accrued interest and fees in respect thereof and (b) to include appropriately the Lenders holding such credit facilities in any determination of the Required Lenders.</w:t>
      </w:r>
    </w:p>
    <w:p>
      <w:pPr>
        <w:spacing w:after="0" w:line="14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1.b</w:t>
      </w:r>
      <w:r>
        <w:rPr>
          <w:sz w:val="20"/>
          <w:szCs w:val="20"/>
          <w:color w:val="auto"/>
        </w:rPr>
        <w:tab/>
      </w:r>
      <w:r>
        <w:rPr>
          <w:rFonts w:ascii="Times New Roman" w:cs="Times New Roman" w:eastAsia="Times New Roman" w:hAnsi="Times New Roman"/>
          <w:sz w:val="20"/>
          <w:szCs w:val="20"/>
          <w:color w:val="auto"/>
        </w:rPr>
        <w:t>No Implied Waivers; Cumulative Remedies.</w:t>
      </w:r>
    </w:p>
    <w:p>
      <w:pPr>
        <w:spacing w:after="0" w:line="173" w:lineRule="exact"/>
        <w:rPr>
          <w:sz w:val="20"/>
          <w:szCs w:val="20"/>
          <w:color w:val="auto"/>
        </w:rPr>
      </w:pPr>
    </w:p>
    <w:p>
      <w:pPr>
        <w:jc w:val="both"/>
        <w:ind w:left="1200"/>
        <w:spacing w:after="0" w:line="225" w:lineRule="auto"/>
        <w:rPr>
          <w:sz w:val="20"/>
          <w:szCs w:val="20"/>
          <w:color w:val="auto"/>
        </w:rPr>
      </w:pPr>
      <w:r>
        <w:rPr>
          <w:rFonts w:ascii="Times New Roman" w:cs="Times New Roman" w:eastAsia="Times New Roman" w:hAnsi="Times New Roman"/>
          <w:sz w:val="20"/>
          <w:szCs w:val="20"/>
          <w:color w:val="auto"/>
        </w:rPr>
        <w:t>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71"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spacing w:after="0" w:line="148"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1.c</w:t>
      </w:r>
      <w:r>
        <w:rPr>
          <w:sz w:val="20"/>
          <w:szCs w:val="20"/>
          <w:color w:val="auto"/>
        </w:rPr>
        <w:tab/>
      </w:r>
      <w:r>
        <w:rPr>
          <w:rFonts w:ascii="Times New Roman" w:cs="Times New Roman" w:eastAsia="Times New Roman" w:hAnsi="Times New Roman"/>
          <w:sz w:val="19"/>
          <w:szCs w:val="19"/>
          <w:color w:val="auto"/>
        </w:rPr>
        <w:t>Expenses; Indemnity; Damage Waiver.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1.1.iCosts and Expenses.</w:t>
      </w:r>
    </w:p>
    <w:p>
      <w:pPr>
        <w:spacing w:after="0" w:line="173"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color w:val="auto"/>
        </w:rPr>
        <w:t>The Borrower shall pay (i) all reasonable and documented out-of-pocket expenses incurred by the Administrative Agent and its Affiliates (including the reasonable fees, charges and disbursements of one counsel for the Administrative Agent and, as necessary as determined by the Administrative Agent, one additional local counsel in each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(iii) all reasonable out-of-pocket and documented expenses incurred by the Administrative Agent, any Lender or the Issuing Lender (including the reasonable fees, charges and disbursements of any counsel for the Administrative Agent, any Lender or the Issuing Lender and, as necessary as determined by the Administrative Agent, one additional local counsel in each relevant jurisdiction)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and (iv) all reasonable out-of-pocket expenses of the Administrative Agent's agents or other third parties engaged by the Administrative Agent periodically to perform audits of the Loan Parties' books, records and business properties after the occurrence and during the continuance of an Event of Default.</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1.1.iiIndemnification by the Loan Parties.</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The Loan Parties shall indemnify the Administrative Agent (and any sub-agent thereof), each Lender and the Issuing Lender, and each Related Party of any of the foregoing Persons (each such Person being called an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(including the fees, charges and disbursements of any counsel for any Indemnitee (limited, in the case of the Administrative Agent, to one legal counsel for it and all of its respective Related Parties, unless, in the reasonable business judgment of the Administrative Agent, (i) additional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040"/>
          </w:cols>
          <w:pgMar w:left="520" w:top="1440" w:right="339" w:bottom="1440" w:gutter="0" w:footer="0" w:header="0"/>
        </w:sectPr>
      </w:pPr>
    </w:p>
    <w:bookmarkStart w:id="196" w:name="page197"/>
    <w:bookmarkEnd w:id="196"/>
    <w:p>
      <w:pPr>
        <w:spacing w:after="0" w:line="71" w:lineRule="exact"/>
        <w:rPr>
          <w:sz w:val="20"/>
          <w:szCs w:val="20"/>
          <w:color w:val="auto"/>
        </w:rPr>
      </w:pPr>
    </w:p>
    <w:p>
      <w:pPr>
        <w:jc w:val="both"/>
        <w:ind w:left="1000"/>
        <w:spacing w:after="0" w:line="213" w:lineRule="auto"/>
        <w:rPr>
          <w:sz w:val="20"/>
          <w:szCs w:val="20"/>
          <w:color w:val="auto"/>
        </w:rPr>
      </w:pPr>
      <w:r>
        <w:rPr>
          <w:rFonts w:ascii="Times New Roman" w:cs="Times New Roman" w:eastAsia="Times New Roman" w:hAnsi="Times New Roman"/>
          <w:sz w:val="20"/>
          <w:szCs w:val="20"/>
          <w:color w:val="auto"/>
        </w:rPr>
        <w:t xml:space="preserve">counsel for the applicable Indemnitee is necessary in a relevant jurisdiction or (ii) there is a conflict of interest between or among the applicable Indemnitee requiring additional legal counsel to represent those Indemnitees)) incurred by any Indemnitee or asserted against any Indemnitee by any third party or by any Loan Party arising out of, in connection with, or as a result of (i) the execution or delivery of this Agreement, any other Loan Document or any agreement or instrument contemplated hereby or thereby, the performance or nonperformance by the Loan Parties of their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breach of representations, warranties or covenants of the Loan Parties under the Loan Documents or (iv) any actual or prospective claim, litigation, investigation or proceeding relating to any of the foregoing, including any such items or losses relating to or arising under Environmental Laws or pertaining to environmental matters, whether based on contract, tort or any other theory, whether brought by a third party or by any Loan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Related Parties or (y) result from a claim brought by a Loan Party against such Indemnitee for breach in bad faith of such Indemnitee's obligations hereunder or under any other Loan Document, if such Loan Party has obtained a final and nonappealable judgment in its favor on such claim as determined by a court of competent jurisdiction. This Section 11.3.2 [Indemnification by the Loan Parties] shall not apply with respect to Taxes other than any Taxes that represent losses, claims, damages, etc. arising from any non-Tax claim.</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1.1.iiiReimbursement by Lenders.</w:t>
      </w:r>
    </w:p>
    <w:p>
      <w:pPr>
        <w:spacing w:after="0" w:line="173"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 xml:space="preserve">To the extent that the Borrower for any reason fails to indefeasibly pay any amount required under Sections 11.3.1 [Costs and Expenses] or 11.3.2 [Indemnification by the Loan Parties] to be paid by it to the Administrative Agent (or any sub-agent thereof), the Issuing Lender or any Related Party of any of the foregoing, each Lender severally agrees to pay to the Administrative Agent (or any such sub-agent), the Issuing Lender or such Related Party, as the case may be, such Lender's Ratable Share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or the Issuing Lender in its capacity as such, or against any Related Party of any of the foregoing acting for the Administrative Agent (or any such sub-agent) or Issuing Lender in connection with such capacity.</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1.1.ivWaiver of Consequential Damages, Etc.</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To the fullest extent permitted by applicable Law, the Borrower shall not assert, and hereby waives, any claim against any Indemnitee, on any theory of liability, for special, indirect, consequential or punitive damages (as opposed to direct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040"/>
          </w:cols>
          <w:pgMar w:left="520" w:top="1440" w:right="339" w:bottom="1440" w:gutter="0" w:footer="0" w:header="0"/>
        </w:sectPr>
      </w:pPr>
    </w:p>
    <w:bookmarkStart w:id="197" w:name="page198"/>
    <w:bookmarkEnd w:id="197"/>
    <w:p>
      <w:pPr>
        <w:spacing w:after="0" w:line="71"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Section 11.3.2 [Indemnification by Loan Parties]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1.1.vPayments.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All amounts due under this Section shall be payable not later than ten (10) days after demand therefor.</w:t>
      </w:r>
    </w:p>
    <w:p>
      <w:pPr>
        <w:spacing w:after="0" w:line="173"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1.d</w:t>
      </w:r>
      <w:r>
        <w:rPr>
          <w:sz w:val="20"/>
          <w:szCs w:val="20"/>
          <w:color w:val="auto"/>
        </w:rPr>
        <w:tab/>
      </w:r>
      <w:r>
        <w:rPr>
          <w:rFonts w:ascii="Times New Roman" w:cs="Times New Roman" w:eastAsia="Times New Roman" w:hAnsi="Times New Roman"/>
          <w:sz w:val="20"/>
          <w:szCs w:val="20"/>
          <w:color w:val="auto"/>
        </w:rPr>
        <w:t>Holidays.</w:t>
      </w:r>
    </w:p>
    <w:p>
      <w:pPr>
        <w:spacing w:after="0" w:line="173"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 xml:space="preserve">Whenever payment of a Loan to be made or taken hereunder shall be due on a day which is not a Business Day such payment shall be due on the next Business Day (except as provided in Section 4.2 [Interest Periods] or the </w:t>
      </w:r>
      <w:r>
        <w:rPr>
          <w:rFonts w:ascii="Times New Roman" w:cs="Times New Roman" w:eastAsia="Times New Roman" w:hAnsi="Times New Roman"/>
          <w:sz w:val="20"/>
          <w:szCs w:val="20"/>
          <w:color w:val="FF0000"/>
          <w:strike w:val="1"/>
        </w:rPr>
        <w:t>definitions</w:t>
      </w:r>
      <w:r>
        <w:rPr>
          <w:rFonts w:ascii="Times New Roman" w:cs="Times New Roman" w:eastAsia="Times New Roman" w:hAnsi="Times New Roman"/>
          <w:sz w:val="20"/>
          <w:szCs w:val="20"/>
          <w:u w:val="single" w:color="auto"/>
          <w:color w:val="0000FF"/>
        </w:rPr>
        <w:t>definition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of “Interest Period</w:t>
      </w:r>
      <w:r>
        <w:rPr>
          <w:rFonts w:ascii="Times New Roman" w:cs="Times New Roman" w:eastAsia="Times New Roman" w:hAnsi="Times New Roman"/>
          <w:sz w:val="20"/>
          <w:szCs w:val="20"/>
          <w:color w:val="FF0000"/>
          <w:strike w:val="1"/>
        </w:rPr>
        <w:t>” or “Month</w:t>
      </w:r>
      <w:r>
        <w:rPr>
          <w:rFonts w:ascii="Times New Roman" w:cs="Times New Roman" w:eastAsia="Times New Roman" w:hAnsi="Times New Roman"/>
          <w:sz w:val="20"/>
          <w:szCs w:val="20"/>
          <w:color w:val="000000"/>
        </w:rPr>
        <w:t>”) and such extension of time shall be included in computing interest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 fees, except that the Loans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spacing w:after="0" w:line="148"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1.e</w:t>
      </w:r>
      <w:r>
        <w:rPr>
          <w:sz w:val="20"/>
          <w:szCs w:val="20"/>
          <w:color w:val="auto"/>
        </w:rPr>
        <w:tab/>
      </w:r>
      <w:r>
        <w:rPr>
          <w:rFonts w:ascii="Times New Roman" w:cs="Times New Roman" w:eastAsia="Times New Roman" w:hAnsi="Times New Roman"/>
          <w:sz w:val="20"/>
          <w:szCs w:val="20"/>
          <w:color w:val="auto"/>
        </w:rPr>
        <w:t>Notices; Effectiveness; Electronic Communication.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1.1.iNotices Generally.</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 xml:space="preserve">Except in the case of notices and other communications expressly permitted to be given by telephone (and except as provided in Section 11.5.2 [Electronic Communications]), all notices and other communications provided for herein shall be in writing and shall be delivered by hand or overnight courier service, mailed by certified or registered mail or sent by telecopier (i) if to a Lender, to it at its address set forth in its administrative questionnaire, or (ii) if to any other Person, to it at its address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11.5.2 [Electronic Communications], shall be effective as provided in such Section.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1.1.iiElectronic Communications.</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Notices and other communications to the Lenders and the Issuing Lender hereunder may be delivered or furnished by electronic communication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040"/>
          </w:cols>
          <w:pgMar w:left="520" w:top="1440" w:right="339" w:bottom="1440" w:gutter="0" w:footer="0" w:header="0"/>
        </w:sectPr>
      </w:pPr>
    </w:p>
    <w:bookmarkStart w:id="198" w:name="page199"/>
    <w:bookmarkEnd w:id="198"/>
    <w:p>
      <w:pPr>
        <w:spacing w:after="0" w:line="71" w:lineRule="exact"/>
        <w:rPr>
          <w:sz w:val="20"/>
          <w:szCs w:val="20"/>
          <w:color w:val="auto"/>
        </w:rPr>
      </w:pPr>
    </w:p>
    <w:p>
      <w:pPr>
        <w:jc w:val="both"/>
        <w:ind w:left="1000"/>
        <w:spacing w:after="0" w:line="231" w:lineRule="auto"/>
        <w:rPr>
          <w:sz w:val="20"/>
          <w:szCs w:val="20"/>
          <w:color w:val="auto"/>
        </w:rPr>
      </w:pPr>
      <w:r>
        <w:rPr>
          <w:rFonts w:ascii="Times New Roman" w:cs="Times New Roman" w:eastAsia="Times New Roman" w:hAnsi="Times New Roman"/>
          <w:sz w:val="20"/>
          <w:szCs w:val="20"/>
          <w:color w:val="auto"/>
        </w:rPr>
        <w:t xml:space="preserve">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Issuing Lender if such Lender or the Issuing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1.1.iiiChange of Address, Etc.</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Any party hereto may change its address, e-mail address or telecopier number for notices and other communications hereunder by notice to the other parties hereto.</w:t>
      </w:r>
    </w:p>
    <w:p>
      <w:pPr>
        <w:spacing w:after="0" w:line="140"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1.f</w:t>
      </w:r>
      <w:r>
        <w:rPr>
          <w:sz w:val="20"/>
          <w:szCs w:val="20"/>
          <w:color w:val="auto"/>
        </w:rPr>
        <w:tab/>
      </w:r>
      <w:r>
        <w:rPr>
          <w:rFonts w:ascii="Times New Roman" w:cs="Times New Roman" w:eastAsia="Times New Roman" w:hAnsi="Times New Roman"/>
          <w:sz w:val="19"/>
          <w:szCs w:val="19"/>
          <w:color w:val="auto"/>
        </w:rPr>
        <w:t>Severability.</w:t>
      </w:r>
    </w:p>
    <w:p>
      <w:pPr>
        <w:spacing w:after="0" w:line="173" w:lineRule="exact"/>
        <w:rPr>
          <w:sz w:val="20"/>
          <w:szCs w:val="20"/>
          <w:color w:val="auto"/>
        </w:rPr>
      </w:pPr>
    </w:p>
    <w:p>
      <w:pPr>
        <w:jc w:val="both"/>
        <w:ind w:left="1000"/>
        <w:spacing w:after="0" w:line="219" w:lineRule="auto"/>
        <w:rPr>
          <w:sz w:val="20"/>
          <w:szCs w:val="20"/>
          <w:color w:val="auto"/>
        </w:rPr>
      </w:pPr>
      <w:r>
        <w:rPr>
          <w:rFonts w:ascii="Times New Roman" w:cs="Times New Roman" w:eastAsia="Times New Roman" w:hAnsi="Times New Roman"/>
          <w:sz w:val="20"/>
          <w:szCs w:val="20"/>
          <w:color w:val="auto"/>
        </w:rPr>
        <w:t>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r>
        <w:rPr>
          <w:rFonts w:ascii="Times New Roman" w:cs="Times New Roman" w:eastAsia="Times New Roman" w:hAnsi="Times New Roman"/>
          <w:sz w:val="20"/>
          <w:szCs w:val="20"/>
          <w:u w:val="single" w:color="auto"/>
          <w:color w:val="0000FF"/>
        </w:rPr>
        <w:t>. Without limiting the foregoing provisions of this 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if and to the extent that the enforceability of any provisions in this Agreement relating to Defaulting Lenders shall be limited by Debtor Relief Laws, as determined in good faith by the Administrative Agent, the Issuing Lender or the Swing Loan Lender, as applicable, then such provisions shall be deemed to be in effect only to the extent not so limited</w:t>
      </w:r>
      <w:r>
        <w:rPr>
          <w:rFonts w:ascii="Times New Roman" w:cs="Times New Roman" w:eastAsia="Times New Roman" w:hAnsi="Times New Roman"/>
          <w:sz w:val="20"/>
          <w:szCs w:val="20"/>
          <w:color w:val="000000"/>
        </w:rPr>
        <w:t>.</w:t>
      </w:r>
    </w:p>
    <w:p>
      <w:pPr>
        <w:spacing w:after="0" w:line="141"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1.g</w:t>
      </w:r>
      <w:r>
        <w:rPr>
          <w:sz w:val="20"/>
          <w:szCs w:val="20"/>
          <w:color w:val="auto"/>
        </w:rPr>
        <w:tab/>
      </w:r>
      <w:r>
        <w:rPr>
          <w:rFonts w:ascii="Times New Roman" w:cs="Times New Roman" w:eastAsia="Times New Roman" w:hAnsi="Times New Roman"/>
          <w:sz w:val="20"/>
          <w:szCs w:val="20"/>
          <w:color w:val="auto"/>
        </w:rPr>
        <w:t>Duration; Survival.</w:t>
      </w:r>
    </w:p>
    <w:p>
      <w:pPr>
        <w:spacing w:after="0" w:line="173" w:lineRule="exact"/>
        <w:rPr>
          <w:sz w:val="20"/>
          <w:szCs w:val="20"/>
          <w:color w:val="auto"/>
        </w:rPr>
      </w:pPr>
    </w:p>
    <w:p>
      <w:pPr>
        <w:jc w:val="both"/>
        <w:ind w:left="1000"/>
        <w:spacing w:after="0" w:line="220" w:lineRule="auto"/>
        <w:rPr>
          <w:sz w:val="20"/>
          <w:szCs w:val="20"/>
          <w:color w:val="auto"/>
        </w:rPr>
      </w:pPr>
      <w:r>
        <w:rPr>
          <w:rFonts w:ascii="Times New Roman" w:cs="Times New Roman" w:eastAsia="Times New Roman" w:hAnsi="Times New Roman"/>
          <w:sz w:val="20"/>
          <w:szCs w:val="20"/>
          <w:color w:val="auto"/>
        </w:rPr>
        <w:t>All representations and warranties of the Loan Parties contained herein or made in connection herewith shall survive the execution and delivery of this Agreement, the completion of the transactions hereunder and Payment In Full. All covenants and agreements of the Borrower contained herein relating to the payment of additional compensation or expenses and indemnification, including those set forth in the Article 5 [Payments] and Section 11.3 [Expenses; Indemnity; Damage Waiver], shall survive Payment In Full. All other covenants and agreements of the Loan Parties shall continue in full force and effect from and after the date hereof and until Payment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040"/>
          </w:cols>
          <w:pgMar w:left="520" w:top="1440" w:right="339" w:bottom="1440" w:gutter="0" w:footer="0" w:header="0"/>
        </w:sectPr>
      </w:pPr>
    </w:p>
    <w:bookmarkStart w:id="199" w:name="page200"/>
    <w:bookmarkEnd w:id="199"/>
    <w:p>
      <w:pPr>
        <w:spacing w:after="0" w:line="71"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1.h</w:t>
      </w:r>
      <w:r>
        <w:rPr>
          <w:sz w:val="20"/>
          <w:szCs w:val="20"/>
          <w:color w:val="auto"/>
        </w:rPr>
        <w:tab/>
      </w:r>
      <w:r>
        <w:rPr>
          <w:rFonts w:ascii="Times New Roman" w:cs="Times New Roman" w:eastAsia="Times New Roman" w:hAnsi="Times New Roman"/>
          <w:sz w:val="20"/>
          <w:szCs w:val="20"/>
          <w:color w:val="auto"/>
        </w:rPr>
        <w:t>Successors and Assigns.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1.1.iSuccessors and Assigns Generally.</w:t>
      </w:r>
    </w:p>
    <w:p>
      <w:pPr>
        <w:spacing w:after="0" w:line="173" w:lineRule="exact"/>
        <w:rPr>
          <w:sz w:val="20"/>
          <w:szCs w:val="20"/>
          <w:color w:val="auto"/>
        </w:rPr>
      </w:pPr>
    </w:p>
    <w:p>
      <w:pPr>
        <w:jc w:val="both"/>
        <w:ind w:left="1000"/>
        <w:spacing w:after="0" w:line="215" w:lineRule="auto"/>
        <w:rPr>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t>
      </w:r>
      <w:r>
        <w:rPr>
          <w:rFonts w:ascii="Times New Roman" w:cs="Times New Roman" w:eastAsia="Times New Roman" w:hAnsi="Times New Roman"/>
          <w:sz w:val="20"/>
          <w:szCs w:val="20"/>
          <w:u w:val="single" w:color="auto"/>
          <w:color w:val="0000FF"/>
        </w:rPr>
        <w:t>(including, in each case, by way of an LLC Division)</w:t>
      </w:r>
      <w:r>
        <w:rPr>
          <w:rFonts w:ascii="Times New Roman" w:cs="Times New Roman" w:eastAsia="Times New Roman" w:hAnsi="Times New Roman"/>
          <w:sz w:val="20"/>
          <w:szCs w:val="20"/>
          <w:color w:val="auto"/>
        </w:rPr>
        <w:t xml:space="preserve"> without the prior written consent of the Administrative Agent and each Lender and no Lender may assign or otherwise transfer any of its rights or obligations hereunder except (i) to an assignee in accordance with the provisions of Section 11.8.2 [Assignments by Lenders], (ii) by way of participation in accordance with the provisions of Section 11.8.4 [Participations], or (iii) by way of pledge or assignment of a security interest subject to the restrictions of Section 11.8.5 [Certain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11.8.4 [Participations] and, to the extent expressly contemplated hereby, the Related Parties of each of the Administrative Agent and the Lenders) any legal or equitable right, remedy or claim under or by reason of this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1.1.iiAssignments by Lenders.</w:t>
      </w:r>
    </w:p>
    <w:p>
      <w:pPr>
        <w:spacing w:after="0" w:line="173"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 xml:space="preserve">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44" w:lineRule="exact"/>
        <w:rPr>
          <w:sz w:val="20"/>
          <w:szCs w:val="20"/>
          <w:color w:val="auto"/>
        </w:rPr>
      </w:pPr>
    </w:p>
    <w:p>
      <w:pPr>
        <w:ind w:left="2200" w:hanging="407"/>
        <w:spacing w:after="0"/>
        <w:tabs>
          <w:tab w:leader="none" w:pos="22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200" w:right="240" w:firstLine="2416"/>
        <w:spacing w:after="0" w:line="230" w:lineRule="auto"/>
        <w:tabs>
          <w:tab w:leader="none" w:pos="2815"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43" w:lineRule="exact"/>
        <w:rPr>
          <w:rFonts w:ascii="Times New Roman" w:cs="Times New Roman" w:eastAsia="Times New Roman" w:hAnsi="Times New Roman"/>
          <w:sz w:val="20"/>
          <w:szCs w:val="20"/>
          <w:color w:val="auto"/>
        </w:rPr>
      </w:pPr>
    </w:p>
    <w:p>
      <w:pPr>
        <w:ind w:left="-200" w:right="140" w:firstLine="2416"/>
        <w:spacing w:after="0" w:line="217" w:lineRule="auto"/>
        <w:tabs>
          <w:tab w:leader="none" w:pos="2815"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clause (i)(A) of this Section 11.8.2,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$5,000,000, in the case of any assignment in respect of the Revolving Credit Commitment of the assigning Lender, unless each of the Administrative Agent and, so long as no Event of Default has occurred and is continuing, the Borrower otherwise consents (each such consent not to be unreasonably withheld or delayed).</w:t>
      </w:r>
    </w:p>
    <w:p>
      <w:pPr>
        <w:spacing w:after="0" w:line="148" w:lineRule="exact"/>
        <w:rPr>
          <w:rFonts w:ascii="Times New Roman" w:cs="Times New Roman" w:eastAsia="Times New Roman" w:hAnsi="Times New Roman"/>
          <w:sz w:val="20"/>
          <w:szCs w:val="20"/>
          <w:color w:val="auto"/>
        </w:rPr>
      </w:pPr>
    </w:p>
    <w:p>
      <w:pPr>
        <w:ind w:left="-200" w:right="40" w:firstLine="1993"/>
        <w:spacing w:after="0" w:line="242" w:lineRule="auto"/>
        <w:tabs>
          <w:tab w:leader="none" w:pos="220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040"/>
          </w:cols>
          <w:pgMar w:left="520" w:top="1440" w:right="339" w:bottom="1440" w:gutter="0" w:footer="0" w:header="0"/>
        </w:sectPr>
      </w:pPr>
    </w:p>
    <w:bookmarkStart w:id="200" w:name="page201"/>
    <w:bookmarkEnd w:id="200"/>
    <w:p>
      <w:pPr>
        <w:spacing w:after="0" w:line="71" w:lineRule="exact"/>
        <w:rPr>
          <w:sz w:val="20"/>
          <w:szCs w:val="20"/>
          <w:color w:val="auto"/>
        </w:rPr>
      </w:pPr>
    </w:p>
    <w:p>
      <w:pPr>
        <w:ind w:firstLine="1993"/>
        <w:spacing w:after="0" w:line="230" w:lineRule="auto"/>
        <w:tabs>
          <w:tab w:leader="none" w:pos="2405"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for the consent of the Administrative Agent (which shall not be unreasonably withheld or delayed) unless such assignment is to a Lender, an Affiliate of a Lender or an Approved Fund and:</w:t>
      </w:r>
    </w:p>
    <w:p>
      <w:pPr>
        <w:spacing w:after="0" w:line="143" w:lineRule="exact"/>
        <w:rPr>
          <w:rFonts w:ascii="Times New Roman" w:cs="Times New Roman" w:eastAsia="Times New Roman" w:hAnsi="Times New Roman"/>
          <w:sz w:val="20"/>
          <w:szCs w:val="20"/>
          <w:color w:val="auto"/>
        </w:rPr>
      </w:pPr>
    </w:p>
    <w:p>
      <w:pPr>
        <w:ind w:right="20" w:firstLine="2416"/>
        <w:spacing w:after="0" w:line="222" w:lineRule="auto"/>
        <w:tabs>
          <w:tab w:leader="none" w:pos="301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Borrower (such consent not to be unreasonably withheld or delayed) shall be required unless (x) an Event of Default has occurred and is continuing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ten (10) Business Days after the Administrative Agent has received confirmation from the Borrower that it has received notice thereof; and</w:t>
      </w:r>
    </w:p>
    <w:p>
      <w:pPr>
        <w:spacing w:after="0" w:line="144" w:lineRule="exact"/>
        <w:rPr>
          <w:rFonts w:ascii="Times New Roman" w:cs="Times New Roman" w:eastAsia="Times New Roman" w:hAnsi="Times New Roman"/>
          <w:sz w:val="20"/>
          <w:szCs w:val="20"/>
          <w:color w:val="auto"/>
        </w:rPr>
      </w:pPr>
    </w:p>
    <w:p>
      <w:pPr>
        <w:ind w:right="120" w:firstLine="2416"/>
        <w:spacing w:after="0" w:line="230" w:lineRule="auto"/>
        <w:tabs>
          <w:tab w:leader="none" w:pos="301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Issuing Lender (such consent not to be unreasonably withheld or delayed) shall be required for any assignment that increases the obligation of the assignee to participate in exposure under one or more Letters of Credit (whether or not then outstanding).</w:t>
      </w:r>
    </w:p>
    <w:p>
      <w:pPr>
        <w:spacing w:after="0" w:line="143" w:lineRule="exact"/>
        <w:rPr>
          <w:rFonts w:ascii="Times New Roman" w:cs="Times New Roman" w:eastAsia="Times New Roman" w:hAnsi="Times New Roman"/>
          <w:sz w:val="20"/>
          <w:szCs w:val="20"/>
          <w:color w:val="auto"/>
        </w:rPr>
      </w:pPr>
    </w:p>
    <w:p>
      <w:pPr>
        <w:ind w:right="380" w:firstLine="1993"/>
        <w:spacing w:after="0" w:line="225" w:lineRule="auto"/>
        <w:tabs>
          <w:tab w:leader="none" w:pos="240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 Agreement</w:t>
      </w:r>
      <w:r>
        <w:rPr>
          <w:rFonts w:ascii="Times New Roman" w:cs="Times New Roman" w:eastAsia="Times New Roman" w:hAnsi="Times New Roman"/>
          <w:sz w:val="20"/>
          <w:szCs w:val="20"/>
          <w:color w:val="auto"/>
        </w:rPr>
        <w:t>. The parties to each assignment shall execute and deliver to the Administrative Agent an Assignment and Assumption Agreement, together with a processing and recordation fee of $3,500, and the assignee, if it is not a Lender, shall deliver to the Administrative Agent an administrative questionnaire provided by the Administrative Agent.</w:t>
      </w:r>
    </w:p>
    <w:p>
      <w:pPr>
        <w:spacing w:after="0" w:line="143" w:lineRule="exact"/>
        <w:rPr>
          <w:rFonts w:ascii="Times New Roman" w:cs="Times New Roman" w:eastAsia="Times New Roman" w:hAnsi="Times New Roman"/>
          <w:sz w:val="20"/>
          <w:szCs w:val="20"/>
          <w:color w:val="auto"/>
        </w:rPr>
      </w:pPr>
    </w:p>
    <w:p>
      <w:pPr>
        <w:ind w:right="40" w:firstLine="1993"/>
        <w:spacing w:after="0" w:line="230" w:lineRule="auto"/>
        <w:tabs>
          <w:tab w:leader="none" w:pos="2405"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Borrower</w:t>
      </w:r>
      <w:r>
        <w:rPr>
          <w:rFonts w:ascii="Times New Roman" w:cs="Times New Roman" w:eastAsia="Times New Roman" w:hAnsi="Times New Roman"/>
          <w:sz w:val="20"/>
          <w:szCs w:val="20"/>
          <w:color w:val="auto"/>
        </w:rPr>
        <w:t>. No such assignment shall be made to (1) the Borrower or any of the Borrower's Affiliates or Subsidiaries, (2) any Defaulting Lender, or (3) any Person who, upon becoming a Lender hereunder, would constitute any of the foregoing Persons described in clause (1) or clause (2).</w:t>
      </w:r>
    </w:p>
    <w:p>
      <w:pPr>
        <w:spacing w:after="0" w:line="143" w:lineRule="exact"/>
        <w:rPr>
          <w:rFonts w:ascii="Times New Roman" w:cs="Times New Roman" w:eastAsia="Times New Roman" w:hAnsi="Times New Roman"/>
          <w:sz w:val="20"/>
          <w:szCs w:val="20"/>
          <w:color w:val="auto"/>
        </w:rPr>
      </w:pPr>
    </w:p>
    <w:p>
      <w:pPr>
        <w:ind w:right="580" w:firstLine="1993"/>
        <w:spacing w:after="0" w:line="242" w:lineRule="auto"/>
        <w:tabs>
          <w:tab w:leader="none" w:pos="240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 Non-Financial Institutions</w:t>
      </w:r>
      <w:r>
        <w:rPr>
          <w:rFonts w:ascii="Times New Roman" w:cs="Times New Roman" w:eastAsia="Times New Roman" w:hAnsi="Times New Roman"/>
          <w:sz w:val="20"/>
          <w:szCs w:val="20"/>
          <w:color w:val="auto"/>
        </w:rPr>
        <w:t>. No such assignment shall be made to a natural Person or any Person that is not a financial institution.</w:t>
      </w:r>
    </w:p>
    <w:p>
      <w:pPr>
        <w:spacing w:after="0" w:line="140" w:lineRule="exact"/>
        <w:rPr>
          <w:rFonts w:ascii="Times New Roman" w:cs="Times New Roman" w:eastAsia="Times New Roman" w:hAnsi="Times New Roman"/>
          <w:sz w:val="20"/>
          <w:szCs w:val="20"/>
          <w:color w:val="auto"/>
        </w:rPr>
      </w:pPr>
    </w:p>
    <w:p>
      <w:pPr>
        <w:ind w:right="20" w:firstLine="1993"/>
        <w:spacing w:after="0" w:line="215" w:lineRule="auto"/>
        <w:tabs>
          <w:tab w:leader="none" w:pos="2403" w:val="left"/>
        </w:tabs>
        <w:numPr>
          <w:ilvl w:val="0"/>
          <w:numId w:val="145"/>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Certain Additional Payments. In connection with any assignment of rights and obligations of any Defaulting Lender hereunder, no such assignment shall 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 Loan Lender and each other Lender hereunder (and interest accrued thereon), and (y) acquire (and fund as appropriate) its full pro rata share of all Loans and participations in Letters of Credit and Swing Loans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Subject to acceptance and recording thereof by the Administrative Agent pursuant to Section 11.8.3 [Register], from and after the effective date specified in each Assignment and Assumption Agreement, the assignee thereunder shall be a party to this Agreement and, to the extent of the interest assigned by such Assignment and Assumption Agreement, have the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7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0"/>
          <w:szCs w:val="20"/>
          <w:color w:val="auto"/>
        </w:rPr>
        <w:t>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Sections 4.4 [LIBOR Rate Unascertainable; Etc.], 5.8 [Increased Costs], and 11.3 [Expenses, Indemnity; Damage Waiver] with respect to facts and circumstances occurring prior to the effective date of such assignment</w:t>
      </w:r>
      <w:r>
        <w:rPr>
          <w:rFonts w:ascii="Times New Roman" w:cs="Times New Roman" w:eastAsia="Times New Roman" w:hAnsi="Times New Roman"/>
          <w:sz w:val="20"/>
          <w:szCs w:val="20"/>
          <w:u w:val="single" w:color="auto"/>
          <w:color w:val="0000FF"/>
        </w:rPr>
        <w:t>; provided, that except to the extent otherwise expressly agreed by the affected parties, no assignment by a Defaulting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will constitute a waiver or release of any claim of any party hereunder arising from that Lender’s having been a Defaulting Lender</w:t>
      </w:r>
      <w:r>
        <w:rPr>
          <w:rFonts w:ascii="Times New Roman" w:cs="Times New Roman" w:eastAsia="Times New Roman" w:hAnsi="Times New Roman"/>
          <w:sz w:val="20"/>
          <w:szCs w:val="20"/>
          <w:color w:val="000000"/>
        </w:rPr>
        <w:t>.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assignment or transfer by a Lender of rights or obligations under this Agreement that does not comply with this Section 11.8.2 shall be treated for purposes of this Agreement as a sale by such Lender of a participation in such rights and obligations in accordance with Section 11.8.4 [Participations].</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1.1.iiiRegister.</w:t>
      </w:r>
    </w:p>
    <w:p>
      <w:pPr>
        <w:spacing w:after="0" w:line="173" w:lineRule="exact"/>
        <w:rPr>
          <w:sz w:val="20"/>
          <w:szCs w:val="20"/>
          <w:color w:val="auto"/>
        </w:rPr>
      </w:pPr>
    </w:p>
    <w:p>
      <w:pPr>
        <w:jc w:val="both"/>
        <w:ind w:left="1200"/>
        <w:spacing w:after="0" w:line="214" w:lineRule="auto"/>
        <w:rPr>
          <w:sz w:val="20"/>
          <w:szCs w:val="20"/>
          <w:color w:val="auto"/>
        </w:rPr>
      </w:pPr>
      <w:r>
        <w:rPr>
          <w:rFonts w:ascii="Times New Roman" w:cs="Times New Roman" w:eastAsia="Times New Roman" w:hAnsi="Times New Roman"/>
          <w:sz w:val="20"/>
          <w:szCs w:val="20"/>
          <w:color w:val="auto"/>
        </w:rPr>
        <w:t>The Administrative Agent, acting solely for this purpose as an agent of the Borrower, shall maintain a record of the names and addresses of the Lenders (including, for purposes of this Section 11.8 [Successors and Assigns], the Issuing Lender), and the Commitments of, and principal amounts (and related interest amounts) of the Loans owing to, each Lender pursuant to the terms hereof from time to time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Such Register shall be conclusive, and the Borrower, the Administrative Agent and the Lenders shall treat each Person whose name is reflected in such Register pursuant to the terms hereof as a Lender hereunder for all purposes of this Agreement, notwithstanding notice to the contrary. Notwithstanding anything to the contrary in this Agreement, no assignment shall be effective unless and until reflected in the Register. The Register shall be available for inspection by the Borrower and any Lender, at any reasonable time and from time to time upon reasonable prior notice. Notwithstanding anything to the contrary contained in this Agreement, the Loans and Letters of Credit are intended to be treated as registered obligations for U.S. federal income tax purposes and the provisions of Section 11.8.3 and 11.8.4 shall be construed so that the they are at all times maintained in "registered form" within the meaning of Sections 163(f), 871(h)(2) and 881(c)(2) of the Code and Section 5f.103-1(c) of the United States Treasury Regulation and any other related regulations (or any successor provisions of the Code or such regulations).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1.1.ivParticipations.</w:t>
      </w:r>
    </w:p>
    <w:p>
      <w:pPr>
        <w:spacing w:after="0" w:line="173" w:lineRule="exact"/>
        <w:rPr>
          <w:sz w:val="20"/>
          <w:szCs w:val="20"/>
          <w:color w:val="auto"/>
        </w:rPr>
      </w:pPr>
    </w:p>
    <w:p>
      <w:pPr>
        <w:jc w:val="both"/>
        <w:ind w:left="1200"/>
        <w:spacing w:after="0" w:line="217" w:lineRule="auto"/>
        <w:rPr>
          <w:sz w:val="20"/>
          <w:szCs w:val="20"/>
          <w:color w:val="auto"/>
        </w:rPr>
      </w:pPr>
      <w:r>
        <w:rPr>
          <w:rFonts w:ascii="Times New Roman" w:cs="Times New Roman" w:eastAsia="Times New Roman" w:hAnsi="Times New Roman"/>
          <w:sz w:val="20"/>
          <w:szCs w:val="20"/>
          <w:color w:val="auto"/>
        </w:rPr>
        <w:t>Any Lender may at any time, without the consent of, or notice to, the Borrower or the Administrative Agent, sell participations to any Person (other than a natural person, a Defaulting Lender, the Borrower or any of the Borrower's Affiliates or Subsidiaries or a Person that is not a financial institution) (each, a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Issuing Lender shall continue to deal solely and directly with such Lender in connection with such Lender's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71" w:lineRule="exact"/>
        <w:rPr>
          <w:sz w:val="20"/>
          <w:szCs w:val="20"/>
          <w:color w:val="auto"/>
        </w:rPr>
      </w:pPr>
    </w:p>
    <w:p>
      <w:pPr>
        <w:jc w:val="both"/>
        <w:ind w:left="1000"/>
        <w:spacing w:after="0" w:line="218"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(other than as is already provided for herein) to any amendment, modification or waiver with respect to Sections 11.1.1 [Increase of Commitment], 11.1.2 [Extension of Payment, Etc.], or 11.1.3 [Release of Guarantor]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Sections 4.4 [LIBOR Rate Unascertainable, Etc.], 5.8.1 [Increased Costs], 5.10 [Indemnity] and 5.9 [Taxes] (subject to the requirements and limitations therein, including the requirements under Section 5.9.7 [Status of Lenders] (it being understood that the documentation required under Section 5.9.7 [Status of Lenders] shall be delivered to the participating Lender)) to the same extent as if it were a Lender and had acquired its interest by assignment pursuant to Section 11.8.2 [Assignments by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Section 5.6.2 [Replacement of a Lender] and Section 5.6.3 [Designation of a Different Lending Office] as if it were an assignee under Section 11.8.2 [Assignments by Lenders]; and (B) shall not be entitled to receive any greater payment under Sections 5.8 [Increased Costs] or 5.9 [Taxes], with respect to any participation, than its participating Lender would have been entitled to receive. Each Lender that sells a participation agrees, at the Borrower's request and expense, to use reasonable efforts to cooperate with the Borrower to effectuate the provisions of Section 5.6.2 [Replacement of a Lender] and Section 5.6.3 [Designation of Different Lending Office] with respect to any Participant. To the extent permitted by law, each Participant also shall be entitled to the benefits of Section 9.2.3 [Set-off]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Section 5.3 [Sharing of Payments by Lenders]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(i) that the portion of the Participant Register relating to a Participant shall be made available to the Borrower and Administrative Agent to the extent the benefits of this Agreement are claimed with respect to such Participant (including under Section 5.8.1, 5.10 and 5.9), and/or (ii) otherwise to the extent that such disclosure is necessary to establish that such commitment, loan, letter of credit or other obligation is in registered form under Section 163(f), 871(h)(2) and 881(c)(2) of the Code and Section 5f.103-1(c) of the United States Treasury Regulations any other related regulations (or any successor provisions of the Code or such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1.1.vCertain Pledges; Successors and Assigns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040"/>
          </w:cols>
          <w:pgMar w:left="520" w:top="1440" w:right="339" w:bottom="1440" w:gutter="0" w:footer="0" w:header="0"/>
        </w:sectPr>
      </w:pPr>
    </w:p>
    <w:bookmarkStart w:id="203" w:name="page204"/>
    <w:bookmarkEnd w:id="203"/>
    <w:p>
      <w:pPr>
        <w:spacing w:after="0" w:line="71"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1.i</w:t>
      </w:r>
      <w:r>
        <w:rPr>
          <w:sz w:val="20"/>
          <w:szCs w:val="20"/>
          <w:color w:val="auto"/>
        </w:rPr>
        <w:tab/>
      </w:r>
      <w:r>
        <w:rPr>
          <w:rFonts w:ascii="Times New Roman" w:cs="Times New Roman" w:eastAsia="Times New Roman" w:hAnsi="Times New Roman"/>
          <w:sz w:val="19"/>
          <w:szCs w:val="19"/>
          <w:color w:val="auto"/>
        </w:rPr>
        <w:t>Confidentiality.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1.1.iGeneral.</w:t>
      </w:r>
    </w:p>
    <w:p>
      <w:pPr>
        <w:spacing w:after="0" w:line="173" w:lineRule="exact"/>
        <w:rPr>
          <w:sz w:val="20"/>
          <w:szCs w:val="20"/>
          <w:color w:val="auto"/>
        </w:rPr>
      </w:pPr>
    </w:p>
    <w:p>
      <w:pPr>
        <w:jc w:val="both"/>
        <w:ind w:left="1000"/>
        <w:spacing w:after="0" w:line="211" w:lineRule="auto"/>
        <w:rPr>
          <w:sz w:val="20"/>
          <w:szCs w:val="20"/>
          <w:color w:val="auto"/>
        </w:rPr>
      </w:pPr>
      <w:r>
        <w:rPr>
          <w:rFonts w:ascii="Times New Roman" w:cs="Times New Roman" w:eastAsia="Times New Roman" w:hAnsi="Times New Roman"/>
          <w:sz w:val="20"/>
          <w:szCs w:val="20"/>
          <w:color w:val="auto"/>
        </w:rPr>
        <w:t>Each of the Administrative Agent, the Lenders and the Issuing Lender agrees to maintain the confidentiality of the Information,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or derivative transaction relating to the Borrower and its obligations,</w:t>
      </w:r>
    </w:p>
    <w:p>
      <w:pPr>
        <w:spacing w:after="0" w:line="11" w:lineRule="exact"/>
        <w:rPr>
          <w:sz w:val="20"/>
          <w:szCs w:val="20"/>
          <w:color w:val="auto"/>
        </w:rPr>
      </w:pPr>
    </w:p>
    <w:p>
      <w:pPr>
        <w:jc w:val="both"/>
        <w:ind w:left="1000" w:firstLine="8"/>
        <w:spacing w:after="0" w:line="216" w:lineRule="auto"/>
        <w:tabs>
          <w:tab w:leader="none" w:pos="141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Borrower in its sole discretion or (viii) to the extent such Information (Y) becomes publicly available other than as a result of a breach of this Section or (Z) was or becomes available to the Administrative Agent, any Lender, the Issuing Lender or any of their respective Affiliates on a non-confidential basis from a source other than the Borrower or any of its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1.1.iiSharing Information With Affiliates of the Lenders.</w:t>
      </w:r>
    </w:p>
    <w:p>
      <w:pPr>
        <w:spacing w:after="0" w:line="173" w:lineRule="exact"/>
        <w:rPr>
          <w:sz w:val="20"/>
          <w:szCs w:val="20"/>
          <w:color w:val="auto"/>
        </w:rPr>
      </w:pPr>
    </w:p>
    <w:p>
      <w:pPr>
        <w:jc w:val="both"/>
        <w:ind w:left="1000"/>
        <w:spacing w:after="0" w:line="222" w:lineRule="auto"/>
        <w:rPr>
          <w:sz w:val="20"/>
          <w:szCs w:val="20"/>
          <w:color w:val="auto"/>
        </w:rPr>
      </w:pPr>
      <w:r>
        <w:rPr>
          <w:rFonts w:ascii="Times New Roman" w:cs="Times New Roman" w:eastAsia="Times New Roman" w:hAnsi="Times New Roman"/>
          <w:sz w:val="20"/>
          <w:szCs w:val="20"/>
          <w:color w:val="auto"/>
        </w:rPr>
        <w:t>Each Loan Party acknowledges that from time to time financial advisory, investment banking and other services may be offered or provided to the Borrower or one or more of its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to any such Subsidiary or Affiliate subject to the provisions of Section 11.9.1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040"/>
          </w:cols>
          <w:pgMar w:left="520" w:top="1440" w:right="339" w:bottom="1440" w:gutter="0" w:footer="0" w:header="0"/>
        </w:sectPr>
      </w:pPr>
    </w:p>
    <w:bookmarkStart w:id="204" w:name="page205"/>
    <w:bookmarkEnd w:id="204"/>
    <w:p>
      <w:pPr>
        <w:spacing w:after="0" w:line="7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20"/>
          <w:szCs w:val="20"/>
          <w:color w:val="auto"/>
        </w:rPr>
        <w:t>1.j</w:t>
      </w:r>
      <w:r>
        <w:rPr>
          <w:sz w:val="20"/>
          <w:szCs w:val="20"/>
          <w:color w:val="auto"/>
        </w:rPr>
        <w:tab/>
      </w:r>
      <w:r>
        <w:rPr>
          <w:rFonts w:ascii="Times New Roman" w:cs="Times New Roman" w:eastAsia="Times New Roman" w:hAnsi="Times New Roman"/>
          <w:sz w:val="20"/>
          <w:szCs w:val="20"/>
          <w:color w:val="auto"/>
        </w:rPr>
        <w:t>Counterparts; Integration; Effectiveness.</w:t>
      </w:r>
    </w:p>
    <w:p>
      <w:pPr>
        <w:spacing w:after="0" w:line="173" w:lineRule="exact"/>
        <w:rPr>
          <w:sz w:val="20"/>
          <w:szCs w:val="20"/>
          <w:color w:val="auto"/>
        </w:rPr>
      </w:pPr>
    </w:p>
    <w:p>
      <w:pPr>
        <w:jc w:val="both"/>
        <w:ind w:left="1200"/>
        <w:spacing w:after="0" w:line="216" w:lineRule="auto"/>
        <w:rPr>
          <w:sz w:val="20"/>
          <w:szCs w:val="20"/>
          <w:color w:val="auto"/>
        </w:rPr>
      </w:pPr>
      <w:r>
        <w:rPr>
          <w:rFonts w:ascii="Times New Roman" w:cs="Times New Roman" w:eastAsia="Times New Roman" w:hAnsi="Times New Roman"/>
          <w:sz w:val="20"/>
          <w:szCs w:val="20"/>
          <w:color w:val="auto"/>
        </w:rPr>
        <w:t>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Article 7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spacing w:after="0" w:line="144" w:lineRule="exact"/>
        <w:rPr>
          <w:sz w:val="20"/>
          <w:szCs w:val="20"/>
          <w:color w:val="auto"/>
        </w:rPr>
      </w:pPr>
    </w:p>
    <w:p>
      <w:pPr>
        <w:ind w:right="140" w:firstLine="604"/>
        <w:spacing w:after="0" w:line="242" w:lineRule="auto"/>
        <w:rPr>
          <w:sz w:val="20"/>
          <w:szCs w:val="20"/>
          <w:color w:val="auto"/>
        </w:rPr>
      </w:pPr>
      <w:r>
        <w:rPr>
          <w:rFonts w:ascii="Times New Roman" w:cs="Times New Roman" w:eastAsia="Times New Roman" w:hAnsi="Times New Roman"/>
          <w:sz w:val="20"/>
          <w:szCs w:val="20"/>
          <w:color w:val="auto"/>
        </w:rPr>
        <w:t>1.k CHOICE OF LAW; SUBMISSION TO JURISDICTION; WAIVER OF VENUE; SERVICE OF PROCESS; WAIVER OF JURY TRIAL.</w:t>
      </w:r>
    </w:p>
    <w:p>
      <w:pPr>
        <w:spacing w:after="0" w:line="1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1.1.iGoverning Law.</w:t>
      </w:r>
    </w:p>
    <w:p>
      <w:pPr>
        <w:spacing w:after="0" w:line="173" w:lineRule="exact"/>
        <w:rPr>
          <w:sz w:val="20"/>
          <w:szCs w:val="20"/>
          <w:color w:val="auto"/>
        </w:rPr>
      </w:pPr>
    </w:p>
    <w:p>
      <w:pPr>
        <w:jc w:val="both"/>
        <w:ind w:left="1200"/>
        <w:spacing w:after="0" w:line="219" w:lineRule="auto"/>
        <w:rPr>
          <w:sz w:val="20"/>
          <w:szCs w:val="20"/>
          <w:color w:val="auto"/>
        </w:rPr>
      </w:pPr>
      <w:r>
        <w:rPr>
          <w:rFonts w:ascii="Times New Roman" w:cs="Times New Roman" w:eastAsia="Times New Roman" w:hAnsi="Times New Roman"/>
          <w:sz w:val="20"/>
          <w:szCs w:val="20"/>
          <w:color w:val="auto"/>
        </w:rPr>
        <w:t>This Agreement shall be deemed to be a contract under the Laws of the State of New York without regard to its conflict of laws principles other than Section 5-1401 and Section 5-1402 of the New York General Obligations Law. Each standby Letter of Credit issued under this Agreement shall be subject either to the rules of the Uniform Customs and Practice for Documentary Credits, as most recently published by the International Chamber of Commerce (the "</w:t>
      </w:r>
      <w:r>
        <w:rPr>
          <w:rFonts w:ascii="Times New Roman" w:cs="Times New Roman" w:eastAsia="Times New Roman" w:hAnsi="Times New Roman"/>
          <w:sz w:val="20"/>
          <w:szCs w:val="20"/>
          <w:b w:val="1"/>
          <w:bCs w:val="1"/>
          <w:color w:val="auto"/>
        </w:rPr>
        <w:t>ICC</w:t>
      </w:r>
      <w:r>
        <w:rPr>
          <w:rFonts w:ascii="Times New Roman" w:cs="Times New Roman" w:eastAsia="Times New Roman" w:hAnsi="Times New Roman"/>
          <w:sz w:val="20"/>
          <w:szCs w:val="20"/>
          <w:color w:val="auto"/>
        </w:rPr>
        <w:t>") at the time of issuance ("</w:t>
      </w:r>
      <w:r>
        <w:rPr>
          <w:rFonts w:ascii="Times New Roman" w:cs="Times New Roman" w:eastAsia="Times New Roman" w:hAnsi="Times New Roman"/>
          <w:sz w:val="20"/>
          <w:szCs w:val="20"/>
          <w:b w:val="1"/>
          <w:bCs w:val="1"/>
          <w:color w:val="auto"/>
        </w:rPr>
        <w:t>UCP</w:t>
      </w:r>
      <w:r>
        <w:rPr>
          <w:rFonts w:ascii="Times New Roman" w:cs="Times New Roman" w:eastAsia="Times New Roman" w:hAnsi="Times New Roman"/>
          <w:sz w:val="20"/>
          <w:szCs w:val="20"/>
          <w:color w:val="auto"/>
        </w:rPr>
        <w:t>") or the rules of the International Standby Practices (ICC Publication Number 590) ("</w:t>
      </w:r>
      <w:r>
        <w:rPr>
          <w:rFonts w:ascii="Times New Roman" w:cs="Times New Roman" w:eastAsia="Times New Roman" w:hAnsi="Times New Roman"/>
          <w:sz w:val="20"/>
          <w:szCs w:val="20"/>
          <w:b w:val="1"/>
          <w:bCs w:val="1"/>
          <w:color w:val="auto"/>
        </w:rPr>
        <w:t>ISP98</w:t>
      </w:r>
      <w:r>
        <w:rPr>
          <w:rFonts w:ascii="Times New Roman" w:cs="Times New Roman" w:eastAsia="Times New Roman" w:hAnsi="Times New Roman"/>
          <w:sz w:val="20"/>
          <w:szCs w:val="20"/>
          <w:color w:val="auto"/>
        </w:rPr>
        <w:t>"), as determined by the Issuing Lender, and in each case to the extent not inconsistent therewith, the Laws of the State of New York without regard to its conflict of laws principles.</w:t>
      </w:r>
    </w:p>
    <w:p>
      <w:pPr>
        <w:spacing w:after="0" w:line="1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1.1.iiSUBMISSION TO JURISDICTION.</w:t>
      </w:r>
    </w:p>
    <w:p>
      <w:pPr>
        <w:spacing w:after="0" w:line="173" w:lineRule="exact"/>
        <w:rPr>
          <w:sz w:val="20"/>
          <w:szCs w:val="20"/>
          <w:color w:val="auto"/>
        </w:rPr>
      </w:pPr>
    </w:p>
    <w:p>
      <w:pPr>
        <w:jc w:val="both"/>
        <w:ind w:left="1200"/>
        <w:spacing w:after="0" w:line="215" w:lineRule="auto"/>
        <w:rPr>
          <w:sz w:val="20"/>
          <w:szCs w:val="20"/>
          <w:color w:val="auto"/>
        </w:rPr>
      </w:pPr>
      <w:r>
        <w:rPr>
          <w:rFonts w:ascii="Times New Roman" w:cs="Times New Roman" w:eastAsia="Times New Roman" w:hAnsi="Times New Roman"/>
          <w:sz w:val="20"/>
          <w:szCs w:val="20"/>
          <w:color w:val="auto"/>
        </w:rPr>
        <w:t>THE BORROWER AND EACH OTHER LOAN PARTY IRREVOCABLY AND UNCONDITIONALLY SUBMITS, FOR ITSELF AND ITS PROPERTY, TO THE NONEXCLUSIVE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71"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OR IN ANY OTHER LOAN DOCUMENT SHALL AFFECT ANY RIGHT THAT THE ADMINISTRATIVE AGENT, ANY LENDER OR THE ISSUING LENDER MAY OTHERWISE HAVE TO BRING ANY ACTION OR PROCEEDING RELATING TO THIS AGREEMENT OR ANY OTHER LOAN DOCUMENT AGAINST THE BORROWER OR ANY OTHER LOAN PARTY OR ITS PROPERTIES IN THE COURTS OF ANY JURISDICTION.</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1.1.iiiWAIVER OF VENUE.</w:t>
      </w:r>
    </w:p>
    <w:p>
      <w:pPr>
        <w:spacing w:after="0" w:line="173" w:lineRule="exact"/>
        <w:rPr>
          <w:sz w:val="20"/>
          <w:szCs w:val="20"/>
          <w:color w:val="auto"/>
        </w:rPr>
      </w:pPr>
    </w:p>
    <w:p>
      <w:pPr>
        <w:jc w:val="both"/>
        <w:ind w:left="1000"/>
        <w:spacing w:after="0" w:line="217" w:lineRule="auto"/>
        <w:rPr>
          <w:sz w:val="20"/>
          <w:szCs w:val="20"/>
          <w:color w:val="auto"/>
        </w:rPr>
      </w:pPr>
      <w:r>
        <w:rPr>
          <w:rFonts w:ascii="Times New Roman" w:cs="Times New Roman" w:eastAsia="Times New Roman" w:hAnsi="Times New Roman"/>
          <w:sz w:val="20"/>
          <w:szCs w:val="20"/>
          <w:color w:val="auto"/>
        </w:rPr>
        <w:t>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SECTION 11.11. EACH OF THE PARTIES HERETO HEREBY IRREVOCABLY WAIVES, TO THE FULLEST EXTENT PERMITTED BY APPLICABLE LAW, THE DEFENSE OF AN INCONVENIENT FORUM TO THE MAINTENANCE OF SUCH ACTION OR PROCEEDING IN ANY SUCH COURT AND AGREES NOT TO ASSERT ANY SUCH DEFENSE.</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1.1.ivSERVICE OF PROCESS.</w:t>
      </w:r>
    </w:p>
    <w:p>
      <w:pPr>
        <w:spacing w:after="0" w:line="173" w:lineRule="exact"/>
        <w:rPr>
          <w:sz w:val="20"/>
          <w:szCs w:val="20"/>
          <w:color w:val="auto"/>
        </w:rPr>
      </w:pPr>
    </w:p>
    <w:p>
      <w:pPr>
        <w:jc w:val="both"/>
        <w:ind w:left="1000"/>
        <w:spacing w:after="0" w:line="225" w:lineRule="auto"/>
        <w:rPr>
          <w:sz w:val="20"/>
          <w:szCs w:val="20"/>
          <w:color w:val="auto"/>
        </w:rPr>
      </w:pPr>
      <w:r>
        <w:rPr>
          <w:rFonts w:ascii="Times New Roman" w:cs="Times New Roman" w:eastAsia="Times New Roman" w:hAnsi="Times New Roman"/>
          <w:sz w:val="20"/>
          <w:szCs w:val="20"/>
          <w:color w:val="auto"/>
        </w:rPr>
        <w:t>EACH PARTY HERETO IRREVOCABLY CONSENTS TO SERVICE OF PROCESS IN THE MANNER PROVIDED FOR NOTICES IN SECTION 11.5 [NOTICES; EFFECTIVENESS; ELECTRONIC COMMUNICATION]. NOTHING IN THIS AGREEMENT WILL AFFECT THE RIGHT OF ANY PARTY HERETO TO SERVE PROCESS IN ANY OTHER MANNER PERMITTED BY APPLICABLE LAW.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1.1.vWAIVER OF JURY TRIAL.</w:t>
      </w:r>
    </w:p>
    <w:p>
      <w:pPr>
        <w:spacing w:after="0" w:line="173" w:lineRule="exact"/>
        <w:rPr>
          <w:sz w:val="20"/>
          <w:szCs w:val="20"/>
          <w:color w:val="auto"/>
        </w:rPr>
      </w:pPr>
    </w:p>
    <w:p>
      <w:pPr>
        <w:jc w:val="both"/>
        <w:ind w:left="1000"/>
        <w:spacing w:after="0" w:line="215" w:lineRule="auto"/>
        <w:rPr>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49"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1.l</w:t>
      </w:r>
      <w:r>
        <w:rPr>
          <w:sz w:val="20"/>
          <w:szCs w:val="20"/>
          <w:color w:val="auto"/>
        </w:rPr>
        <w:tab/>
      </w:r>
      <w:r>
        <w:rPr>
          <w:rFonts w:ascii="Times New Roman" w:cs="Times New Roman" w:eastAsia="Times New Roman" w:hAnsi="Times New Roman"/>
          <w:sz w:val="20"/>
          <w:szCs w:val="20"/>
          <w:color w:val="auto"/>
        </w:rPr>
        <w:t>USA Patriot Act Notice.</w:t>
      </w:r>
    </w:p>
    <w:p>
      <w:pPr>
        <w:spacing w:after="0" w:line="173" w:lineRule="exact"/>
        <w:rPr>
          <w:sz w:val="20"/>
          <w:szCs w:val="20"/>
          <w:color w:val="auto"/>
        </w:rPr>
      </w:pPr>
    </w:p>
    <w:p>
      <w:pPr>
        <w:jc w:val="both"/>
        <w:ind w:left="1000"/>
        <w:spacing w:after="0" w:line="242" w:lineRule="auto"/>
        <w:rPr>
          <w:sz w:val="20"/>
          <w:szCs w:val="20"/>
          <w:color w:val="auto"/>
        </w:rPr>
      </w:pPr>
      <w:r>
        <w:rPr>
          <w:rFonts w:ascii="Times New Roman" w:cs="Times New Roman" w:eastAsia="Times New Roman" w:hAnsi="Times New Roman"/>
          <w:sz w:val="20"/>
          <w:szCs w:val="20"/>
          <w:color w:val="auto"/>
        </w:rPr>
        <w:t>Each Lender that is subject to the USA Patriot Act and the Administrative Agent (for itself and not on behalf of any Lender) hereby notifies Loan Parties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040"/>
          </w:cols>
          <w:pgMar w:left="520" w:top="1440" w:right="339" w:bottom="1440" w:gutter="0" w:footer="0" w:header="0"/>
        </w:sectPr>
      </w:pPr>
    </w:p>
    <w:bookmarkStart w:id="206" w:name="page207"/>
    <w:bookmarkEnd w:id="206"/>
    <w:p>
      <w:pPr>
        <w:spacing w:after="0" w:line="71" w:lineRule="exact"/>
        <w:rPr>
          <w:sz w:val="20"/>
          <w:szCs w:val="20"/>
          <w:color w:val="auto"/>
        </w:rPr>
      </w:pPr>
    </w:p>
    <w:p>
      <w:pPr>
        <w:jc w:val="both"/>
        <w:ind w:left="1000"/>
        <w:spacing w:after="0" w:line="230" w:lineRule="auto"/>
        <w:rPr>
          <w:sz w:val="20"/>
          <w:szCs w:val="20"/>
          <w:color w:val="auto"/>
        </w:rPr>
      </w:pPr>
      <w:r>
        <w:rPr>
          <w:rFonts w:ascii="Times New Roman" w:cs="Times New Roman" w:eastAsia="Times New Roman" w:hAnsi="Times New Roman"/>
          <w:sz w:val="20"/>
          <w:szCs w:val="20"/>
          <w:color w:val="auto"/>
        </w:rPr>
        <w:t>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w:t>
      </w:r>
    </w:p>
    <w:p>
      <w:pPr>
        <w:spacing w:after="0" w:line="144" w:lineRule="exact"/>
        <w:rPr>
          <w:sz w:val="20"/>
          <w:szCs w:val="20"/>
          <w:color w:val="auto"/>
        </w:rPr>
      </w:pPr>
    </w:p>
    <w:p>
      <w:pPr>
        <w:ind w:left="400"/>
        <w:spacing w:after="0"/>
        <w:tabs>
          <w:tab w:leader="none" w:pos="980" w:val="left"/>
        </w:tabs>
        <w:rPr>
          <w:sz w:val="20"/>
          <w:szCs w:val="20"/>
          <w:color w:val="auto"/>
        </w:rPr>
      </w:pPr>
      <w:r>
        <w:rPr>
          <w:rFonts w:ascii="Times New Roman" w:cs="Times New Roman" w:eastAsia="Times New Roman" w:hAnsi="Times New Roman"/>
          <w:sz w:val="20"/>
          <w:szCs w:val="20"/>
          <w:color w:val="auto"/>
        </w:rPr>
        <w:t>1.m</w:t>
        <w:tab/>
        <w:t xml:space="preserve">Acknowledgement and Consent to Bail-In of </w:t>
      </w:r>
      <w:r>
        <w:rPr>
          <w:rFonts w:ascii="Times New Roman" w:cs="Times New Roman" w:eastAsia="Times New Roman" w:hAnsi="Times New Roman"/>
          <w:sz w:val="20"/>
          <w:szCs w:val="20"/>
          <w:color w:val="FF0000"/>
          <w:strike w:val="1"/>
        </w:rPr>
        <w:t>EEA</w:t>
      </w:r>
      <w:r>
        <w:rPr>
          <w:rFonts w:ascii="Times New Roman" w:cs="Times New Roman" w:eastAsia="Times New Roman" w:hAnsi="Times New Roman"/>
          <w:sz w:val="20"/>
          <w:szCs w:val="20"/>
          <w:u w:val="single" w:color="auto"/>
          <w:color w:val="0000FF"/>
        </w:rPr>
        <w:t>Affected</w:t>
      </w:r>
      <w:r>
        <w:rPr>
          <w:rFonts w:ascii="Times New Roman" w:cs="Times New Roman" w:eastAsia="Times New Roman" w:hAnsi="Times New Roman"/>
          <w:sz w:val="20"/>
          <w:szCs w:val="20"/>
          <w:color w:val="auto"/>
        </w:rPr>
        <w:t xml:space="preserve"> Financial Institutions.</w:t>
      </w:r>
    </w:p>
    <w:p>
      <w:pPr>
        <w:spacing w:after="0" w:line="173"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20"/>
          <w:szCs w:val="20"/>
          <w:color w:val="auto"/>
        </w:rPr>
        <w:t xml:space="preserve">Each Notwithstanding anything to the contrary in any Loan Document or in any other agreement, arrangement or understanding among any such parties, each party hereto acknowledges that any liability of any </w:t>
      </w:r>
      <w:r>
        <w:rPr>
          <w:rFonts w:ascii="Times New Roman" w:cs="Times New Roman" w:eastAsia="Times New Roman" w:hAnsi="Times New Roman"/>
          <w:sz w:val="20"/>
          <w:szCs w:val="20"/>
          <w:color w:val="FF0000"/>
          <w:strike w:val="1"/>
        </w:rPr>
        <w:t>EEA</w:t>
      </w:r>
      <w:r>
        <w:rPr>
          <w:rFonts w:ascii="Times New Roman" w:cs="Times New Roman" w:eastAsia="Times New Roman" w:hAnsi="Times New Roman"/>
          <w:sz w:val="20"/>
          <w:szCs w:val="20"/>
          <w:u w:val="single" w:color="auto"/>
          <w:color w:val="0000FF"/>
        </w:rPr>
        <w:t>Affected</w:t>
      </w:r>
      <w:r>
        <w:rPr>
          <w:rFonts w:ascii="Times New Roman" w:cs="Times New Roman" w:eastAsia="Times New Roman" w:hAnsi="Times New Roman"/>
          <w:sz w:val="20"/>
          <w:szCs w:val="20"/>
          <w:color w:val="auto"/>
        </w:rPr>
        <w:t xml:space="preserve"> Financial Institution arising under any Loan Document, to the extent such liability is unsecured, may be subject to the write-down and conversion powers of </w:t>
      </w:r>
      <w:r>
        <w:rPr>
          <w:rFonts w:ascii="Times New Roman" w:cs="Times New Roman" w:eastAsia="Times New Roman" w:hAnsi="Times New Roman"/>
          <w:sz w:val="20"/>
          <w:szCs w:val="20"/>
          <w:color w:val="FF0000"/>
          <w:strike w:val="1"/>
        </w:rPr>
        <w:t>an EEA</w:t>
      </w:r>
      <w:r>
        <w:rPr>
          <w:rFonts w:ascii="Times New Roman" w:cs="Times New Roman" w:eastAsia="Times New Roman" w:hAnsi="Times New Roman"/>
          <w:sz w:val="20"/>
          <w:szCs w:val="20"/>
          <w:u w:val="single" w:color="auto"/>
          <w:color w:val="0000FF"/>
        </w:rPr>
        <w:t>the applicable</w:t>
      </w:r>
      <w:r>
        <w:rPr>
          <w:rFonts w:ascii="Times New Roman" w:cs="Times New Roman" w:eastAsia="Times New Roman" w:hAnsi="Times New Roman"/>
          <w:sz w:val="20"/>
          <w:szCs w:val="20"/>
          <w:color w:val="auto"/>
        </w:rPr>
        <w:t xml:space="preserve"> Resolution Authority and agrees and consents to, and acknowledges and agrees to be bound by (a) the application of any Write-Down and Conversion Powers by </w:t>
      </w:r>
      <w:r>
        <w:rPr>
          <w:rFonts w:ascii="Times New Roman" w:cs="Times New Roman" w:eastAsia="Times New Roman" w:hAnsi="Times New Roman"/>
          <w:sz w:val="20"/>
          <w:szCs w:val="20"/>
          <w:color w:val="FF0000"/>
          <w:strike w:val="1"/>
        </w:rPr>
        <w:t>an EEA</w:t>
      </w:r>
      <w:r>
        <w:rPr>
          <w:rFonts w:ascii="Times New Roman" w:cs="Times New Roman" w:eastAsia="Times New Roman" w:hAnsi="Times New Roman"/>
          <w:sz w:val="20"/>
          <w:szCs w:val="20"/>
          <w:u w:val="single" w:color="auto"/>
          <w:color w:val="0000FF"/>
        </w:rPr>
        <w:t>the applicable</w:t>
      </w:r>
      <w:r>
        <w:rPr>
          <w:rFonts w:ascii="Times New Roman" w:cs="Times New Roman" w:eastAsia="Times New Roman" w:hAnsi="Times New Roman"/>
          <w:sz w:val="20"/>
          <w:szCs w:val="20"/>
          <w:color w:val="auto"/>
        </w:rPr>
        <w:t xml:space="preserve"> Resolution Authority to any such liabilities arising hereunder which may be payable to it by any party hereto that is an </w:t>
      </w:r>
      <w:r>
        <w:rPr>
          <w:rFonts w:ascii="Times New Roman" w:cs="Times New Roman" w:eastAsia="Times New Roman" w:hAnsi="Times New Roman"/>
          <w:sz w:val="20"/>
          <w:szCs w:val="20"/>
          <w:color w:val="FF0000"/>
          <w:strike w:val="1"/>
        </w:rPr>
        <w:t>EEA</w:t>
      </w:r>
      <w:r>
        <w:rPr>
          <w:rFonts w:ascii="Times New Roman" w:cs="Times New Roman" w:eastAsia="Times New Roman" w:hAnsi="Times New Roman"/>
          <w:sz w:val="20"/>
          <w:szCs w:val="20"/>
          <w:u w:val="single" w:color="auto"/>
          <w:color w:val="0000FF"/>
        </w:rPr>
        <w:t>Affected</w:t>
      </w:r>
      <w:r>
        <w:rPr>
          <w:rFonts w:ascii="Times New Roman" w:cs="Times New Roman" w:eastAsia="Times New Roman" w:hAnsi="Times New Roman"/>
          <w:sz w:val="20"/>
          <w:szCs w:val="20"/>
          <w:color w:val="auto"/>
        </w:rPr>
        <w:t xml:space="preserve">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w:t>
      </w:r>
      <w:r>
        <w:rPr>
          <w:rFonts w:ascii="Times New Roman" w:cs="Times New Roman" w:eastAsia="Times New Roman" w:hAnsi="Times New Roman"/>
          <w:sz w:val="20"/>
          <w:szCs w:val="20"/>
          <w:color w:val="FF0000"/>
          <w:strike w:val="1"/>
        </w:rPr>
        <w:t>EEA</w:t>
      </w:r>
      <w:r>
        <w:rPr>
          <w:rFonts w:ascii="Times New Roman" w:cs="Times New Roman" w:eastAsia="Times New Roman" w:hAnsi="Times New Roman"/>
          <w:sz w:val="20"/>
          <w:szCs w:val="20"/>
          <w:u w:val="single" w:color="auto"/>
          <w:color w:val="0000FF"/>
        </w:rPr>
        <w:t>Affected</w:t>
      </w:r>
      <w:r>
        <w:rPr>
          <w:rFonts w:ascii="Times New Roman" w:cs="Times New Roman" w:eastAsia="Times New Roman" w:hAnsi="Times New Roman"/>
          <w:sz w:val="20"/>
          <w:szCs w:val="20"/>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w:t>
      </w:r>
      <w:r>
        <w:rPr>
          <w:rFonts w:ascii="Times New Roman" w:cs="Times New Roman" w:eastAsia="Times New Roman" w:hAnsi="Times New Roman"/>
          <w:sz w:val="20"/>
          <w:szCs w:val="20"/>
          <w:color w:val="FF0000"/>
          <w:strike w:val="1"/>
        </w:rPr>
        <w:t>any EEA</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Resolution Authority.</w:t>
      </w:r>
    </w:p>
    <w:p>
      <w:pPr>
        <w:spacing w:after="0" w:line="200" w:lineRule="exact"/>
        <w:rPr>
          <w:sz w:val="20"/>
          <w:szCs w:val="20"/>
          <w:color w:val="auto"/>
        </w:rPr>
      </w:pPr>
    </w:p>
    <w:p>
      <w:pPr>
        <w:spacing w:after="0" w:line="35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040"/>
          </w:cols>
          <w:pgMar w:left="520" w:top="1440"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0"/>
          <w:szCs w:val="20"/>
          <w:b w:val="1"/>
          <w:bCs w:val="1"/>
          <w:color w:val="auto"/>
        </w:rPr>
        <w:t>GENTEX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AWARD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D4F53"/>
        </w:rPr>
        <w:t>Granted To</w:t>
      </w:r>
      <w:r>
        <w:rPr>
          <w:rFonts w:ascii="Times New Roman" w:cs="Times New Roman" w:eastAsia="Times New Roman" w:hAnsi="Times New Roman"/>
          <w:sz w:val="18"/>
          <w:szCs w:val="18"/>
          <w:color w:val="4D4F53"/>
        </w:rPr>
        <w:t>:</w:t>
      </w:r>
      <w:r>
        <w:rPr>
          <w:rFonts w:ascii="Times New Roman" w:cs="Times New Roman" w:eastAsia="Times New Roman" w:hAnsi="Times New Roman"/>
          <w:sz w:val="18"/>
          <w:szCs w:val="18"/>
          <w:b w:val="1"/>
          <w:bCs w:val="1"/>
          <w:color w:val="4D4F53"/>
        </w:rPr>
        <w:t xml:space="preserve"> </w:t>
      </w:r>
      <w:r>
        <w:rPr>
          <w:rFonts w:ascii="Arial" w:cs="Arial" w:eastAsia="Arial" w:hAnsi="Arial"/>
          <w:sz w:val="15"/>
          <w:szCs w:val="15"/>
          <w:color w:val="4D4F53"/>
        </w:rPr>
        <w:t>###PARTICIPANT_NAME###</w:t>
      </w:r>
    </w:p>
    <w:p>
      <w:pPr>
        <w:spacing w:after="0" w:line="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4D4F53"/>
        </w:rPr>
        <w:t>Grant Date</w:t>
      </w:r>
      <w:r>
        <w:rPr>
          <w:rFonts w:ascii="Times New Roman" w:cs="Times New Roman" w:eastAsia="Times New Roman" w:hAnsi="Times New Roman"/>
          <w:sz w:val="20"/>
          <w:szCs w:val="20"/>
          <w:color w:val="4D4F53"/>
        </w:rPr>
        <w:t>:</w:t>
      </w:r>
      <w:r>
        <w:rPr>
          <w:rFonts w:ascii="Times New Roman" w:cs="Times New Roman" w:eastAsia="Times New Roman" w:hAnsi="Times New Roman"/>
          <w:sz w:val="18"/>
          <w:szCs w:val="18"/>
          <w:b w:val="1"/>
          <w:bCs w:val="1"/>
          <w:color w:val="4D4F53"/>
        </w:rPr>
        <w:t xml:space="preserve"> </w:t>
      </w:r>
      <w:r>
        <w:rPr>
          <w:rFonts w:ascii="Arial" w:cs="Arial" w:eastAsia="Arial" w:hAnsi="Arial"/>
          <w:sz w:val="15"/>
          <w:szCs w:val="15"/>
          <w:color w:val="4D4F53"/>
        </w:rPr>
        <w:t>###GRANT_DATE###</w:t>
      </w:r>
    </w:p>
    <w:p>
      <w:pPr>
        <w:ind w:left="600"/>
        <w:spacing w:after="0"/>
        <w:rPr>
          <w:sz w:val="20"/>
          <w:szCs w:val="20"/>
          <w:color w:val="auto"/>
        </w:rPr>
      </w:pPr>
      <w:r>
        <w:rPr>
          <w:rFonts w:ascii="Times New Roman" w:cs="Times New Roman" w:eastAsia="Times New Roman" w:hAnsi="Times New Roman"/>
          <w:sz w:val="18"/>
          <w:szCs w:val="18"/>
          <w:b w:val="1"/>
          <w:bCs w:val="1"/>
          <w:color w:val="4D4F53"/>
        </w:rPr>
        <w:t xml:space="preserve">Granted: </w:t>
      </w:r>
      <w:r>
        <w:rPr>
          <w:rFonts w:ascii="Arial" w:cs="Arial" w:eastAsia="Arial" w:hAnsi="Arial"/>
          <w:sz w:val="15"/>
          <w:szCs w:val="15"/>
          <w:color w:val="4D4F53"/>
        </w:rPr>
        <w:t>###AWARDS_WITH_PERF_BASED_VESTING###</w:t>
      </w:r>
    </w:p>
    <w:p>
      <w:pPr>
        <w:spacing w:after="0" w:line="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4D4F53"/>
        </w:rPr>
        <w:t>Grant Price</w:t>
      </w:r>
      <w:r>
        <w:rPr>
          <w:rFonts w:ascii="Times New Roman" w:cs="Times New Roman" w:eastAsia="Times New Roman" w:hAnsi="Times New Roman"/>
          <w:sz w:val="18"/>
          <w:szCs w:val="18"/>
          <w:color w:val="4D4F53"/>
        </w:rPr>
        <w:t>:</w:t>
      </w:r>
      <w:r>
        <w:rPr>
          <w:rFonts w:ascii="Times New Roman" w:cs="Times New Roman" w:eastAsia="Times New Roman" w:hAnsi="Times New Roman"/>
          <w:sz w:val="18"/>
          <w:szCs w:val="18"/>
          <w:b w:val="1"/>
          <w:bCs w:val="1"/>
          <w:color w:val="4D4F53"/>
        </w:rPr>
        <w:t xml:space="preserve"> </w:t>
      </w:r>
      <w:r>
        <w:rPr>
          <w:rFonts w:ascii="Arial" w:cs="Arial" w:eastAsia="Arial" w:hAnsi="Arial"/>
          <w:sz w:val="15"/>
          <w:szCs w:val="15"/>
          <w:color w:val="4D4F53"/>
        </w:rPr>
        <w:t>###GRANT_PRICE###</w:t>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4D4F53"/>
        </w:rPr>
        <w:t>Expiration Date</w:t>
      </w:r>
      <w:r>
        <w:rPr>
          <w:rFonts w:ascii="Times New Roman" w:cs="Times New Roman" w:eastAsia="Times New Roman" w:hAnsi="Times New Roman"/>
          <w:sz w:val="20"/>
          <w:szCs w:val="20"/>
          <w:color w:val="4D4F53"/>
        </w:rPr>
        <w:t>:</w:t>
      </w:r>
      <w:r>
        <w:rPr>
          <w:rFonts w:ascii="Times New Roman" w:cs="Times New Roman" w:eastAsia="Times New Roman" w:hAnsi="Times New Roman"/>
          <w:sz w:val="18"/>
          <w:szCs w:val="18"/>
          <w:b w:val="1"/>
          <w:bCs w:val="1"/>
          <w:color w:val="4D4F53"/>
        </w:rPr>
        <w:t xml:space="preserve"> </w:t>
      </w:r>
      <w:r>
        <w:rPr>
          <w:rFonts w:ascii="Arial" w:cs="Arial" w:eastAsia="Arial" w:hAnsi="Arial"/>
          <w:sz w:val="15"/>
          <w:szCs w:val="15"/>
          <w:color w:val="4D4F53"/>
        </w:rPr>
        <w:t>###EXPIRY_DATE###</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4D4F53"/>
        </w:rPr>
        <w:t xml:space="preserve">Vesting Schedule: </w:t>
      </w:r>
      <w:r>
        <w:rPr>
          <w:rFonts w:ascii="Arial" w:cs="Arial" w:eastAsia="Arial" w:hAnsi="Arial"/>
          <w:sz w:val="15"/>
          <w:szCs w:val="15"/>
          <w:color w:val="4D4F53"/>
        </w:rPr>
        <w:t>###VEST_SCHEDULE_NAME###</w:t>
      </w:r>
    </w:p>
    <w:p>
      <w:pPr>
        <w:jc w:val="center"/>
        <w:spacing w:after="0"/>
        <w:rPr>
          <w:sz w:val="20"/>
          <w:szCs w:val="20"/>
          <w:color w:val="auto"/>
        </w:rPr>
      </w:pPr>
      <w:r>
        <w:rPr>
          <w:rFonts w:ascii="Arial" w:cs="Arial" w:eastAsia="Arial" w:hAnsi="Arial"/>
          <w:sz w:val="15"/>
          <w:szCs w:val="15"/>
          <w:color w:val="4D4F53"/>
        </w:rPr>
        <w:t>###VEST_SCHEDULE_TABLE_WITH_PERFORMANCE_RULE###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00" w:hanging="297"/>
        <w:spacing w:after="0" w:line="257" w:lineRule="auto"/>
        <w:tabs>
          <w:tab w:leader="none" w:pos="589" w:val="left"/>
        </w:tabs>
        <w:numPr>
          <w:ilvl w:val="0"/>
          <w:numId w:val="147"/>
        </w:numPr>
        <w:rPr>
          <w:rFonts w:ascii="Arial" w:cs="Arial" w:eastAsia="Arial" w:hAnsi="Arial"/>
          <w:sz w:val="17"/>
          <w:szCs w:val="17"/>
          <w:color w:val="auto"/>
        </w:rPr>
      </w:pPr>
      <w:r>
        <w:rPr>
          <w:rFonts w:ascii="Arial" w:cs="Arial" w:eastAsia="Arial" w:hAnsi="Arial"/>
          <w:sz w:val="20"/>
          <w:szCs w:val="20"/>
          <w:u w:val="single" w:color="auto"/>
          <w:color w:val="auto"/>
        </w:rPr>
        <w:t>The Award and the Plan</w:t>
      </w:r>
      <w:r>
        <w:rPr>
          <w:rFonts w:ascii="Arial" w:cs="Arial" w:eastAsia="Arial" w:hAnsi="Arial"/>
          <w:sz w:val="20"/>
          <w:szCs w:val="20"/>
          <w:color w:val="auto"/>
        </w:rPr>
        <w:t>. As of the Date of Grant, Gentex Corporation ("Gentex") grants to you the right to earn the number of Shares (the "Performance Shares") set forth in the Officer Award Notification preceding or accompanying this Performance Share Award Agreement (the "Agreement"), to be issued to you based on the achievement of certain specified Performance Objectives approved by Gentex and as set forth in the Award Notification. Certain terms used in this Agreement are defined in Section 23. Any undefined terms in this Agreement appearing as defined terms will have the same meaning as they do in the Gentex Corporation 2019 Omnibus Incentive Plan, as amended and/or restated from time to time (the "Plan"). Gentex will provide a copy of the Plan to you upon request.</w:t>
      </w:r>
    </w:p>
    <w:p>
      <w:pPr>
        <w:spacing w:after="0" w:line="200" w:lineRule="exact"/>
        <w:rPr>
          <w:rFonts w:ascii="Arial" w:cs="Arial" w:eastAsia="Arial" w:hAnsi="Arial"/>
          <w:sz w:val="17"/>
          <w:szCs w:val="17"/>
          <w:color w:val="auto"/>
        </w:rPr>
      </w:pPr>
    </w:p>
    <w:p>
      <w:pPr>
        <w:ind w:left="600" w:hanging="297"/>
        <w:spacing w:after="0"/>
        <w:tabs>
          <w:tab w:leader="none" w:pos="600" w:val="left"/>
        </w:tabs>
        <w:numPr>
          <w:ilvl w:val="0"/>
          <w:numId w:val="147"/>
        </w:numPr>
        <w:rPr>
          <w:rFonts w:ascii="Arial" w:cs="Arial" w:eastAsia="Arial" w:hAnsi="Arial"/>
          <w:sz w:val="17"/>
          <w:szCs w:val="17"/>
          <w:color w:val="auto"/>
        </w:rPr>
      </w:pPr>
      <w:r>
        <w:rPr>
          <w:rFonts w:ascii="Arial" w:cs="Arial" w:eastAsia="Arial" w:hAnsi="Arial"/>
          <w:sz w:val="20"/>
          <w:szCs w:val="20"/>
          <w:u w:val="single" w:color="auto"/>
          <w:color w:val="auto"/>
        </w:rPr>
        <w:t>Earning of Performance Shares</w:t>
      </w:r>
      <w:r>
        <w:rPr>
          <w:rFonts w:ascii="Arial" w:cs="Arial" w:eastAsia="Arial" w:hAnsi="Arial"/>
          <w:sz w:val="20"/>
          <w:szCs w:val="20"/>
          <w:color w:val="auto"/>
        </w:rPr>
        <w:t>.</w:t>
      </w:r>
    </w:p>
    <w:p>
      <w:pPr>
        <w:spacing w:after="0" w:line="235" w:lineRule="exact"/>
        <w:rPr>
          <w:rFonts w:ascii="Arial" w:cs="Arial" w:eastAsia="Arial" w:hAnsi="Arial"/>
          <w:sz w:val="17"/>
          <w:szCs w:val="17"/>
          <w:color w:val="auto"/>
        </w:rPr>
      </w:pPr>
    </w:p>
    <w:p>
      <w:pPr>
        <w:jc w:val="both"/>
        <w:ind w:left="1200" w:hanging="294"/>
        <w:spacing w:after="0" w:line="268" w:lineRule="auto"/>
        <w:tabs>
          <w:tab w:leader="none" w:pos="1189" w:val="left"/>
        </w:tabs>
        <w:numPr>
          <w:ilvl w:val="1"/>
          <w:numId w:val="147"/>
        </w:numPr>
        <w:rPr>
          <w:rFonts w:ascii="Arial" w:cs="Arial" w:eastAsia="Arial" w:hAnsi="Arial"/>
          <w:sz w:val="17"/>
          <w:szCs w:val="17"/>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 Your right to receive Performance Shares will be contingent upon the achievement of the Performance Objectives at the Threshold, Target, and Maximum levels set forth in the Officer Award Notification and will be measured over the Performance Period set forth therein.</w:t>
      </w:r>
    </w:p>
    <w:p>
      <w:pPr>
        <w:spacing w:after="0" w:line="173" w:lineRule="exact"/>
        <w:rPr>
          <w:rFonts w:ascii="Arial" w:cs="Arial" w:eastAsia="Arial" w:hAnsi="Arial"/>
          <w:sz w:val="17"/>
          <w:szCs w:val="17"/>
          <w:color w:val="auto"/>
        </w:rPr>
      </w:pPr>
    </w:p>
    <w:p>
      <w:pPr>
        <w:jc w:val="both"/>
        <w:ind w:left="1200" w:hanging="294"/>
        <w:spacing w:after="0" w:line="274" w:lineRule="auto"/>
        <w:tabs>
          <w:tab w:leader="none" w:pos="1189" w:val="left"/>
        </w:tabs>
        <w:numPr>
          <w:ilvl w:val="1"/>
          <w:numId w:val="147"/>
        </w:numPr>
        <w:rPr>
          <w:rFonts w:ascii="Arial" w:cs="Arial" w:eastAsia="Arial" w:hAnsi="Arial"/>
          <w:sz w:val="17"/>
          <w:szCs w:val="17"/>
          <w:color w:val="auto"/>
        </w:rPr>
      </w:pPr>
      <w:r>
        <w:rPr>
          <w:rFonts w:ascii="Arial" w:cs="Arial" w:eastAsia="Arial" w:hAnsi="Arial"/>
          <w:sz w:val="20"/>
          <w:szCs w:val="20"/>
          <w:u w:val="single" w:color="auto"/>
          <w:color w:val="auto"/>
        </w:rPr>
        <w:t>Below Threshold</w:t>
      </w:r>
      <w:r>
        <w:rPr>
          <w:rFonts w:ascii="Arial" w:cs="Arial" w:eastAsia="Arial" w:hAnsi="Arial"/>
          <w:sz w:val="20"/>
          <w:szCs w:val="20"/>
          <w:color w:val="auto"/>
        </w:rPr>
        <w:t>: If, upon the conclusion of a Performance Period, Gentex's performance for the Performance Period falls below the Threshold level, as set forth in the Performance Objectives, no Performance Shares for the Performance Period will become earned.</w:t>
      </w:r>
    </w:p>
    <w:p>
      <w:pPr>
        <w:spacing w:after="0" w:line="168" w:lineRule="exact"/>
        <w:rPr>
          <w:rFonts w:ascii="Arial" w:cs="Arial" w:eastAsia="Arial" w:hAnsi="Arial"/>
          <w:sz w:val="17"/>
          <w:szCs w:val="17"/>
          <w:color w:val="auto"/>
        </w:rPr>
      </w:pPr>
    </w:p>
    <w:p>
      <w:pPr>
        <w:jc w:val="both"/>
        <w:ind w:left="1200" w:hanging="294"/>
        <w:spacing w:after="0" w:line="268" w:lineRule="auto"/>
        <w:tabs>
          <w:tab w:leader="none" w:pos="1192" w:val="left"/>
        </w:tabs>
        <w:numPr>
          <w:ilvl w:val="1"/>
          <w:numId w:val="147"/>
        </w:numPr>
        <w:rPr>
          <w:rFonts w:ascii="Arial" w:cs="Arial" w:eastAsia="Arial" w:hAnsi="Arial"/>
          <w:sz w:val="17"/>
          <w:szCs w:val="17"/>
          <w:color w:val="auto"/>
        </w:rPr>
      </w:pPr>
      <w:r>
        <w:rPr>
          <w:rFonts w:ascii="Arial" w:cs="Arial" w:eastAsia="Arial" w:hAnsi="Arial"/>
          <w:sz w:val="20"/>
          <w:szCs w:val="20"/>
          <w:u w:val="single" w:color="auto"/>
          <w:color w:val="auto"/>
        </w:rPr>
        <w:t>Threshold</w:t>
      </w:r>
      <w:r>
        <w:rPr>
          <w:rFonts w:ascii="Arial" w:cs="Arial" w:eastAsia="Arial" w:hAnsi="Arial"/>
          <w:sz w:val="20"/>
          <w:szCs w:val="20"/>
          <w:color w:val="auto"/>
        </w:rPr>
        <w:t>: If, upon the conclusion of a Performance Period, Gentex's performance for the Performance Period equals the Threshold level, as set forth in the Performance Objectives, that certain portion of the Performance Shares, as set forth in the Officer Award Notification will become earned.</w:t>
      </w:r>
    </w:p>
    <w:p>
      <w:pPr>
        <w:spacing w:after="0" w:line="173" w:lineRule="exact"/>
        <w:rPr>
          <w:rFonts w:ascii="Arial" w:cs="Arial" w:eastAsia="Arial" w:hAnsi="Arial"/>
          <w:sz w:val="17"/>
          <w:szCs w:val="17"/>
          <w:color w:val="auto"/>
        </w:rPr>
      </w:pPr>
    </w:p>
    <w:p>
      <w:pPr>
        <w:ind w:left="1200" w:hanging="294"/>
        <w:spacing w:after="0" w:line="300" w:lineRule="auto"/>
        <w:tabs>
          <w:tab w:leader="none" w:pos="1189" w:val="left"/>
        </w:tabs>
        <w:numPr>
          <w:ilvl w:val="1"/>
          <w:numId w:val="147"/>
        </w:numPr>
        <w:rPr>
          <w:rFonts w:ascii="Arial" w:cs="Arial" w:eastAsia="Arial" w:hAnsi="Arial"/>
          <w:sz w:val="17"/>
          <w:szCs w:val="17"/>
          <w:color w:val="auto"/>
        </w:rPr>
      </w:pPr>
      <w:r>
        <w:rPr>
          <w:rFonts w:ascii="Arial" w:cs="Arial" w:eastAsia="Arial" w:hAnsi="Arial"/>
          <w:sz w:val="20"/>
          <w:szCs w:val="20"/>
          <w:u w:val="single" w:color="auto"/>
          <w:color w:val="auto"/>
        </w:rPr>
        <w:t>Between Threshold and Target</w:t>
      </w:r>
      <w:r>
        <w:rPr>
          <w:rFonts w:ascii="Arial" w:cs="Arial" w:eastAsia="Arial" w:hAnsi="Arial"/>
          <w:sz w:val="20"/>
          <w:szCs w:val="20"/>
          <w:color w:val="auto"/>
        </w:rPr>
        <w:t>: If, upon the conclusion of a Performance Period, Gentex's performance exceeds the Threshold level, but is less</w:t>
      </w:r>
    </w:p>
    <w:p>
      <w:pPr>
        <w:sectPr>
          <w:pgSz w:w="11900" w:h="16838" w:orient="portrait"/>
          <w:cols w:equalWidth="0" w:num="1">
            <w:col w:w="11240"/>
          </w:cols>
          <w:pgMar w:left="320" w:top="1334" w:right="339" w:bottom="1440" w:gutter="0" w:footer="0" w:header="0"/>
        </w:sectPr>
      </w:pPr>
    </w:p>
    <w:bookmarkStart w:id="208" w:name="page209"/>
    <w:bookmarkEnd w:id="208"/>
    <w:p>
      <w:pPr>
        <w:ind w:left="294"/>
        <w:spacing w:after="0" w:line="287" w:lineRule="auto"/>
        <w:rPr>
          <w:sz w:val="20"/>
          <w:szCs w:val="20"/>
          <w:color w:val="auto"/>
        </w:rPr>
      </w:pPr>
      <w:r>
        <w:rPr>
          <w:rFonts w:ascii="Arial" w:cs="Arial" w:eastAsia="Arial" w:hAnsi="Arial"/>
          <w:sz w:val="20"/>
          <w:szCs w:val="20"/>
          <w:color w:val="auto"/>
        </w:rPr>
        <w:t>than the Target level, as set forth in the Performance Objectives, the number of Performance Shares as set forth in the Officer Award Notification for the Performance Period, based on linear interpolation, will become earned.</w:t>
      </w:r>
    </w:p>
    <w:p>
      <w:pPr>
        <w:spacing w:after="0" w:line="154" w:lineRule="exact"/>
        <w:rPr>
          <w:sz w:val="20"/>
          <w:szCs w:val="20"/>
          <w:color w:val="auto"/>
        </w:rPr>
      </w:pPr>
    </w:p>
    <w:p>
      <w:pPr>
        <w:jc w:val="both"/>
        <w:ind w:left="294" w:hanging="294"/>
        <w:spacing w:after="0" w:line="274" w:lineRule="auto"/>
        <w:tabs>
          <w:tab w:leader="none" w:pos="282" w:val="left"/>
        </w:tabs>
        <w:numPr>
          <w:ilvl w:val="0"/>
          <w:numId w:val="148"/>
        </w:numPr>
        <w:rPr>
          <w:rFonts w:ascii="Arial" w:cs="Arial" w:eastAsia="Arial" w:hAnsi="Arial"/>
          <w:sz w:val="17"/>
          <w:szCs w:val="17"/>
          <w:color w:val="auto"/>
        </w:rPr>
      </w:pPr>
      <w:r>
        <w:rPr>
          <w:rFonts w:ascii="Arial" w:cs="Arial" w:eastAsia="Arial" w:hAnsi="Arial"/>
          <w:sz w:val="20"/>
          <w:szCs w:val="20"/>
          <w:u w:val="single" w:color="auto"/>
          <w:color w:val="auto"/>
        </w:rPr>
        <w:t>Target</w:t>
      </w:r>
      <w:r>
        <w:rPr>
          <w:rFonts w:ascii="Arial" w:cs="Arial" w:eastAsia="Arial" w:hAnsi="Arial"/>
          <w:sz w:val="20"/>
          <w:szCs w:val="20"/>
          <w:color w:val="auto"/>
        </w:rPr>
        <w:t>: If, upon the conclusion of the Performance Period, Gentex's performance for the Performance Period equals the Target level, as set forth in the Performance Objectives, the Performance Shares as set forth in the Officer Award Notification for the Performance Period will become earned.</w:t>
      </w:r>
    </w:p>
    <w:p>
      <w:pPr>
        <w:spacing w:after="0" w:line="168" w:lineRule="exact"/>
        <w:rPr>
          <w:rFonts w:ascii="Arial" w:cs="Arial" w:eastAsia="Arial" w:hAnsi="Arial"/>
          <w:sz w:val="17"/>
          <w:szCs w:val="17"/>
          <w:color w:val="auto"/>
        </w:rPr>
      </w:pPr>
    </w:p>
    <w:p>
      <w:pPr>
        <w:jc w:val="both"/>
        <w:ind w:left="294" w:hanging="294"/>
        <w:spacing w:after="0" w:line="266" w:lineRule="auto"/>
        <w:tabs>
          <w:tab w:leader="none" w:pos="286" w:val="left"/>
        </w:tabs>
        <w:numPr>
          <w:ilvl w:val="0"/>
          <w:numId w:val="148"/>
        </w:numPr>
        <w:rPr>
          <w:rFonts w:ascii="Arial" w:cs="Arial" w:eastAsia="Arial" w:hAnsi="Arial"/>
          <w:sz w:val="17"/>
          <w:szCs w:val="17"/>
          <w:color w:val="auto"/>
        </w:rPr>
      </w:pPr>
      <w:r>
        <w:rPr>
          <w:rFonts w:ascii="Arial" w:cs="Arial" w:eastAsia="Arial" w:hAnsi="Arial"/>
          <w:sz w:val="20"/>
          <w:szCs w:val="20"/>
          <w:u w:val="single" w:color="auto"/>
          <w:color w:val="auto"/>
        </w:rPr>
        <w:t>Between Target and Maximum</w:t>
      </w:r>
      <w:r>
        <w:rPr>
          <w:rFonts w:ascii="Arial" w:cs="Arial" w:eastAsia="Arial" w:hAnsi="Arial"/>
          <w:sz w:val="20"/>
          <w:szCs w:val="20"/>
          <w:color w:val="auto"/>
        </w:rPr>
        <w:t>: If, upon the conclusion of the Performance Period, Gentex's performance exceeds the Target level, but is less than the Maximum level, as set forth in the Performance Objectives, the Performance Shares as set forth in the Officer Award Notification, based on linear interpolation, will become earned.</w:t>
      </w:r>
    </w:p>
    <w:p>
      <w:pPr>
        <w:spacing w:after="0" w:line="175" w:lineRule="exact"/>
        <w:rPr>
          <w:rFonts w:ascii="Arial" w:cs="Arial" w:eastAsia="Arial" w:hAnsi="Arial"/>
          <w:sz w:val="17"/>
          <w:szCs w:val="17"/>
          <w:color w:val="auto"/>
        </w:rPr>
      </w:pPr>
    </w:p>
    <w:p>
      <w:pPr>
        <w:jc w:val="both"/>
        <w:ind w:left="294" w:hanging="294"/>
        <w:spacing w:after="0" w:line="262" w:lineRule="auto"/>
        <w:tabs>
          <w:tab w:leader="none" w:pos="282" w:val="left"/>
        </w:tabs>
        <w:numPr>
          <w:ilvl w:val="0"/>
          <w:numId w:val="148"/>
        </w:numPr>
        <w:rPr>
          <w:rFonts w:ascii="Arial" w:cs="Arial" w:eastAsia="Arial" w:hAnsi="Arial"/>
          <w:sz w:val="17"/>
          <w:szCs w:val="17"/>
          <w:color w:val="auto"/>
        </w:rPr>
      </w:pPr>
      <w:r>
        <w:rPr>
          <w:rFonts w:ascii="Arial" w:cs="Arial" w:eastAsia="Arial" w:hAnsi="Arial"/>
          <w:sz w:val="20"/>
          <w:szCs w:val="20"/>
          <w:u w:val="single" w:color="auto"/>
          <w:color w:val="auto"/>
        </w:rPr>
        <w:t>Equals or Exceeds Maximum</w:t>
      </w:r>
      <w:r>
        <w:rPr>
          <w:rFonts w:ascii="Arial" w:cs="Arial" w:eastAsia="Arial" w:hAnsi="Arial"/>
          <w:sz w:val="20"/>
          <w:szCs w:val="20"/>
          <w:color w:val="auto"/>
        </w:rPr>
        <w:t>: If, upon the conclusion of the Performance Period, Gentex's performance for the Performance Period equals or exceeds the Maximum level, as set forth in the Performance Objectives, the Performance Shares set forth in the officer Award Notification will become earned (subject to any cap set by the Board or the Compensation Committee).</w:t>
      </w:r>
    </w:p>
    <w:p>
      <w:pPr>
        <w:spacing w:after="0" w:line="178" w:lineRule="exact"/>
        <w:rPr>
          <w:rFonts w:ascii="Arial" w:cs="Arial" w:eastAsia="Arial" w:hAnsi="Arial"/>
          <w:sz w:val="17"/>
          <w:szCs w:val="17"/>
          <w:color w:val="auto"/>
        </w:rPr>
      </w:pPr>
    </w:p>
    <w:p>
      <w:pPr>
        <w:jc w:val="both"/>
        <w:ind w:left="294" w:hanging="294"/>
        <w:spacing w:after="0" w:line="258" w:lineRule="auto"/>
        <w:tabs>
          <w:tab w:leader="none" w:pos="282" w:val="left"/>
        </w:tabs>
        <w:numPr>
          <w:ilvl w:val="0"/>
          <w:numId w:val="148"/>
        </w:numPr>
        <w:rPr>
          <w:rFonts w:ascii="Arial" w:cs="Arial" w:eastAsia="Arial" w:hAnsi="Arial"/>
          <w:sz w:val="17"/>
          <w:szCs w:val="17"/>
          <w:color w:val="auto"/>
        </w:rPr>
      </w:pPr>
      <w:r>
        <w:rPr>
          <w:rFonts w:ascii="Arial" w:cs="Arial" w:eastAsia="Arial" w:hAnsi="Arial"/>
          <w:sz w:val="20"/>
          <w:szCs w:val="20"/>
          <w:u w:val="single" w:color="auto"/>
          <w:color w:val="auto"/>
        </w:rPr>
        <w:t>Conditions; Determination of Earned Award:</w:t>
      </w:r>
      <w:r>
        <w:rPr>
          <w:rFonts w:ascii="Arial" w:cs="Arial" w:eastAsia="Arial" w:hAnsi="Arial"/>
          <w:sz w:val="20"/>
          <w:szCs w:val="20"/>
          <w:color w:val="auto"/>
        </w:rPr>
        <w:t xml:space="preserve"> Except as otherwise provided in this Agreement, your right to receive any Performance Shares is contingent upon your remaining in the continuous employ of Gentex through the end of the entire Performance Period. Following a Performance Period, the Board or the Compensation Committee will determine whether and to what extent the goals relating to Performance Objectives have been satisfied for the Performance Period and will determine the number of Performance Shares that will have become earned hereunder. Notwithstanding the foregoing, to the extent it would not cause imposition of a tax under Section 409A of the Code, Gentex may accelerate the vesting of the Performance Shares at any time in part or in full.</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jc w:val="both"/>
        <w:ind w:left="294" w:hanging="294"/>
        <w:spacing w:after="0" w:line="262" w:lineRule="auto"/>
        <w:tabs>
          <w:tab w:leader="none" w:pos="289" w:val="left"/>
        </w:tabs>
        <w:numPr>
          <w:ilvl w:val="0"/>
          <w:numId w:val="148"/>
        </w:numPr>
        <w:rPr>
          <w:rFonts w:ascii="Arial" w:cs="Arial" w:eastAsia="Arial" w:hAnsi="Arial"/>
          <w:sz w:val="17"/>
          <w:szCs w:val="17"/>
          <w:color w:val="auto"/>
        </w:rPr>
      </w:pPr>
      <w:r>
        <w:rPr>
          <w:rFonts w:ascii="Arial" w:cs="Arial" w:eastAsia="Arial" w:hAnsi="Arial"/>
          <w:sz w:val="20"/>
          <w:szCs w:val="20"/>
          <w:u w:val="single" w:color="auto"/>
          <w:color w:val="auto"/>
        </w:rPr>
        <w:t>Modification of Management Objectives</w:t>
      </w:r>
      <w:r>
        <w:rPr>
          <w:rFonts w:ascii="Arial" w:cs="Arial" w:eastAsia="Arial" w:hAnsi="Arial"/>
          <w:sz w:val="20"/>
          <w:szCs w:val="20"/>
          <w:color w:val="auto"/>
        </w:rPr>
        <w:t>: If Gentex determines that a change in the business, operations, corporate structure or capital structure of Gentex, the manner in which it conducts business or other events or circumstances render the measurement of the Performance Objectives to be unsuitable, the Committee may modify the calculation of the Performance Objectives or the related minimum acceptable level of achievement, in whole or in part, as the Committee deems appropriate.</w:t>
      </w:r>
    </w:p>
    <w:p>
      <w:pPr>
        <w:sectPr>
          <w:pgSz w:w="11900" w:h="16838" w:orient="portrait"/>
          <w:cols w:equalWidth="0" w:num="1">
            <w:col w:w="10334"/>
          </w:cols>
          <w:pgMar w:left="1226" w:top="1334" w:right="339" w:bottom="1440" w:gutter="0" w:footer="0" w:header="0"/>
        </w:sectPr>
      </w:pPr>
    </w:p>
    <w:bookmarkStart w:id="209" w:name="page210"/>
    <w:bookmarkEnd w:id="209"/>
    <w:p>
      <w:pPr>
        <w:ind w:left="297" w:hanging="297"/>
        <w:spacing w:after="0"/>
        <w:tabs>
          <w:tab w:leader="none" w:pos="297" w:val="left"/>
        </w:tabs>
        <w:numPr>
          <w:ilvl w:val="0"/>
          <w:numId w:val="149"/>
        </w:numPr>
        <w:rPr>
          <w:rFonts w:ascii="Arial" w:cs="Arial" w:eastAsia="Arial" w:hAnsi="Arial"/>
          <w:sz w:val="17"/>
          <w:szCs w:val="17"/>
          <w:color w:val="auto"/>
        </w:rPr>
      </w:pPr>
      <w:r>
        <w:rPr>
          <w:rFonts w:ascii="Arial" w:cs="Arial" w:eastAsia="Arial" w:hAnsi="Arial"/>
          <w:sz w:val="20"/>
          <w:szCs w:val="20"/>
          <w:u w:val="single" w:color="auto"/>
          <w:color w:val="auto"/>
        </w:rPr>
        <w:t>Effect of Termination Due to: Death, or Disability, or Change in Control; Retirement, or Resignation with Good Reason,</w:t>
      </w:r>
    </w:p>
    <w:p>
      <w:pPr>
        <w:spacing w:after="0" w:line="29" w:lineRule="exact"/>
        <w:rPr>
          <w:rFonts w:ascii="Arial" w:cs="Arial" w:eastAsia="Arial" w:hAnsi="Arial"/>
          <w:sz w:val="17"/>
          <w:szCs w:val="17"/>
          <w:color w:val="auto"/>
        </w:rPr>
      </w:pPr>
    </w:p>
    <w:p>
      <w:pPr>
        <w:ind w:left="297"/>
        <w:spacing w:after="0"/>
        <w:rPr>
          <w:rFonts w:ascii="Arial" w:cs="Arial" w:eastAsia="Arial" w:hAnsi="Arial"/>
          <w:sz w:val="17"/>
          <w:szCs w:val="17"/>
          <w:color w:val="auto"/>
        </w:rPr>
      </w:pPr>
      <w:r>
        <w:rPr>
          <w:rFonts w:ascii="Arial" w:cs="Arial" w:eastAsia="Arial" w:hAnsi="Arial"/>
          <w:sz w:val="20"/>
          <w:szCs w:val="20"/>
          <w:u w:val="single" w:color="auto"/>
          <w:color w:val="auto"/>
        </w:rPr>
        <w:t>or Without Cause</w:t>
      </w:r>
      <w:r>
        <w:rPr>
          <w:rFonts w:ascii="Arial" w:cs="Arial" w:eastAsia="Arial" w:hAnsi="Arial"/>
          <w:sz w:val="20"/>
          <w:szCs w:val="20"/>
          <w:color w:val="auto"/>
        </w:rPr>
        <w:t>: Notwithstanding Section 2(h), if, during the Performance Period, but before the payment of any</w:t>
      </w:r>
    </w:p>
    <w:p>
      <w:pPr>
        <w:spacing w:after="0" w:line="9" w:lineRule="exact"/>
        <w:rPr>
          <w:rFonts w:ascii="Arial" w:cs="Arial" w:eastAsia="Arial" w:hAnsi="Arial"/>
          <w:sz w:val="17"/>
          <w:szCs w:val="17"/>
          <w:color w:val="auto"/>
        </w:rPr>
      </w:pPr>
    </w:p>
    <w:p>
      <w:pPr>
        <w:jc w:val="both"/>
        <w:ind w:left="297"/>
        <w:spacing w:after="0" w:line="254" w:lineRule="auto"/>
        <w:rPr>
          <w:rFonts w:ascii="Arial" w:cs="Arial" w:eastAsia="Arial" w:hAnsi="Arial"/>
          <w:sz w:val="17"/>
          <w:szCs w:val="17"/>
          <w:color w:val="auto"/>
        </w:rPr>
      </w:pPr>
      <w:r>
        <w:rPr>
          <w:rFonts w:ascii="Arial" w:cs="Arial" w:eastAsia="Arial" w:hAnsi="Arial"/>
          <w:sz w:val="20"/>
          <w:szCs w:val="20"/>
          <w:color w:val="auto"/>
        </w:rPr>
        <w:t>Performance Shares as set forth in Section 5, your employment with Gentex is terminated: (a) by reason of death, or Disability, or a Change in Control otherwise occurs, you will be entitled to receive the number of Performance Shares as determined in Section 2 at the conclusion of the Performance Period as if you had remained employed at Gentex through the end of the Performance Period, based on actual performance while employed and based on the assumption that Target performance was met for the remaining years of the Performance Period; or (b) by Retirement, resignation with Good Reason, or without Cause, you will be entitled to receive the number of Performance Shares as determined in Section 2 at the conclusion of the Performance Period as if you had remained employed at Gentex through the end of the Performance Period, based on the actual performance while employed. In the event of termination of employment with Gentex or any Subsidiary in any other manner during the Performance Period, you will forfeit all Performance Shares.</w:t>
      </w:r>
    </w:p>
    <w:p>
      <w:pPr>
        <w:spacing w:after="0" w:line="187" w:lineRule="exact"/>
        <w:rPr>
          <w:rFonts w:ascii="Arial" w:cs="Arial" w:eastAsia="Arial" w:hAnsi="Arial"/>
          <w:sz w:val="17"/>
          <w:szCs w:val="17"/>
          <w:color w:val="auto"/>
        </w:rPr>
      </w:pPr>
    </w:p>
    <w:p>
      <w:pPr>
        <w:jc w:val="both"/>
        <w:ind w:left="297" w:hanging="297"/>
        <w:spacing w:after="0" w:line="266" w:lineRule="auto"/>
        <w:tabs>
          <w:tab w:leader="none" w:pos="286" w:val="left"/>
        </w:tabs>
        <w:numPr>
          <w:ilvl w:val="0"/>
          <w:numId w:val="149"/>
        </w:numPr>
        <w:rPr>
          <w:rFonts w:ascii="Arial" w:cs="Arial" w:eastAsia="Arial" w:hAnsi="Arial"/>
          <w:sz w:val="17"/>
          <w:szCs w:val="17"/>
          <w:color w:val="auto"/>
        </w:rPr>
      </w:pPr>
      <w:r>
        <w:rPr>
          <w:rFonts w:ascii="Arial" w:cs="Arial" w:eastAsia="Arial" w:hAnsi="Arial"/>
          <w:sz w:val="20"/>
          <w:szCs w:val="20"/>
          <w:u w:val="single" w:color="auto"/>
          <w:color w:val="auto"/>
        </w:rPr>
        <w:t>Forfeiture of Award</w:t>
      </w:r>
      <w:r>
        <w:rPr>
          <w:rFonts w:ascii="Arial" w:cs="Arial" w:eastAsia="Arial" w:hAnsi="Arial"/>
          <w:sz w:val="20"/>
          <w:szCs w:val="20"/>
          <w:color w:val="auto"/>
        </w:rPr>
        <w:t>. Except to the extent you have earned the right to receive Performance Shares pursuant to Sections 2 or 3 hereof, your right to receive Performance Shares will be forfeited automatically and without further notice on the date that you cease to be an employee of Gentex prior to the last day of the entire Performance Period or, in the event that Section 3 applies, on the date on which the Change in Control occurs.</w:t>
      </w:r>
    </w:p>
    <w:p>
      <w:pPr>
        <w:spacing w:after="0" w:line="175" w:lineRule="exact"/>
        <w:rPr>
          <w:rFonts w:ascii="Arial" w:cs="Arial" w:eastAsia="Arial" w:hAnsi="Arial"/>
          <w:sz w:val="17"/>
          <w:szCs w:val="17"/>
          <w:color w:val="auto"/>
        </w:rPr>
      </w:pPr>
    </w:p>
    <w:p>
      <w:pPr>
        <w:ind w:left="297" w:hanging="297"/>
        <w:spacing w:after="0"/>
        <w:tabs>
          <w:tab w:leader="none" w:pos="297" w:val="left"/>
        </w:tabs>
        <w:numPr>
          <w:ilvl w:val="0"/>
          <w:numId w:val="149"/>
        </w:numPr>
        <w:rPr>
          <w:rFonts w:ascii="Arial" w:cs="Arial" w:eastAsia="Arial" w:hAnsi="Arial"/>
          <w:sz w:val="17"/>
          <w:szCs w:val="17"/>
          <w:color w:val="auto"/>
        </w:rPr>
      </w:pPr>
      <w:r>
        <w:rPr>
          <w:rFonts w:ascii="Arial" w:cs="Arial" w:eastAsia="Arial" w:hAnsi="Arial"/>
          <w:sz w:val="20"/>
          <w:szCs w:val="20"/>
          <w:u w:val="single" w:color="auto"/>
          <w:color w:val="auto"/>
        </w:rPr>
        <w:t>Payment of Performance Shares</w:t>
      </w:r>
      <w:r>
        <w:rPr>
          <w:rFonts w:ascii="Arial" w:cs="Arial" w:eastAsia="Arial" w:hAnsi="Arial"/>
          <w:sz w:val="20"/>
          <w:szCs w:val="20"/>
          <w:color w:val="auto"/>
        </w:rPr>
        <w:t>.</w:t>
      </w:r>
    </w:p>
    <w:p>
      <w:pPr>
        <w:spacing w:after="0" w:line="235" w:lineRule="exact"/>
        <w:rPr>
          <w:rFonts w:ascii="Arial" w:cs="Arial" w:eastAsia="Arial" w:hAnsi="Arial"/>
          <w:sz w:val="17"/>
          <w:szCs w:val="17"/>
          <w:color w:val="auto"/>
        </w:rPr>
      </w:pPr>
    </w:p>
    <w:p>
      <w:pPr>
        <w:jc w:val="both"/>
        <w:ind w:left="897" w:hanging="294"/>
        <w:spacing w:after="0" w:line="266" w:lineRule="auto"/>
        <w:tabs>
          <w:tab w:leader="none" w:pos="886" w:val="left"/>
        </w:tabs>
        <w:numPr>
          <w:ilvl w:val="1"/>
          <w:numId w:val="149"/>
        </w:numPr>
        <w:rPr>
          <w:rFonts w:ascii="Arial" w:cs="Arial" w:eastAsia="Arial" w:hAnsi="Arial"/>
          <w:sz w:val="17"/>
          <w:szCs w:val="17"/>
          <w:color w:val="auto"/>
        </w:rPr>
      </w:pPr>
      <w:r>
        <w:rPr>
          <w:rFonts w:ascii="Arial" w:cs="Arial" w:eastAsia="Arial" w:hAnsi="Arial"/>
          <w:sz w:val="20"/>
          <w:szCs w:val="20"/>
          <w:color w:val="auto"/>
        </w:rPr>
        <w:t>Except as provided in Sections 5(b) and 5(c), each Performance Share earned as provided in Section 2 hereof will be paid to you in a share of Common Stock, in the calendar year immediately following the close of the entire Performance Period to which the award relates, but in no event later than two and one-half (2 1/2) months after the close of the Performance Period.</w:t>
      </w:r>
    </w:p>
    <w:p>
      <w:pPr>
        <w:spacing w:after="0" w:line="175" w:lineRule="exact"/>
        <w:rPr>
          <w:rFonts w:ascii="Arial" w:cs="Arial" w:eastAsia="Arial" w:hAnsi="Arial"/>
          <w:sz w:val="17"/>
          <w:szCs w:val="17"/>
          <w:color w:val="auto"/>
        </w:rPr>
      </w:pPr>
    </w:p>
    <w:p>
      <w:pPr>
        <w:jc w:val="both"/>
        <w:ind w:left="897" w:hanging="294"/>
        <w:spacing w:after="0" w:line="266" w:lineRule="auto"/>
        <w:tabs>
          <w:tab w:leader="none" w:pos="886" w:val="left"/>
        </w:tabs>
        <w:numPr>
          <w:ilvl w:val="1"/>
          <w:numId w:val="149"/>
        </w:numPr>
        <w:rPr>
          <w:rFonts w:ascii="Arial" w:cs="Arial" w:eastAsia="Arial" w:hAnsi="Arial"/>
          <w:sz w:val="17"/>
          <w:szCs w:val="17"/>
          <w:color w:val="auto"/>
        </w:rPr>
      </w:pPr>
      <w:r>
        <w:rPr>
          <w:rFonts w:ascii="Arial" w:cs="Arial" w:eastAsia="Arial" w:hAnsi="Arial"/>
          <w:sz w:val="20"/>
          <w:szCs w:val="20"/>
          <w:color w:val="auto"/>
        </w:rPr>
        <w:t>The Performance Shares earned due to death will be paid to you your executor or administrator, as the case may be, in shares of Common Stock in the calendar year immediately following the last day of the entire Performance Period, but in no event later than two and one-half (2 1/2) months after the close of the Performance Period to which the award relates.</w:t>
      </w:r>
    </w:p>
    <w:p>
      <w:pPr>
        <w:spacing w:after="0" w:line="175" w:lineRule="exact"/>
        <w:rPr>
          <w:rFonts w:ascii="Arial" w:cs="Arial" w:eastAsia="Arial" w:hAnsi="Arial"/>
          <w:sz w:val="17"/>
          <w:szCs w:val="17"/>
          <w:color w:val="auto"/>
        </w:rPr>
      </w:pPr>
    </w:p>
    <w:p>
      <w:pPr>
        <w:ind w:left="897" w:hanging="294"/>
        <w:spacing w:after="0" w:line="287" w:lineRule="auto"/>
        <w:tabs>
          <w:tab w:leader="none" w:pos="889" w:val="left"/>
        </w:tabs>
        <w:numPr>
          <w:ilvl w:val="1"/>
          <w:numId w:val="149"/>
        </w:numPr>
        <w:rPr>
          <w:rFonts w:ascii="Arial" w:cs="Arial" w:eastAsia="Arial" w:hAnsi="Arial"/>
          <w:sz w:val="17"/>
          <w:szCs w:val="17"/>
          <w:color w:val="auto"/>
        </w:rPr>
      </w:pPr>
      <w:r>
        <w:rPr>
          <w:rFonts w:ascii="Arial" w:cs="Arial" w:eastAsia="Arial" w:hAnsi="Arial"/>
          <w:sz w:val="20"/>
          <w:szCs w:val="20"/>
          <w:color w:val="auto"/>
        </w:rPr>
        <w:t>The prorated portion of the Performance Shares earned pursuant to Section 3 will be paid to you in shares of Common Stock, in the discretion of Gentex, as soon as practicable following the Change in Control, but in</w:t>
      </w:r>
    </w:p>
    <w:p>
      <w:pPr>
        <w:sectPr>
          <w:pgSz w:w="11900" w:h="16838" w:orient="portrait"/>
          <w:cols w:equalWidth="0" w:num="1">
            <w:col w:w="10937"/>
          </w:cols>
          <w:pgMar w:left="623" w:top="1334" w:right="339" w:bottom="1440" w:gutter="0" w:footer="0" w:header="0"/>
        </w:sectPr>
      </w:pPr>
    </w:p>
    <w:bookmarkStart w:id="210" w:name="page211"/>
    <w:bookmarkEnd w:id="210"/>
    <w:p>
      <w:pPr>
        <w:ind w:left="897"/>
        <w:spacing w:after="0" w:line="287" w:lineRule="auto"/>
        <w:rPr>
          <w:sz w:val="20"/>
          <w:szCs w:val="20"/>
          <w:color w:val="auto"/>
        </w:rPr>
      </w:pPr>
      <w:r>
        <w:rPr>
          <w:rFonts w:ascii="Arial" w:cs="Arial" w:eastAsia="Arial" w:hAnsi="Arial"/>
          <w:sz w:val="20"/>
          <w:szCs w:val="20"/>
          <w:color w:val="auto"/>
        </w:rPr>
        <w:t>no event later than two and one-half (2 1/2) months following the end of the year in which the Change in Control occurs.</w:t>
      </w:r>
    </w:p>
    <w:p>
      <w:pPr>
        <w:spacing w:after="0" w:line="154" w:lineRule="exact"/>
        <w:rPr>
          <w:sz w:val="20"/>
          <w:szCs w:val="20"/>
          <w:color w:val="auto"/>
        </w:rPr>
      </w:pPr>
    </w:p>
    <w:p>
      <w:pPr>
        <w:ind w:left="297" w:hanging="297"/>
        <w:spacing w:after="0" w:line="300" w:lineRule="auto"/>
        <w:tabs>
          <w:tab w:leader="none" w:pos="286" w:val="left"/>
        </w:tabs>
        <w:numPr>
          <w:ilvl w:val="0"/>
          <w:numId w:val="150"/>
        </w:numPr>
        <w:rPr>
          <w:rFonts w:ascii="Arial" w:cs="Arial" w:eastAsia="Arial" w:hAnsi="Arial"/>
          <w:sz w:val="17"/>
          <w:szCs w:val="17"/>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Neither the Performance Shares granted hereby nor any interest therein will be transferable or assignable other than by will or the laws of descent and distribution prior to payment.</w:t>
      </w:r>
    </w:p>
    <w:p>
      <w:pPr>
        <w:spacing w:after="0" w:line="142" w:lineRule="exact"/>
        <w:rPr>
          <w:rFonts w:ascii="Arial" w:cs="Arial" w:eastAsia="Arial" w:hAnsi="Arial"/>
          <w:sz w:val="17"/>
          <w:szCs w:val="17"/>
          <w:color w:val="auto"/>
        </w:rPr>
      </w:pPr>
    </w:p>
    <w:p>
      <w:pPr>
        <w:jc w:val="both"/>
        <w:ind w:left="297" w:hanging="297"/>
        <w:spacing w:after="0" w:line="268" w:lineRule="auto"/>
        <w:tabs>
          <w:tab w:leader="none" w:pos="286" w:val="left"/>
        </w:tabs>
        <w:numPr>
          <w:ilvl w:val="0"/>
          <w:numId w:val="150"/>
        </w:numPr>
        <w:rPr>
          <w:rFonts w:ascii="Arial" w:cs="Arial" w:eastAsia="Arial" w:hAnsi="Arial"/>
          <w:sz w:val="17"/>
          <w:szCs w:val="17"/>
          <w:color w:val="auto"/>
        </w:rPr>
      </w:pPr>
      <w:r>
        <w:rPr>
          <w:rFonts w:ascii="Arial" w:cs="Arial" w:eastAsia="Arial" w:hAnsi="Arial"/>
          <w:sz w:val="20"/>
          <w:szCs w:val="20"/>
          <w:u w:val="single" w:color="auto"/>
          <w:color w:val="auto"/>
        </w:rPr>
        <w:t>Right to Terminate Employment</w:t>
      </w:r>
      <w:r>
        <w:rPr>
          <w:rFonts w:ascii="Arial" w:cs="Arial" w:eastAsia="Arial" w:hAnsi="Arial"/>
          <w:sz w:val="20"/>
          <w:szCs w:val="20"/>
          <w:color w:val="auto"/>
        </w:rPr>
        <w:t>. Nothing contained in this Agreement will confer upon you any right with respect to continuance of employment by Gentex, nor limit or affect in any manner the right of Gentex to terminate the employment or adjust your compensation.</w:t>
      </w:r>
    </w:p>
    <w:p>
      <w:pPr>
        <w:spacing w:after="0" w:line="173" w:lineRule="exact"/>
        <w:rPr>
          <w:rFonts w:ascii="Arial" w:cs="Arial" w:eastAsia="Arial" w:hAnsi="Arial"/>
          <w:sz w:val="17"/>
          <w:szCs w:val="17"/>
          <w:color w:val="auto"/>
        </w:rPr>
      </w:pPr>
    </w:p>
    <w:p>
      <w:pPr>
        <w:jc w:val="both"/>
        <w:ind w:left="297" w:hanging="297"/>
        <w:spacing w:after="0" w:line="256" w:lineRule="auto"/>
        <w:tabs>
          <w:tab w:leader="none" w:pos="286" w:val="left"/>
        </w:tabs>
        <w:numPr>
          <w:ilvl w:val="0"/>
          <w:numId w:val="150"/>
        </w:numPr>
        <w:rPr>
          <w:rFonts w:ascii="Arial" w:cs="Arial" w:eastAsia="Arial" w:hAnsi="Arial"/>
          <w:sz w:val="17"/>
          <w:szCs w:val="17"/>
          <w:color w:val="auto"/>
        </w:rPr>
      </w:pPr>
      <w:r>
        <w:rPr>
          <w:rFonts w:ascii="Arial" w:cs="Arial" w:eastAsia="Arial" w:hAnsi="Arial"/>
          <w:sz w:val="20"/>
          <w:szCs w:val="20"/>
          <w:u w:val="single" w:color="auto"/>
          <w:color w:val="auto"/>
        </w:rPr>
        <w:t>Taxes and Withholding</w:t>
      </w:r>
      <w:r>
        <w:rPr>
          <w:rFonts w:ascii="Arial" w:cs="Arial" w:eastAsia="Arial" w:hAnsi="Arial"/>
          <w:sz w:val="20"/>
          <w:szCs w:val="20"/>
          <w:color w:val="auto"/>
        </w:rPr>
        <w:t>. To the extent that Gentex is required to withhold any federal, state, local or foreign taxes in connection with the delivery of shares of Common Stock to you or any other person under this Agreement, and the amounts available to Gentex for such withholding are insufficient, it will be a condition to the receipt of such delivery that you will pay such taxes or make arrangements that are satisfactory to Gentex for payment thereof. You may elect to have the number of shares of Common Stock to be delivered to you reduced (based on the Market Value Per Share as of the date the Performance Shares become payable) to provide for the taxes required to be withheld, with any fractional shares that would otherwise be delivered being rounded up to the next nearest whole share. In no event, however, will the Market Value Per Share of the shares of Common Stock to be withheld pursuant to this Section to satisfy applicable withholding taxes in connection with the benefit exceed the minimum amount of taxes required to be withheld.</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jc w:val="both"/>
        <w:ind w:left="297" w:hanging="297"/>
        <w:spacing w:after="0" w:line="255" w:lineRule="auto"/>
        <w:tabs>
          <w:tab w:leader="none" w:pos="286" w:val="left"/>
        </w:tabs>
        <w:numPr>
          <w:ilvl w:val="0"/>
          <w:numId w:val="150"/>
        </w:numPr>
        <w:rPr>
          <w:rFonts w:ascii="Arial" w:cs="Arial" w:eastAsia="Arial" w:hAnsi="Arial"/>
          <w:sz w:val="17"/>
          <w:szCs w:val="17"/>
          <w:color w:val="auto"/>
        </w:rPr>
      </w:pPr>
      <w:r>
        <w:rPr>
          <w:rFonts w:ascii="Arial" w:cs="Arial" w:eastAsia="Arial" w:hAnsi="Arial"/>
          <w:sz w:val="20"/>
          <w:szCs w:val="20"/>
          <w:color w:val="auto"/>
        </w:rPr>
        <w:t>Dividend Equivalents. Pursuant to and subject to the terms and conditions set forth herein, and in the Plan, the Company hereby awards to the Participant a right to receive in respect of each Performance Share held by the Participant on a dividend record date occurring after the Grant Date and prior to the date of settlement of the Performance Share pursuant to Section 5 of this Agreement, the equivalent value of any ordinary cash dividends that are paid on a share of Common Stock (“Dividend Equivalent”). Dividend Equivalents will be reinvested in the form of additional Performance Shares determined by dividing the value of the Dividend Equivalent by the Fair Market Value of a share of Common Stock on the Company’s dividend payment date. Dividend Equivalents will also accrue on the additional Performance Shares issued from Dividend Equivalents (and be reinvested into additional Dividend Equivalents). Dividend Equivalents will, in all cases, be subject to the same terms and conditions, including but not limited to those related to vesting, transferability, forfeiture and settlement, that apply to the corresponding Performance Shares under this Agreement and the Plan.</w:t>
      </w:r>
    </w:p>
    <w:p>
      <w:pPr>
        <w:sectPr>
          <w:pgSz w:w="11900" w:h="16838" w:orient="portrait"/>
          <w:cols w:equalWidth="0" w:num="1">
            <w:col w:w="10937"/>
          </w:cols>
          <w:pgMar w:left="623" w:top="1334" w:right="339" w:bottom="1440" w:gutter="0" w:footer="0" w:header="0"/>
        </w:sectPr>
      </w:pPr>
    </w:p>
    <w:bookmarkStart w:id="211" w:name="page212"/>
    <w:bookmarkEnd w:id="211"/>
    <w:p>
      <w:pPr>
        <w:jc w:val="both"/>
        <w:ind w:left="297" w:hanging="297"/>
        <w:spacing w:after="0" w:line="256" w:lineRule="auto"/>
        <w:tabs>
          <w:tab w:leader="none" w:pos="291" w:val="left"/>
        </w:tabs>
        <w:numPr>
          <w:ilvl w:val="0"/>
          <w:numId w:val="151"/>
        </w:numPr>
        <w:rPr>
          <w:rFonts w:ascii="Arial" w:cs="Arial" w:eastAsia="Arial" w:hAnsi="Arial"/>
          <w:sz w:val="17"/>
          <w:szCs w:val="17"/>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Gentex will make any adjustments in the number of Performance Shares or other securities covered by this Agreement that Gentex may determine to be equitably required to prevent any dilution or expansion of your rights under this Agreement that otherwise would result from any (a) stock dividend, stock split, reverse stock split, combination of shares, recapitalization or other change in the capital structure of Gentex, (b) merger, consolidation, spin-off, split-off, spin-out, split-up, separation, reorganization, partial or complete liquidation involving Gentex or other distribution of assets, issuance of rights or warrants to purchase securities of Gentex, or (c) other transaction or event having an effect similar to any of those referred to in Sections 10(a) or 10(b). Furthermore, in the event that any transaction or event described or referred to in the immediately preceding sentence will occur, Gentex may provide in substitution of any or all of your rights under this Agreement such alternative consideration as Gentex may determine in good faith to be equitable under the circumstances.</w:t>
      </w:r>
    </w:p>
    <w:p>
      <w:pPr>
        <w:spacing w:after="0" w:line="188" w:lineRule="exact"/>
        <w:rPr>
          <w:rFonts w:ascii="Arial" w:cs="Arial" w:eastAsia="Arial" w:hAnsi="Arial"/>
          <w:sz w:val="17"/>
          <w:szCs w:val="17"/>
          <w:color w:val="auto"/>
        </w:rPr>
      </w:pPr>
    </w:p>
    <w:p>
      <w:pPr>
        <w:jc w:val="both"/>
        <w:ind w:left="297" w:hanging="297"/>
        <w:spacing w:after="0" w:line="262" w:lineRule="auto"/>
        <w:tabs>
          <w:tab w:leader="none" w:pos="279" w:val="left"/>
        </w:tabs>
        <w:numPr>
          <w:ilvl w:val="0"/>
          <w:numId w:val="151"/>
        </w:numPr>
        <w:rPr>
          <w:rFonts w:ascii="Arial" w:cs="Arial" w:eastAsia="Arial" w:hAnsi="Arial"/>
          <w:sz w:val="17"/>
          <w:szCs w:val="17"/>
          <w:color w:val="auto"/>
        </w:rPr>
      </w:pPr>
      <w:r>
        <w:rPr>
          <w:rFonts w:ascii="Arial" w:cs="Arial" w:eastAsia="Arial" w:hAnsi="Arial"/>
          <w:sz w:val="20"/>
          <w:szCs w:val="20"/>
          <w:u w:val="single" w:color="auto"/>
          <w:color w:val="auto"/>
        </w:rPr>
        <w:t>Compliance with Section 409A of the Code</w:t>
      </w:r>
      <w:r>
        <w:rPr>
          <w:rFonts w:ascii="Arial" w:cs="Arial" w:eastAsia="Arial" w:hAnsi="Arial"/>
          <w:sz w:val="20"/>
          <w:szCs w:val="20"/>
          <w:color w:val="auto"/>
        </w:rPr>
        <w:t>. To the extent applicable, it is intended that this Agreement and the Plan be exempt from or comply with the provisions of Section 409A of the Code, so that the income inclusion provisions of Section 409A(a)(1) of the Code do not apply to you. This Agreement and the Plan will be administered in a manner consistent with this intent.</w:t>
      </w:r>
    </w:p>
    <w:p>
      <w:pPr>
        <w:spacing w:after="0" w:line="190" w:lineRule="exact"/>
        <w:rPr>
          <w:rFonts w:ascii="Arial" w:cs="Arial" w:eastAsia="Arial" w:hAnsi="Arial"/>
          <w:sz w:val="17"/>
          <w:szCs w:val="17"/>
          <w:color w:val="auto"/>
        </w:rPr>
      </w:pPr>
    </w:p>
    <w:p>
      <w:pPr>
        <w:jc w:val="both"/>
        <w:ind w:left="297" w:hanging="297"/>
        <w:spacing w:after="0" w:line="268" w:lineRule="auto"/>
        <w:tabs>
          <w:tab w:leader="none" w:pos="291" w:val="left"/>
        </w:tabs>
        <w:numPr>
          <w:ilvl w:val="0"/>
          <w:numId w:val="151"/>
        </w:numPr>
        <w:rPr>
          <w:rFonts w:ascii="Arial" w:cs="Arial" w:eastAsia="Arial" w:hAnsi="Arial"/>
          <w:sz w:val="17"/>
          <w:szCs w:val="17"/>
          <w:color w:val="auto"/>
        </w:rPr>
      </w:pPr>
      <w:r>
        <w:rPr>
          <w:rFonts w:ascii="Arial" w:cs="Arial" w:eastAsia="Arial" w:hAnsi="Arial"/>
          <w:sz w:val="20"/>
          <w:szCs w:val="20"/>
          <w:u w:val="single" w:color="auto"/>
          <w:color w:val="auto"/>
        </w:rPr>
        <w:t>Compliance with Law</w:t>
      </w:r>
      <w:r>
        <w:rPr>
          <w:rFonts w:ascii="Arial" w:cs="Arial" w:eastAsia="Arial" w:hAnsi="Arial"/>
          <w:sz w:val="20"/>
          <w:szCs w:val="20"/>
          <w:color w:val="auto"/>
        </w:rPr>
        <w:t>. Notwithstanding any other provision of this Agreement, the Performance Shares covered by this Agreement will not be paid if the payment thereof would result in violation of any applicable federal or state securities law.</w:t>
      </w:r>
    </w:p>
    <w:p>
      <w:pPr>
        <w:spacing w:after="0" w:line="173" w:lineRule="exact"/>
        <w:rPr>
          <w:rFonts w:ascii="Arial" w:cs="Arial" w:eastAsia="Arial" w:hAnsi="Arial"/>
          <w:sz w:val="17"/>
          <w:szCs w:val="17"/>
          <w:color w:val="auto"/>
        </w:rPr>
      </w:pPr>
    </w:p>
    <w:p>
      <w:pPr>
        <w:jc w:val="both"/>
        <w:ind w:left="297" w:hanging="297"/>
        <w:spacing w:after="0" w:line="266" w:lineRule="auto"/>
        <w:tabs>
          <w:tab w:leader="none" w:pos="291" w:val="left"/>
        </w:tabs>
        <w:numPr>
          <w:ilvl w:val="0"/>
          <w:numId w:val="151"/>
        </w:numPr>
        <w:rPr>
          <w:rFonts w:ascii="Arial" w:cs="Arial" w:eastAsia="Arial" w:hAnsi="Arial"/>
          <w:sz w:val="17"/>
          <w:szCs w:val="17"/>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Any amendment to the Plan will be deemed to be an amendment to this Agreement to the extent that the amendment is applicable hereto; provided, however, that no amendment will adversely affect your rights under this Agreement without your consent (provided, however, that your consent will not be required to an amendment that is deemed necessary by Gentex to ensure exemption from or compliance with Section 409A of the Code).</w:t>
      </w:r>
    </w:p>
    <w:p>
      <w:pPr>
        <w:spacing w:after="0" w:line="175" w:lineRule="exact"/>
        <w:rPr>
          <w:rFonts w:ascii="Arial" w:cs="Arial" w:eastAsia="Arial" w:hAnsi="Arial"/>
          <w:sz w:val="17"/>
          <w:szCs w:val="17"/>
          <w:color w:val="auto"/>
        </w:rPr>
      </w:pPr>
    </w:p>
    <w:p>
      <w:pPr>
        <w:jc w:val="both"/>
        <w:ind w:left="297" w:hanging="297"/>
        <w:spacing w:after="0" w:line="259" w:lineRule="auto"/>
        <w:tabs>
          <w:tab w:leader="none" w:pos="291" w:val="left"/>
        </w:tabs>
        <w:numPr>
          <w:ilvl w:val="0"/>
          <w:numId w:val="151"/>
        </w:numPr>
        <w:rPr>
          <w:rFonts w:ascii="Arial" w:cs="Arial" w:eastAsia="Arial" w:hAnsi="Arial"/>
          <w:sz w:val="17"/>
          <w:szCs w:val="17"/>
          <w:color w:val="auto"/>
        </w:rPr>
      </w:pPr>
      <w:r>
        <w:rPr>
          <w:rFonts w:ascii="Arial" w:cs="Arial" w:eastAsia="Arial" w:hAnsi="Arial"/>
          <w:sz w:val="20"/>
          <w:szCs w:val="20"/>
          <w:u w:val="single" w:color="auto"/>
          <w:color w:val="auto"/>
        </w:rPr>
        <w:t>Information</w:t>
      </w:r>
      <w:r>
        <w:rPr>
          <w:rFonts w:ascii="Arial" w:cs="Arial" w:eastAsia="Arial" w:hAnsi="Arial"/>
          <w:sz w:val="20"/>
          <w:szCs w:val="20"/>
          <w:color w:val="auto"/>
        </w:rPr>
        <w:t>. Information about you and your participation in the Plan may be collected, recorded and held, used and disclosed for any purpose related to the administration of the Plan. You understand that such processing of this information may need to be carried out by Gentex and its Subsidiaries and by third party administrators whether such persons are located within your country or elsewhere, including the United States of America. You consent to the processing of information relating to you and your participation in the Plan in any one or more of the ways referred to above.</w:t>
      </w:r>
    </w:p>
    <w:p>
      <w:pPr>
        <w:spacing w:after="0" w:line="184" w:lineRule="exact"/>
        <w:rPr>
          <w:rFonts w:ascii="Arial" w:cs="Arial" w:eastAsia="Arial" w:hAnsi="Arial"/>
          <w:sz w:val="17"/>
          <w:szCs w:val="17"/>
          <w:color w:val="auto"/>
        </w:rPr>
      </w:pPr>
    </w:p>
    <w:p>
      <w:pPr>
        <w:jc w:val="both"/>
        <w:ind w:left="297" w:hanging="297"/>
        <w:spacing w:after="0" w:line="268" w:lineRule="auto"/>
        <w:tabs>
          <w:tab w:leader="none" w:pos="291" w:val="left"/>
        </w:tabs>
        <w:numPr>
          <w:ilvl w:val="0"/>
          <w:numId w:val="151"/>
        </w:numPr>
        <w:rPr>
          <w:rFonts w:ascii="Arial" w:cs="Arial" w:eastAsia="Arial" w:hAnsi="Arial"/>
          <w:sz w:val="17"/>
          <w:szCs w:val="17"/>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or the application of any provision in this Agreement to any person or circumstances is held invalid, unenforceable or otherwise illegal, the remainder of this Agreement and the application of such</w:t>
      </w:r>
    </w:p>
    <w:p>
      <w:pPr>
        <w:sectPr>
          <w:pgSz w:w="11900" w:h="16838" w:orient="portrait"/>
          <w:cols w:equalWidth="0" w:num="1">
            <w:col w:w="10937"/>
          </w:cols>
          <w:pgMar w:left="623" w:top="1334" w:right="339" w:bottom="1440" w:gutter="0" w:footer="0" w:header="0"/>
        </w:sectPr>
      </w:pPr>
    </w:p>
    <w:bookmarkStart w:id="212" w:name="page213"/>
    <w:bookmarkEnd w:id="212"/>
    <w:p>
      <w:pPr>
        <w:jc w:val="both"/>
        <w:ind w:left="297"/>
        <w:spacing w:after="0" w:line="268" w:lineRule="auto"/>
        <w:rPr>
          <w:sz w:val="20"/>
          <w:szCs w:val="20"/>
          <w:color w:val="auto"/>
        </w:rPr>
      </w:pPr>
      <w:r>
        <w:rPr>
          <w:rFonts w:ascii="Arial" w:cs="Arial" w:eastAsia="Arial" w:hAnsi="Arial"/>
          <w:sz w:val="20"/>
          <w:szCs w:val="20"/>
          <w:color w:val="auto"/>
        </w:rPr>
        <w:t>provision to any other person or circumstances will not be affected, and the provisions so held to be invalid, unenforceable or otherwise illegal will be reformed to the extent (and only to the extent) necessary to make it enforceable, valid and legal.</w:t>
      </w:r>
    </w:p>
    <w:p>
      <w:pPr>
        <w:spacing w:after="0" w:line="186" w:lineRule="exact"/>
        <w:rPr>
          <w:sz w:val="20"/>
          <w:szCs w:val="20"/>
          <w:color w:val="auto"/>
        </w:rPr>
      </w:pPr>
    </w:p>
    <w:p>
      <w:pPr>
        <w:jc w:val="both"/>
        <w:ind w:left="297" w:hanging="297"/>
        <w:spacing w:after="0" w:line="259" w:lineRule="auto"/>
        <w:tabs>
          <w:tab w:leader="none" w:pos="291" w:val="left"/>
        </w:tabs>
        <w:numPr>
          <w:ilvl w:val="0"/>
          <w:numId w:val="152"/>
        </w:numPr>
        <w:rPr>
          <w:rFonts w:ascii="Arial" w:cs="Arial" w:eastAsia="Arial" w:hAnsi="Arial"/>
          <w:sz w:val="17"/>
          <w:szCs w:val="17"/>
          <w:color w:val="auto"/>
        </w:rPr>
      </w:pPr>
      <w:r>
        <w:rPr>
          <w:rFonts w:ascii="Arial" w:cs="Arial" w:eastAsia="Arial" w:hAnsi="Arial"/>
          <w:sz w:val="20"/>
          <w:szCs w:val="20"/>
          <w:u w:val="single" w:color="auto"/>
          <w:color w:val="auto"/>
        </w:rPr>
        <w:t>Relation to Plan</w:t>
      </w:r>
      <w:r>
        <w:rPr>
          <w:rFonts w:ascii="Arial" w:cs="Arial" w:eastAsia="Arial" w:hAnsi="Arial"/>
          <w:sz w:val="20"/>
          <w:szCs w:val="20"/>
          <w:color w:val="auto"/>
        </w:rPr>
        <w:t>. This Agreement is subject to the terms and conditions of the Plan. In the event of any inconsistency between the provisions of this Agreement and the Plan, the Plan will govern. The Board or the Compensation Committee will, except as expressly provided otherwise herein, have the right to determine any questions which arise in connection with the grant of Performance Shares. By your acceptance of the award under this Agreement, you acknowledge receipt of a copy of the Prospectus for the Plan and your agreement to the terms and conditions of the Plan and this Agreement.</w:t>
      </w:r>
    </w:p>
    <w:p>
      <w:pPr>
        <w:spacing w:after="0" w:line="184" w:lineRule="exact"/>
        <w:rPr>
          <w:rFonts w:ascii="Arial" w:cs="Arial" w:eastAsia="Arial" w:hAnsi="Arial"/>
          <w:sz w:val="17"/>
          <w:szCs w:val="17"/>
          <w:color w:val="auto"/>
        </w:rPr>
      </w:pPr>
    </w:p>
    <w:p>
      <w:pPr>
        <w:jc w:val="both"/>
        <w:ind w:left="297" w:hanging="297"/>
        <w:spacing w:after="0" w:line="268" w:lineRule="auto"/>
        <w:tabs>
          <w:tab w:leader="none" w:pos="291" w:val="left"/>
        </w:tabs>
        <w:numPr>
          <w:ilvl w:val="0"/>
          <w:numId w:val="152"/>
        </w:numPr>
        <w:rPr>
          <w:rFonts w:ascii="Arial" w:cs="Arial" w:eastAsia="Arial" w:hAnsi="Arial"/>
          <w:sz w:val="17"/>
          <w:szCs w:val="17"/>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Without limiting Section 6, the provisions of this Agreement will inure to the benefit of, and be binding upon, your successors, administrators, heirs, legal representatives and assigns, and the successors and assigns of Gentex.</w:t>
      </w:r>
    </w:p>
    <w:p>
      <w:pPr>
        <w:spacing w:after="0" w:line="173" w:lineRule="exact"/>
        <w:rPr>
          <w:rFonts w:ascii="Arial" w:cs="Arial" w:eastAsia="Arial" w:hAnsi="Arial"/>
          <w:sz w:val="17"/>
          <w:szCs w:val="17"/>
          <w:color w:val="auto"/>
        </w:rPr>
      </w:pPr>
    </w:p>
    <w:p>
      <w:pPr>
        <w:ind w:left="297" w:hanging="297"/>
        <w:spacing w:after="0" w:line="287" w:lineRule="auto"/>
        <w:tabs>
          <w:tab w:leader="none" w:pos="291" w:val="left"/>
        </w:tabs>
        <w:numPr>
          <w:ilvl w:val="0"/>
          <w:numId w:val="152"/>
        </w:numPr>
        <w:rPr>
          <w:rFonts w:ascii="Arial" w:cs="Arial" w:eastAsia="Arial" w:hAnsi="Arial"/>
          <w:sz w:val="17"/>
          <w:szCs w:val="17"/>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internal substantive laws of the State of Michigan, without giving effect to any principles of conflict of laws thereof.</w:t>
      </w:r>
    </w:p>
    <w:p>
      <w:pPr>
        <w:spacing w:after="0" w:line="167" w:lineRule="exact"/>
        <w:rPr>
          <w:rFonts w:ascii="Arial" w:cs="Arial" w:eastAsia="Arial" w:hAnsi="Arial"/>
          <w:sz w:val="17"/>
          <w:szCs w:val="17"/>
          <w:color w:val="auto"/>
        </w:rPr>
      </w:pPr>
    </w:p>
    <w:p>
      <w:pPr>
        <w:ind w:left="297" w:hanging="297"/>
        <w:spacing w:after="0" w:line="287" w:lineRule="auto"/>
        <w:tabs>
          <w:tab w:leader="none" w:pos="291" w:val="left"/>
        </w:tabs>
        <w:numPr>
          <w:ilvl w:val="0"/>
          <w:numId w:val="152"/>
        </w:numPr>
        <w:rPr>
          <w:rFonts w:ascii="Arial" w:cs="Arial" w:eastAsia="Arial" w:hAnsi="Arial"/>
          <w:sz w:val="17"/>
          <w:szCs w:val="17"/>
          <w:color w:val="auto"/>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Gentex to enforce at any time any provision of this Agreement shall in no way be construed to be a waiver of such provision or of any other provision hereof.</w:t>
      </w:r>
    </w:p>
    <w:p>
      <w:pPr>
        <w:spacing w:after="0" w:line="154" w:lineRule="exact"/>
        <w:rPr>
          <w:rFonts w:ascii="Arial" w:cs="Arial" w:eastAsia="Arial" w:hAnsi="Arial"/>
          <w:sz w:val="17"/>
          <w:szCs w:val="17"/>
          <w:color w:val="auto"/>
        </w:rPr>
      </w:pPr>
    </w:p>
    <w:p>
      <w:pPr>
        <w:ind w:left="297" w:hanging="297"/>
        <w:spacing w:after="0" w:line="287" w:lineRule="auto"/>
        <w:tabs>
          <w:tab w:leader="none" w:pos="291" w:val="left"/>
        </w:tabs>
        <w:numPr>
          <w:ilvl w:val="0"/>
          <w:numId w:val="152"/>
        </w:numPr>
        <w:rPr>
          <w:rFonts w:ascii="Arial" w:cs="Arial" w:eastAsia="Arial" w:hAnsi="Arial"/>
          <w:sz w:val="17"/>
          <w:szCs w:val="17"/>
          <w:color w:val="auto"/>
        </w:rPr>
      </w:pPr>
      <w:r>
        <w:rPr>
          <w:rFonts w:ascii="Arial" w:cs="Arial" w:eastAsia="Arial" w:hAnsi="Arial"/>
          <w:sz w:val="20"/>
          <w:szCs w:val="20"/>
          <w:u w:val="single" w:color="auto"/>
          <w:color w:val="auto"/>
        </w:rPr>
        <w:t>No Shareholder Rights Prior to Issuance of Shares</w:t>
      </w:r>
      <w:r>
        <w:rPr>
          <w:rFonts w:ascii="Arial" w:cs="Arial" w:eastAsia="Arial" w:hAnsi="Arial"/>
          <w:sz w:val="20"/>
          <w:szCs w:val="20"/>
          <w:color w:val="auto"/>
        </w:rPr>
        <w:t>. You will have no rights as a shareholder unless and until shares of Company Stock are issued pursuant to the terms of this Agreement.</w:t>
      </w:r>
    </w:p>
    <w:p>
      <w:pPr>
        <w:spacing w:after="0" w:line="154" w:lineRule="exact"/>
        <w:rPr>
          <w:rFonts w:ascii="Arial" w:cs="Arial" w:eastAsia="Arial" w:hAnsi="Arial"/>
          <w:sz w:val="17"/>
          <w:szCs w:val="17"/>
          <w:color w:val="auto"/>
        </w:rPr>
      </w:pPr>
    </w:p>
    <w:p>
      <w:pPr>
        <w:jc w:val="both"/>
        <w:ind w:left="297" w:hanging="297"/>
        <w:spacing w:after="0" w:line="259" w:lineRule="auto"/>
        <w:tabs>
          <w:tab w:leader="none" w:pos="291" w:val="left"/>
        </w:tabs>
        <w:numPr>
          <w:ilvl w:val="0"/>
          <w:numId w:val="152"/>
        </w:numPr>
        <w:rPr>
          <w:rFonts w:ascii="Arial" w:cs="Arial" w:eastAsia="Arial" w:hAnsi="Arial"/>
          <w:sz w:val="17"/>
          <w:szCs w:val="17"/>
          <w:color w:val="auto"/>
        </w:rPr>
      </w:pPr>
      <w:r>
        <w:rPr>
          <w:rFonts w:ascii="Arial" w:cs="Arial" w:eastAsia="Arial" w:hAnsi="Arial"/>
          <w:sz w:val="20"/>
          <w:szCs w:val="20"/>
          <w:u w:val="single" w:color="auto"/>
          <w:color w:val="auto"/>
        </w:rPr>
        <w:t>Relation to Other Benefits</w:t>
      </w:r>
      <w:r>
        <w:rPr>
          <w:rFonts w:ascii="Arial" w:cs="Arial" w:eastAsia="Arial" w:hAnsi="Arial"/>
          <w:sz w:val="20"/>
          <w:szCs w:val="20"/>
          <w:color w:val="auto"/>
        </w:rPr>
        <w:t>. Any economic or other benefit to you under this Agreement or the Plan will not be taken into account or considered as salary or compensation in determining any benefits to which you may be entitled under any profit-sharing, retirement or other benefit or compensation plan maintained by Gentex, except to the extent otherwise expressly provided under any such plan, and will not affect the amount of any life insurance coverage available to any beneficiary under any life insurance plan covering employees of Gentex, except to the extent otherwise expressly provided under any such plan.</w:t>
      </w:r>
    </w:p>
    <w:p>
      <w:pPr>
        <w:spacing w:after="0" w:line="196" w:lineRule="exact"/>
        <w:rPr>
          <w:rFonts w:ascii="Arial" w:cs="Arial" w:eastAsia="Arial" w:hAnsi="Arial"/>
          <w:sz w:val="17"/>
          <w:szCs w:val="17"/>
          <w:color w:val="auto"/>
        </w:rPr>
      </w:pPr>
    </w:p>
    <w:p>
      <w:pPr>
        <w:ind w:left="297" w:hanging="297"/>
        <w:spacing w:after="0"/>
        <w:tabs>
          <w:tab w:leader="none" w:pos="297" w:val="left"/>
        </w:tabs>
        <w:numPr>
          <w:ilvl w:val="0"/>
          <w:numId w:val="152"/>
        </w:numPr>
        <w:rPr>
          <w:rFonts w:ascii="Arial" w:cs="Arial" w:eastAsia="Arial" w:hAnsi="Arial"/>
          <w:sz w:val="17"/>
          <w:szCs w:val="17"/>
          <w:color w:val="auto"/>
        </w:rPr>
      </w:pPr>
      <w:r>
        <w:rPr>
          <w:rFonts w:ascii="Arial" w:cs="Arial" w:eastAsia="Arial" w:hAnsi="Arial"/>
          <w:sz w:val="20"/>
          <w:szCs w:val="20"/>
          <w:u w:val="single" w:color="auto"/>
          <w:color w:val="auto"/>
        </w:rPr>
        <w:t>Detrimental Activity</w:t>
      </w:r>
      <w:r>
        <w:rPr>
          <w:rFonts w:ascii="Arial" w:cs="Arial" w:eastAsia="Arial" w:hAnsi="Arial"/>
          <w:sz w:val="20"/>
          <w:szCs w:val="20"/>
          <w:color w:val="auto"/>
        </w:rPr>
        <w:t>.</w:t>
      </w:r>
    </w:p>
    <w:p>
      <w:pPr>
        <w:spacing w:after="0" w:line="235" w:lineRule="exact"/>
        <w:rPr>
          <w:rFonts w:ascii="Arial" w:cs="Arial" w:eastAsia="Arial" w:hAnsi="Arial"/>
          <w:sz w:val="17"/>
          <w:szCs w:val="17"/>
          <w:color w:val="auto"/>
        </w:rPr>
      </w:pPr>
    </w:p>
    <w:p>
      <w:pPr>
        <w:ind w:left="897" w:hanging="302"/>
        <w:spacing w:after="0" w:line="287" w:lineRule="auto"/>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20"/>
          <w:szCs w:val="20"/>
          <w:color w:val="auto"/>
        </w:rPr>
        <w:t>If the Board or the Compensation Committee thereof determines that you engaged in any Detrimental Activity,</w:t>
      </w:r>
      <w:r>
        <w:rPr>
          <w:rFonts w:ascii="Arial" w:cs="Arial" w:eastAsia="Arial" w:hAnsi="Arial"/>
          <w:sz w:val="17"/>
          <w:szCs w:val="17"/>
          <w:color w:val="auto"/>
        </w:rPr>
        <w:t xml:space="preserve"> </w:t>
      </w:r>
      <w:r>
        <w:rPr>
          <w:rFonts w:ascii="Arial" w:cs="Arial" w:eastAsia="Arial" w:hAnsi="Arial"/>
          <w:sz w:val="20"/>
          <w:szCs w:val="20"/>
          <w:color w:val="auto"/>
        </w:rPr>
        <w:t>then, promptly upon receiving notice of the Board's or the Compensation Committee's finding, you shall: (i)</w:t>
      </w:r>
    </w:p>
    <w:p>
      <w:pPr>
        <w:sectPr>
          <w:pgSz w:w="11900" w:h="16838" w:orient="portrait"/>
          <w:cols w:equalWidth="0" w:num="1">
            <w:col w:w="10937"/>
          </w:cols>
          <w:pgMar w:left="623" w:top="1334" w:right="339" w:bottom="1440" w:gutter="0" w:footer="0" w:header="0"/>
        </w:sectPr>
      </w:pPr>
    </w:p>
    <w:bookmarkStart w:id="213" w:name="page214"/>
    <w:bookmarkEnd w:id="213"/>
    <w:p>
      <w:pPr>
        <w:jc w:val="both"/>
        <w:ind w:left="1200"/>
        <w:spacing w:after="0" w:line="266" w:lineRule="auto"/>
        <w:rPr>
          <w:sz w:val="20"/>
          <w:szCs w:val="20"/>
          <w:color w:val="auto"/>
        </w:rPr>
      </w:pPr>
      <w:r>
        <w:rPr>
          <w:rFonts w:ascii="Arial" w:cs="Arial" w:eastAsia="Arial" w:hAnsi="Arial"/>
          <w:sz w:val="20"/>
          <w:szCs w:val="20"/>
          <w:color w:val="auto"/>
        </w:rPr>
        <w:t>forfeit all rights under this Agreement to the extent it remains outstanding; (ii) return to Gentex shares of Common Stock acquired pursuant to this Agreement to the extent then still held by or for you; (iii) with respect to any shares of Common Stock acquired pursuant to this Agreement that are no longer held by or for you, pay to Gentex the Market Value Per Share of such shares of Common Stock on the date acquired.</w:t>
      </w:r>
    </w:p>
    <w:p>
      <w:pPr>
        <w:spacing w:after="0" w:line="176" w:lineRule="exact"/>
        <w:rPr>
          <w:sz w:val="20"/>
          <w:szCs w:val="20"/>
          <w:color w:val="auto"/>
        </w:rPr>
      </w:pPr>
    </w:p>
    <w:p>
      <w:pPr>
        <w:jc w:val="both"/>
        <w:ind w:left="1200" w:hanging="294"/>
        <w:spacing w:after="0" w:line="262" w:lineRule="auto"/>
        <w:tabs>
          <w:tab w:leader="none" w:pos="1189" w:val="left"/>
        </w:tabs>
        <w:numPr>
          <w:ilvl w:val="1"/>
          <w:numId w:val="153"/>
        </w:numPr>
        <w:rPr>
          <w:rFonts w:ascii="Arial" w:cs="Arial" w:eastAsia="Arial" w:hAnsi="Arial"/>
          <w:sz w:val="17"/>
          <w:szCs w:val="17"/>
          <w:color w:val="auto"/>
        </w:rPr>
      </w:pPr>
      <w:r>
        <w:rPr>
          <w:rFonts w:ascii="Arial" w:cs="Arial" w:eastAsia="Arial" w:hAnsi="Arial"/>
          <w:sz w:val="20"/>
          <w:szCs w:val="20"/>
          <w:color w:val="auto"/>
        </w:rPr>
        <w:t>To the extent that such shares are not returned to or amounts are not paid to Gentex, Gentex may seek other remedies, including without limitation a set off of the amounts so payable to it against any amounts that may be owing from time to time by Gentex to you for any reason, including without limitation wages, deferred compensation or vacation pay.</w:t>
      </w:r>
    </w:p>
    <w:p>
      <w:pPr>
        <w:spacing w:after="0" w:line="190" w:lineRule="exact"/>
        <w:rPr>
          <w:rFonts w:ascii="Arial" w:cs="Arial" w:eastAsia="Arial" w:hAnsi="Arial"/>
          <w:sz w:val="17"/>
          <w:szCs w:val="17"/>
          <w:color w:val="auto"/>
        </w:rPr>
      </w:pPr>
    </w:p>
    <w:p>
      <w:pPr>
        <w:ind w:left="600" w:hanging="297"/>
        <w:spacing w:after="0"/>
        <w:tabs>
          <w:tab w:leader="none" w:pos="600" w:val="left"/>
        </w:tabs>
        <w:numPr>
          <w:ilvl w:val="0"/>
          <w:numId w:val="154"/>
        </w:numPr>
        <w:rPr>
          <w:rFonts w:ascii="Arial" w:cs="Arial" w:eastAsia="Arial" w:hAnsi="Arial"/>
          <w:sz w:val="17"/>
          <w:szCs w:val="17"/>
          <w:color w:val="auto"/>
        </w:rPr>
      </w:pPr>
      <w:r>
        <w:rPr>
          <w:rFonts w:ascii="Arial" w:cs="Arial" w:eastAsia="Arial" w:hAnsi="Arial"/>
          <w:sz w:val="20"/>
          <w:szCs w:val="20"/>
          <w:u w:val="single" w:color="auto"/>
          <w:color w:val="auto"/>
        </w:rPr>
        <w:t>Certain Defined Terms. For purposes of this Agreement</w:t>
      </w:r>
      <w:r>
        <w:rPr>
          <w:rFonts w:ascii="Arial" w:cs="Arial" w:eastAsia="Arial" w:hAnsi="Arial"/>
          <w:sz w:val="20"/>
          <w:szCs w:val="20"/>
          <w:color w:val="auto"/>
        </w:rPr>
        <w:t>:</w:t>
      </w:r>
    </w:p>
    <w:p>
      <w:pPr>
        <w:spacing w:after="0" w:line="235"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20"/>
          <w:szCs w:val="20"/>
          <w:i w:val="1"/>
          <w:iCs w:val="1"/>
          <w:color w:val="auto"/>
        </w:rPr>
        <w:t xml:space="preserve">"Cause" </w:t>
      </w:r>
      <w:r>
        <w:rPr>
          <w:rFonts w:ascii="Arial" w:cs="Arial" w:eastAsia="Arial" w:hAnsi="Arial"/>
          <w:sz w:val="20"/>
          <w:szCs w:val="20"/>
          <w:color w:val="auto"/>
        </w:rPr>
        <w:t>shall mean (a) the intentional engagement in any acts or omissions constituting dishonesty, breach of a</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fiduciary obligation, wrongdoing or misfeasance, in each case, in connection with your duties or otherwise during the course of your employment with Gentex; (b) the commission of a felony or the indictment for any felony, including, but not limited to, any felony involving fraud, embezzlement, moral turpitude or theft; (c) the intentional and wrongful damaging of property, contractual interests or business relationships of Gentex; (d) the intentional and wrongful disclosure of secret processes or confidential information of Gentex in violation of an agreement with or a policy of Gentex; (e) the continued failure to substantially perform your duties for Gentex; (f) current alcohol or prescription drug abuse affecting work performance; (g) current illegal use of drugs; or (h) any intentional conduct contrary to announced policies or practices of Gentex (including, but not limited to, those contained in Gentex's Code of Business Conduct and Ethics).</w:t>
      </w:r>
    </w:p>
    <w:p>
      <w:pPr>
        <w:spacing w:after="0" w:line="192" w:lineRule="exact"/>
        <w:rPr>
          <w:sz w:val="20"/>
          <w:szCs w:val="20"/>
          <w:color w:val="auto"/>
        </w:rPr>
      </w:pPr>
    </w:p>
    <w:p>
      <w:pPr>
        <w:jc w:val="both"/>
        <w:ind w:firstLine="604"/>
        <w:spacing w:after="0" w:line="255" w:lineRule="auto"/>
        <w:rPr>
          <w:sz w:val="20"/>
          <w:szCs w:val="20"/>
          <w:color w:val="auto"/>
        </w:rPr>
      </w:pPr>
      <w:r>
        <w:rPr>
          <w:rFonts w:ascii="Arial" w:cs="Arial" w:eastAsia="Arial" w:hAnsi="Arial"/>
          <w:sz w:val="20"/>
          <w:szCs w:val="20"/>
          <w:i w:val="1"/>
          <w:iCs w:val="1"/>
          <w:color w:val="auto"/>
        </w:rPr>
        <w:t xml:space="preserve">"Detrimental Activity" </w:t>
      </w:r>
      <w:r>
        <w:rPr>
          <w:rFonts w:ascii="Arial" w:cs="Arial" w:eastAsia="Arial" w:hAnsi="Arial"/>
          <w:sz w:val="20"/>
          <w:szCs w:val="20"/>
          <w:color w:val="auto"/>
        </w:rPr>
        <w:t>shall mean: (a) engaging in any activity of competition or solicitation prohibited by any</w:t>
      </w:r>
      <w:r>
        <w:rPr>
          <w:rFonts w:ascii="Arial" w:cs="Arial" w:eastAsia="Arial" w:hAnsi="Arial"/>
          <w:sz w:val="20"/>
          <w:szCs w:val="20"/>
          <w:i w:val="1"/>
          <w:iCs w:val="1"/>
          <w:color w:val="auto"/>
        </w:rPr>
        <w:t xml:space="preserve"> </w:t>
      </w:r>
      <w:r>
        <w:rPr>
          <w:rFonts w:ascii="Arial" w:cs="Arial" w:eastAsia="Arial" w:hAnsi="Arial"/>
          <w:sz w:val="20"/>
          <w:szCs w:val="20"/>
          <w:color w:val="auto"/>
        </w:rPr>
        <w:t>noncompete or nonsolicitation agreement between you and Gentex; (b) the disclosure to anyone outside Gentex, or the use in other than Gentex's business, (i) without prior written authorization from Gentex, of any confidential, proprietary or trade secret information or material relating to the business of Gentex and acquired by you during your employment or other service with Gentex, or (ii) in violation of any covenant not to disclose set forth in any agreement between you and Gentex; (c) the (i) unreasonable failure or refusal to disclose promptly and to assign to Gentex upon request all right, title and interest in any invention or idea, patentable or not, made or conceived by you during your service with Gentex and relating in any manner to the actual or anticipated business, research or development work of Gentex or the failure or refusal to do anything reasonably necessary to enable Gentex to secure a patent where appropriate in the United States or in other countries, or (ii) violation of any development and inventions provision set forth in any agreement between you and Gentex; (d) activity during your employment by Gentex that could form the basis of your termination for Cause; or (e) if you are or were an officer of Gentex,</w:t>
      </w:r>
    </w:p>
    <w:p>
      <w:pPr>
        <w:sectPr>
          <w:pgSz w:w="11900" w:h="16838" w:orient="portrait"/>
          <w:cols w:equalWidth="0" w:num="1">
            <w:col w:w="11240"/>
          </w:cols>
          <w:pgMar w:left="320" w:top="1334" w:right="339" w:bottom="1440" w:gutter="0" w:footer="0" w:header="0"/>
        </w:sectPr>
      </w:pPr>
    </w:p>
    <w:bookmarkStart w:id="214" w:name="page215"/>
    <w:bookmarkEnd w:id="214"/>
    <w:p>
      <w:pPr>
        <w:jc w:val="both"/>
        <w:spacing w:after="0" w:line="287" w:lineRule="auto"/>
        <w:rPr>
          <w:sz w:val="20"/>
          <w:szCs w:val="20"/>
          <w:color w:val="auto"/>
        </w:rPr>
      </w:pPr>
      <w:r>
        <w:rPr>
          <w:rFonts w:ascii="Arial" w:cs="Arial" w:eastAsia="Arial" w:hAnsi="Arial"/>
          <w:sz w:val="20"/>
          <w:szCs w:val="20"/>
          <w:color w:val="auto"/>
        </w:rPr>
        <w:t>activity that the Board or the Compensation Committee determines entitles Gentex to seek recovery from an officer under any policy promulgated by the Board or the Compensation Committee as in effect on the date hereof.</w:t>
      </w:r>
    </w:p>
    <w:p>
      <w:pPr>
        <w:spacing w:after="0" w:line="154" w:lineRule="exact"/>
        <w:rPr>
          <w:sz w:val="20"/>
          <w:szCs w:val="20"/>
          <w:color w:val="auto"/>
        </w:rPr>
      </w:pPr>
    </w:p>
    <w:p>
      <w:pPr>
        <w:jc w:val="both"/>
        <w:ind w:firstLine="604"/>
        <w:spacing w:after="0" w:line="274" w:lineRule="auto"/>
        <w:rPr>
          <w:sz w:val="20"/>
          <w:szCs w:val="20"/>
          <w:color w:val="auto"/>
        </w:rPr>
      </w:pPr>
      <w:r>
        <w:rPr>
          <w:rFonts w:ascii="Arial" w:cs="Arial" w:eastAsia="Arial" w:hAnsi="Arial"/>
          <w:sz w:val="20"/>
          <w:szCs w:val="20"/>
          <w:i w:val="1"/>
          <w:iCs w:val="1"/>
          <w:color w:val="auto"/>
        </w:rPr>
        <w:t xml:space="preserve">"Disability" </w:t>
      </w:r>
      <w:r>
        <w:rPr>
          <w:rFonts w:ascii="Arial" w:cs="Arial" w:eastAsia="Arial" w:hAnsi="Arial"/>
          <w:sz w:val="20"/>
          <w:szCs w:val="20"/>
          <w:color w:val="auto"/>
        </w:rPr>
        <w:t>shall mean a termination of employment under circumstances that would make you eligible to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benefits under Gentex's long-term disability plan, as it may be in effect from time to time, or any successor plan, program, agreement or arrangement.</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Good Reason</w:t>
      </w:r>
      <w:r>
        <w:rPr>
          <w:rFonts w:ascii="Arial" w:cs="Arial" w:eastAsia="Arial" w:hAnsi="Arial"/>
          <w:sz w:val="20"/>
          <w:szCs w:val="20"/>
          <w:color w:val="auto"/>
        </w:rPr>
        <w:t>" shall mean the occurrence of: without your consent and without Cause, assignment to duties materially inconsistent with your position, duties, and responsibilities with Gentex; a material reduction by Gentex in your annual base salary as then in effect (which is not applicable to employees generally); or a material breach by Gentex of its obligations under this Agreement; provided, however, you provide Gentex written notice within thirty (30) days of such occasion and Gentex has not cured the same.</w:t>
      </w:r>
    </w:p>
    <w:p>
      <w:pPr>
        <w:spacing w:after="0" w:line="179" w:lineRule="exact"/>
        <w:rPr>
          <w:sz w:val="20"/>
          <w:szCs w:val="20"/>
          <w:color w:val="auto"/>
        </w:rPr>
      </w:pPr>
    </w:p>
    <w:p>
      <w:pPr>
        <w:jc w:val="both"/>
        <w:ind w:firstLine="604"/>
        <w:spacing w:after="0" w:line="268" w:lineRule="auto"/>
        <w:rPr>
          <w:sz w:val="20"/>
          <w:szCs w:val="20"/>
          <w:color w:val="auto"/>
        </w:rPr>
      </w:pPr>
      <w:r>
        <w:rPr>
          <w:rFonts w:ascii="Arial" w:cs="Arial" w:eastAsia="Arial" w:hAnsi="Arial"/>
          <w:sz w:val="20"/>
          <w:szCs w:val="20"/>
          <w:i w:val="1"/>
          <w:iCs w:val="1"/>
          <w:color w:val="auto"/>
        </w:rPr>
        <w:t xml:space="preserve">"Retirement" </w:t>
      </w:r>
      <w:r>
        <w:rPr>
          <w:rFonts w:ascii="Arial" w:cs="Arial" w:eastAsia="Arial" w:hAnsi="Arial"/>
          <w:sz w:val="20"/>
          <w:szCs w:val="20"/>
          <w:color w:val="auto"/>
        </w:rPr>
        <w:t>shall mean termination of employment (other than termination for Cause or due to death or Disability) at or</w:t>
      </w:r>
      <w:r>
        <w:rPr>
          <w:rFonts w:ascii="Arial" w:cs="Arial" w:eastAsia="Arial" w:hAnsi="Arial"/>
          <w:sz w:val="20"/>
          <w:szCs w:val="20"/>
          <w:i w:val="1"/>
          <w:iCs w:val="1"/>
          <w:color w:val="auto"/>
        </w:rPr>
        <w:t xml:space="preserve"> </w:t>
      </w:r>
      <w:r>
        <w:rPr>
          <w:rFonts w:ascii="Arial" w:cs="Arial" w:eastAsia="Arial" w:hAnsi="Arial"/>
          <w:sz w:val="20"/>
          <w:szCs w:val="20"/>
          <w:color w:val="auto"/>
        </w:rPr>
        <w:t>after age 60 with at least ten (10) years of service with Gentex or at or after age 65, with at least five (5) years of service with Gentex or a Subsidiary, in each case requiring six months advance written notice.</w:t>
      </w:r>
    </w:p>
    <w:p>
      <w:pPr>
        <w:sectPr>
          <w:pgSz w:w="11900" w:h="16838" w:orient="portrait"/>
          <w:cols w:equalWidth="0" w:num="1">
            <w:col w:w="11240"/>
          </w:cols>
          <w:pgMar w:left="320" w:top="1334"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7"/>
          <w:szCs w:val="17"/>
          <w:b w:val="1"/>
          <w:bCs w:val="1"/>
          <w:color w:val="auto"/>
        </w:rPr>
        <w:t>Exhibit 21</w:t>
      </w:r>
    </w:p>
    <w:p>
      <w:pPr>
        <w:spacing w:after="0" w:line="232"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List of Gentex Corporation Subsidiaries</w:t>
      </w:r>
    </w:p>
    <w:p>
      <w:pPr>
        <w:spacing w:after="0" w:line="232" w:lineRule="exact"/>
        <w:rPr>
          <w:sz w:val="20"/>
          <w:szCs w:val="20"/>
          <w:color w:val="auto"/>
        </w:rPr>
      </w:pPr>
    </w:p>
    <w:p>
      <w:pPr>
        <w:ind w:left="300" w:hanging="297"/>
        <w:spacing w:after="0"/>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E.C. Aviation Services, Inc., a Michigan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Gentex Holdings, Inc., a Michigan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Gentex GmbH, a German limited liability company, is a subsidiary 50% owned by Gentex Corporation and 50% owned by Gentex Holdings, Inc.</w:t>
      </w:r>
    </w:p>
    <w:p>
      <w:pPr>
        <w:spacing w:after="0" w:line="243" w:lineRule="exact"/>
        <w:rPr>
          <w:rFonts w:ascii="Arial" w:cs="Arial" w:eastAsia="Arial" w:hAnsi="Arial"/>
          <w:sz w:val="16"/>
          <w:szCs w:val="16"/>
          <w:color w:val="auto"/>
        </w:rPr>
      </w:pPr>
    </w:p>
    <w:p>
      <w:pPr>
        <w:ind w:left="300" w:hanging="297"/>
        <w:spacing w:after="0"/>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Gentex Japan, Inc., a Japanese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Gentex Mirrors Ltd., a United Kingdom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Gentex France, SAS, a French simplified liability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Gentex Technologies Korea Co., Ltd., a Korean limited stock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Gentex (Shanghai) Electronics Technology Co., Inc., a Chinese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Gentex Technologies (Israel), Ltd., an Israeli limited liability company, is a wholly-owned subsidiary of Gentex Corporation.</w:t>
      </w:r>
    </w:p>
    <w:p>
      <w:pPr>
        <w:sectPr>
          <w:pgSz w:w="11900" w:h="16838" w:orient="portrait"/>
          <w:cols w:equalWidth="0" w:num="1">
            <w:col w:w="10940"/>
          </w:cols>
          <w:pgMar w:left="620" w:top="840" w:right="339" w:bottom="1440" w:gutter="0" w:footer="0" w:header="0"/>
        </w:sectPr>
      </w:pPr>
    </w:p>
    <w:bookmarkStart w:id="216" w:name="page217"/>
    <w:bookmarkEnd w:id="216"/>
    <w:p>
      <w:pPr>
        <w:ind w:left="206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w:t>
      </w:r>
    </w:p>
    <w:p>
      <w:pPr>
        <w:spacing w:after="0" w:line="232" w:lineRule="exact"/>
        <w:rPr>
          <w:sz w:val="20"/>
          <w:szCs w:val="20"/>
          <w:color w:val="auto"/>
        </w:rPr>
      </w:pPr>
    </w:p>
    <w:p>
      <w:pPr>
        <w:ind w:left="600" w:hanging="2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333-266558) pertaining to the 2022 Gentex Corporation Employee Stock Purchase Plan,</w:t>
      </w:r>
    </w:p>
    <w:p>
      <w:pPr>
        <w:spacing w:after="0" w:line="21" w:lineRule="exact"/>
        <w:rPr>
          <w:rFonts w:ascii="Arial" w:cs="Arial" w:eastAsia="Arial" w:hAnsi="Arial"/>
          <w:sz w:val="17"/>
          <w:szCs w:val="17"/>
          <w:color w:val="auto"/>
        </w:rPr>
      </w:pPr>
    </w:p>
    <w:p>
      <w:pPr>
        <w:ind w:left="600" w:hanging="2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333-232414) pertaining to the 2019 Gentex Corporation Omnibus Incentive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333-216273) pertaining to the Gentex Corporation Employee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333-198468) pertaining to the Gentex Corporation Employee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333-188893) pertaining to the 2013 Gentex Corporation Employee Stock Purchase Plan,</w:t>
      </w:r>
    </w:p>
    <w:p>
      <w:pPr>
        <w:spacing w:after="0" w:line="5" w:lineRule="exact"/>
        <w:rPr>
          <w:rFonts w:ascii="Arial" w:cs="Arial" w:eastAsia="Arial" w:hAnsi="Arial"/>
          <w:sz w:val="17"/>
          <w:szCs w:val="17"/>
          <w:color w:val="auto"/>
        </w:rPr>
      </w:pPr>
    </w:p>
    <w:p>
      <w:pPr>
        <w:ind w:left="600" w:hanging="297"/>
        <w:spacing w:after="0" w:line="247" w:lineRule="auto"/>
        <w:tabs>
          <w:tab w:leader="none" w:pos="59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333-183412) pertaining to the Gentex Corporation 2012 Amended and Restated Nonemployee Director Stock Option Plan,</w:t>
      </w:r>
    </w:p>
    <w:p>
      <w:pPr>
        <w:ind w:left="600" w:hanging="2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333-118213) pertaining to the Gentex Corporation Qualified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333-105858) pertaining to the Gentex Corporation 2003 Employee Stock Purchase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Registration Statement (Form S-8 No. 333-101642) pertaining to the Gentex Corporation 2002 Nonemployee Director Stock Option Plan,</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(10)Registration Statement (Form S-8 No. 333-04661) pertaining to the Gentex Corporation Qualified Stock Option Plan, and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(11)Registration Statement (Form S-8 No. 33-65321) pertaining to the Gentex Corporation Qualified Stock Option Plan;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of our reports dated February 22, 2023, with respect to the consolidated financial statements of Gentex Corporation and subsidiaries and the effectiveness of internal control over financial reporting of Gentex Corporation and subsidiaries included in this Annual Report (Form 10-K) of Gentex Corporation for the year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2023</w:t>
      </w:r>
    </w:p>
    <w:p>
      <w:pPr>
        <w:sectPr>
          <w:pgSz w:w="11900" w:h="16838" w:orient="portrait"/>
          <w:cols w:equalWidth="0" w:num="1">
            <w:col w:w="11240"/>
          </w:cols>
          <w:pgMar w:left="320" w:top="840"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7"/>
          <w:szCs w:val="17"/>
          <w:b w:val="1"/>
          <w:bCs w:val="1"/>
          <w:color w:val="auto"/>
        </w:rPr>
        <w:t>EXHIBIT 31.1</w:t>
      </w:r>
    </w:p>
    <w:p>
      <w:pPr>
        <w:spacing w:after="0" w:line="232"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CERTIFICATION OF THE CHIEF EXECUTIVE OFFICER OF 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Steven R. Downing, certify that:</w:t>
      </w:r>
    </w:p>
    <w:p>
      <w:pPr>
        <w:spacing w:after="0" w:line="232" w:lineRule="exact"/>
        <w:rPr>
          <w:sz w:val="20"/>
          <w:szCs w:val="20"/>
          <w:color w:val="auto"/>
        </w:rPr>
      </w:pPr>
    </w:p>
    <w:p>
      <w:pPr>
        <w:ind w:left="180" w:hanging="179"/>
        <w:spacing w:after="0"/>
        <w:tabs>
          <w:tab w:leader="none" w:pos="1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Gentex Corporation;</w:t>
      </w:r>
    </w:p>
    <w:p>
      <w:pPr>
        <w:spacing w:after="0" w:line="232" w:lineRule="exact"/>
        <w:rPr>
          <w:rFonts w:ascii="Arial" w:cs="Arial" w:eastAsia="Arial" w:hAnsi="Arial"/>
          <w:sz w:val="17"/>
          <w:szCs w:val="17"/>
          <w:color w:val="auto"/>
        </w:rPr>
      </w:pPr>
    </w:p>
    <w:p>
      <w:pPr>
        <w:jc w:val="both"/>
        <w:ind w:left="220" w:hanging="219"/>
        <w:spacing w:after="0" w:line="263" w:lineRule="auto"/>
        <w:tabs>
          <w:tab w:leader="none" w:pos="19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7" w:lineRule="exact"/>
        <w:rPr>
          <w:rFonts w:ascii="Arial" w:cs="Arial" w:eastAsia="Arial" w:hAnsi="Arial"/>
          <w:sz w:val="17"/>
          <w:szCs w:val="17"/>
          <w:color w:val="auto"/>
        </w:rPr>
      </w:pPr>
    </w:p>
    <w:p>
      <w:pPr>
        <w:ind w:left="220" w:hanging="219"/>
        <w:spacing w:after="0" w:line="279" w:lineRule="auto"/>
        <w:tabs>
          <w:tab w:leader="none" w:pos="1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4" w:lineRule="exact"/>
        <w:rPr>
          <w:rFonts w:ascii="Arial" w:cs="Arial" w:eastAsia="Arial" w:hAnsi="Arial"/>
          <w:sz w:val="17"/>
          <w:szCs w:val="17"/>
          <w:color w:val="auto"/>
        </w:rPr>
      </w:pPr>
    </w:p>
    <w:p>
      <w:pPr>
        <w:jc w:val="both"/>
        <w:ind w:left="220" w:hanging="219"/>
        <w:spacing w:after="0" w:line="263" w:lineRule="auto"/>
        <w:tabs>
          <w:tab w:leader="none" w:pos="20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7"/>
          <w:szCs w:val="17"/>
          <w:color w:val="auto"/>
        </w:rPr>
      </w:pPr>
    </w:p>
    <w:p>
      <w:pPr>
        <w:ind w:left="600" w:hanging="317"/>
        <w:spacing w:after="0" w:line="263" w:lineRule="auto"/>
        <w:tabs>
          <w:tab w:leader="none" w:pos="479" w:val="left"/>
        </w:tabs>
        <w:numPr>
          <w:ilvl w:val="1"/>
          <w:numId w:val="1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7" w:lineRule="exact"/>
        <w:rPr>
          <w:rFonts w:ascii="Arial" w:cs="Arial" w:eastAsia="Arial" w:hAnsi="Arial"/>
          <w:sz w:val="17"/>
          <w:szCs w:val="17"/>
          <w:color w:val="auto"/>
        </w:rPr>
      </w:pPr>
    </w:p>
    <w:p>
      <w:pPr>
        <w:jc w:val="both"/>
        <w:ind w:left="600" w:hanging="220"/>
        <w:spacing w:after="0" w:line="263" w:lineRule="auto"/>
        <w:tabs>
          <w:tab w:leader="none" w:pos="601" w:val="left"/>
        </w:tabs>
        <w:numPr>
          <w:ilvl w:val="4"/>
          <w:numId w:val="157"/>
        </w:numPr>
        <w:rPr>
          <w:rFonts w:ascii="Arial" w:cs="Arial" w:eastAsia="Arial" w:hAnsi="Arial"/>
          <w:sz w:val="17"/>
          <w:szCs w:val="17"/>
          <w:color w:val="auto"/>
        </w:rPr>
      </w:pPr>
      <w:r>
        <w:rPr>
          <w:rFonts w:ascii="Arial" w:cs="Arial" w:eastAsia="Arial" w:hAnsi="Arial"/>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600" w:hanging="306"/>
        <w:spacing w:after="0" w:line="263" w:lineRule="auto"/>
        <w:tabs>
          <w:tab w:leader="none" w:pos="484" w:val="left"/>
        </w:tabs>
        <w:numPr>
          <w:ilvl w:val="2"/>
          <w:numId w:val="1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7" w:lineRule="exact"/>
        <w:rPr>
          <w:rFonts w:ascii="Arial" w:cs="Arial" w:eastAsia="Arial" w:hAnsi="Arial"/>
          <w:sz w:val="17"/>
          <w:szCs w:val="17"/>
          <w:color w:val="auto"/>
        </w:rPr>
      </w:pPr>
    </w:p>
    <w:p>
      <w:pPr>
        <w:ind w:left="600" w:hanging="281"/>
        <w:spacing w:after="0" w:line="263" w:lineRule="auto"/>
        <w:tabs>
          <w:tab w:leader="none" w:pos="524" w:val="left"/>
        </w:tabs>
        <w:numPr>
          <w:ilvl w:val="3"/>
          <w:numId w:val="157"/>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220" w:hanging="219"/>
        <w:spacing w:after="0" w:line="279" w:lineRule="auto"/>
        <w:tabs>
          <w:tab w:leader="none" w:pos="19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600" w:hanging="222"/>
        <w:spacing w:after="0" w:line="279" w:lineRule="auto"/>
        <w:tabs>
          <w:tab w:leader="none" w:pos="569" w:val="left"/>
        </w:tabs>
        <w:numPr>
          <w:ilvl w:val="4"/>
          <w:numId w:val="1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600" w:hanging="222"/>
        <w:spacing w:after="0" w:line="279" w:lineRule="auto"/>
        <w:tabs>
          <w:tab w:leader="none" w:pos="569" w:val="left"/>
        </w:tabs>
        <w:numPr>
          <w:ilvl w:val="4"/>
          <w:numId w:val="1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Steven R. Downing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066"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7"/>
          <w:szCs w:val="17"/>
          <w:b w:val="1"/>
          <w:bCs w:val="1"/>
          <w:color w:val="auto"/>
        </w:rPr>
        <w:t>EXHIBIT 31.2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OF 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Kevin C. Nash, certify that:</w:t>
      </w:r>
    </w:p>
    <w:p>
      <w:pPr>
        <w:spacing w:after="0" w:line="232" w:lineRule="exact"/>
        <w:rPr>
          <w:sz w:val="20"/>
          <w:szCs w:val="20"/>
          <w:color w:val="auto"/>
        </w:rPr>
      </w:pPr>
    </w:p>
    <w:p>
      <w:pPr>
        <w:ind w:left="180" w:hanging="179"/>
        <w:spacing w:after="0"/>
        <w:tabs>
          <w:tab w:leader="none" w:pos="1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Gentex Corporation;</w:t>
      </w:r>
    </w:p>
    <w:p>
      <w:pPr>
        <w:spacing w:after="0" w:line="232" w:lineRule="exact"/>
        <w:rPr>
          <w:rFonts w:ascii="Arial" w:cs="Arial" w:eastAsia="Arial" w:hAnsi="Arial"/>
          <w:sz w:val="17"/>
          <w:szCs w:val="17"/>
          <w:color w:val="auto"/>
        </w:rPr>
      </w:pPr>
    </w:p>
    <w:p>
      <w:pPr>
        <w:jc w:val="both"/>
        <w:ind w:left="220" w:hanging="219"/>
        <w:spacing w:after="0" w:line="263" w:lineRule="auto"/>
        <w:tabs>
          <w:tab w:leader="none" w:pos="19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7" w:lineRule="exact"/>
        <w:rPr>
          <w:rFonts w:ascii="Arial" w:cs="Arial" w:eastAsia="Arial" w:hAnsi="Arial"/>
          <w:sz w:val="17"/>
          <w:szCs w:val="17"/>
          <w:color w:val="auto"/>
        </w:rPr>
      </w:pPr>
    </w:p>
    <w:p>
      <w:pPr>
        <w:ind w:left="220" w:hanging="219"/>
        <w:spacing w:after="0" w:line="279" w:lineRule="auto"/>
        <w:tabs>
          <w:tab w:leader="none" w:pos="1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4" w:lineRule="exact"/>
        <w:rPr>
          <w:rFonts w:ascii="Arial" w:cs="Arial" w:eastAsia="Arial" w:hAnsi="Arial"/>
          <w:sz w:val="17"/>
          <w:szCs w:val="17"/>
          <w:color w:val="auto"/>
        </w:rPr>
      </w:pPr>
    </w:p>
    <w:p>
      <w:pPr>
        <w:jc w:val="both"/>
        <w:ind w:left="220" w:hanging="219"/>
        <w:spacing w:after="0" w:line="263" w:lineRule="auto"/>
        <w:tabs>
          <w:tab w:leader="none" w:pos="20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9" w:val="left"/>
        </w:tabs>
        <w:numPr>
          <w:ilvl w:val="2"/>
          <w:numId w:val="1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74" w:val="left"/>
        </w:tabs>
        <w:numPr>
          <w:ilvl w:val="2"/>
          <w:numId w:val="159"/>
        </w:numPr>
        <w:rPr>
          <w:rFonts w:ascii="Arial" w:cs="Arial" w:eastAsia="Arial" w:hAnsi="Arial"/>
          <w:sz w:val="17"/>
          <w:szCs w:val="17"/>
          <w:color w:val="auto"/>
        </w:rPr>
      </w:pPr>
      <w:r>
        <w:rPr>
          <w:rFonts w:ascii="Arial" w:cs="Arial" w:eastAsia="Arial" w:hAnsi="Arial"/>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0" w:val="left"/>
        </w:tabs>
        <w:numPr>
          <w:ilvl w:val="2"/>
          <w:numId w:val="1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9" w:val="left"/>
        </w:tabs>
        <w:numPr>
          <w:ilvl w:val="2"/>
          <w:numId w:val="159"/>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firstLine="1"/>
        <w:spacing w:after="0" w:line="279" w:lineRule="auto"/>
        <w:tabs>
          <w:tab w:leader="none" w:pos="19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680" w:hanging="246"/>
        <w:spacing w:after="0" w:line="279" w:lineRule="auto"/>
        <w:tabs>
          <w:tab w:leader="none" w:pos="63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680" w:hanging="257"/>
        <w:spacing w:after="0" w:line="279" w:lineRule="auto"/>
        <w:tabs>
          <w:tab w:leader="none" w:pos="622"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Kevin C. Nash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Kevin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40"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PURSUANT TO SECTION 906 OF THE SARBANES-OXLEY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75" w:lineRule="exact"/>
        <w:rPr>
          <w:sz w:val="20"/>
          <w:szCs w:val="20"/>
          <w:color w:val="auto"/>
        </w:rPr>
      </w:pPr>
    </w:p>
    <w:p>
      <w:pPr>
        <w:ind w:left="220" w:hanging="219"/>
        <w:spacing w:after="0" w:line="279" w:lineRule="auto"/>
        <w:tabs>
          <w:tab w:leader="none" w:pos="24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annual report on Form 10-K for the year ended December 31, 2022, which this statement accompanies, fully complies with the requirements of Section 13(a) or 15(d) of the Securities Exchange Act of 1934; and</w:t>
      </w:r>
    </w:p>
    <w:p>
      <w:pPr>
        <w:spacing w:after="0" w:line="174" w:lineRule="exact"/>
        <w:rPr>
          <w:rFonts w:ascii="Arial" w:cs="Arial" w:eastAsia="Arial" w:hAnsi="Arial"/>
          <w:sz w:val="17"/>
          <w:szCs w:val="17"/>
          <w:color w:val="auto"/>
        </w:rPr>
      </w:pPr>
    </w:p>
    <w:p>
      <w:pPr>
        <w:ind w:left="220" w:hanging="219"/>
        <w:spacing w:after="0" w:line="279" w:lineRule="auto"/>
        <w:tabs>
          <w:tab w:leader="none" w:pos="2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information contained in this annual report on Form 10-K of the year ended December 31, 2022,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22, 2023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Steven R. Downing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Kevin C. Nash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Kevin C.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1)"/>
      <w:numFmt w:val="lowerLetter"/>
      <w:start w:val="1"/>
    </w:lvl>
  </w:abstractNum>
  <w:abstractNum w:abstractNumId="3">
    <w:nsid w:val="14330624"/>
    <w:multiLevelType w:val="hybridMultilevel"/>
    <w:lvl w:ilvl="0">
      <w:lvlJc w:val="left"/>
      <w:lvlText w:val="(%1)"/>
      <w:numFmt w:val="lowerLetter"/>
      <w:start w:val="2"/>
    </w:lvl>
  </w:abstractNum>
  <w:abstractNum w:abstractNumId="4">
    <w:nsid w:val="7FFFCA11"/>
    <w:multiLevelType w:val="hybridMultilevel"/>
    <w:lvl w:ilvl="0">
      <w:lvlJc w:val="left"/>
      <w:lvlText w:val="\endash "/>
      <w:numFmt w:val="bullet"/>
      <w:start w:val="1"/>
    </w:lvl>
  </w:abstractNum>
  <w:abstractNum w:abstractNumId="5">
    <w:nsid w:val="1A27709E"/>
    <w:multiLevelType w:val="hybridMultilevel"/>
    <w:lvl w:ilvl="0">
      <w:lvlJc w:val="left"/>
      <w:lvlText w:val="\endash "/>
      <w:numFmt w:val="bullet"/>
      <w:start w:val="1"/>
    </w:lvl>
  </w:abstractNum>
  <w:abstractNum w:abstractNumId="6">
    <w:nsid w:val="71EA1109"/>
    <w:multiLevelType w:val="hybridMultilevel"/>
    <w:lvl w:ilvl="0">
      <w:lvlJc w:val="left"/>
      <w:lvlText w:val="(%1)"/>
      <w:numFmt w:val="lowerLetter"/>
      <w:start w:val="4"/>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1)"/>
      <w:numFmt w:val="lowerLetter"/>
      <w:start w:val="1"/>
    </w:lvl>
  </w:abstractNum>
  <w:abstractNum w:abstractNumId="12">
    <w:nsid w:val="885E1B"/>
    <w:multiLevelType w:val="hybridMultilevel"/>
    <w:lvl w:ilvl="0">
      <w:lvlJc w:val="left"/>
      <w:lvlText w:val="(%1)"/>
      <w:numFmt w:val="lowerLetter"/>
      <w:start w:val="2"/>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1)"/>
      <w:numFmt w:val="lowerLetter"/>
      <w:start w:val="1"/>
    </w:lvl>
    <w:lvl w:ilvl="1">
      <w:lvlJc w:val="left"/>
      <w:lvlText w:val="%2."/>
      <w:numFmt w:val="decimal"/>
      <w:start w:val="2"/>
    </w:lvl>
  </w:abstractNum>
  <w:abstractNum w:abstractNumId="15">
    <w:nsid w:val="1716703B"/>
    <w:multiLevelType w:val="hybridMultilevel"/>
    <w:lvl w:ilvl="0">
      <w:lvlJc w:val="left"/>
      <w:lvlText w:val="(%1)"/>
      <w:numFmt w:val="decimal"/>
      <w:start w:val="1"/>
    </w:lvl>
  </w:abstractNum>
  <w:abstractNum w:abstractNumId="16">
    <w:nsid w:val="14E17E33"/>
    <w:multiLevelType w:val="hybridMultilevel"/>
    <w:lvl w:ilvl="0">
      <w:lvlJc w:val="left"/>
      <w:lvlText w:val="(%1)"/>
      <w:numFmt w:val="decimal"/>
      <w:start w:val="1"/>
    </w:lvl>
  </w:abstractNum>
  <w:abstractNum w:abstractNumId="17">
    <w:nsid w:val="3222E7CD"/>
    <w:multiLevelType w:val="hybridMultilevel"/>
    <w:lvl w:ilvl="0">
      <w:lvlJc w:val="left"/>
      <w:lvlText w:val="(%1)"/>
      <w:numFmt w:val="decimal"/>
      <w:start w:val="1"/>
    </w:lvl>
  </w:abstractNum>
  <w:abstractNum w:abstractNumId="18">
    <w:nsid w:val="74DE0EE3"/>
    <w:multiLevelType w:val="hybridMultilevel"/>
    <w:lvl w:ilvl="0">
      <w:lvlJc w:val="left"/>
      <w:lvlText w:val="(%1)"/>
      <w:numFmt w:val="decimal"/>
      <w:start w:val="1"/>
    </w:lvl>
  </w:abstractNum>
  <w:abstractNum w:abstractNumId="19">
    <w:nsid w:val="68EBC550"/>
    <w:multiLevelType w:val="hybridMultilevel"/>
    <w:lvl w:ilvl="0">
      <w:lvlJc w:val="left"/>
      <w:lvlText w:val="(%1)"/>
      <w:numFmt w:val="decimal"/>
      <w:start w:val="1"/>
    </w:lvl>
  </w:abstractNum>
  <w:abstractNum w:abstractNumId="20">
    <w:nsid w:val="2DF6D648"/>
    <w:multiLevelType w:val="hybridMultilevel"/>
    <w:lvl w:ilvl="0">
      <w:lvlJc w:val="left"/>
      <w:lvlText w:val="(%1)"/>
      <w:numFmt w:val="decimal"/>
      <w:start w:val="1"/>
    </w:lvl>
  </w:abstractNum>
  <w:abstractNum w:abstractNumId="21">
    <w:nsid w:val="46B7D447"/>
    <w:multiLevelType w:val="hybridMultilevel"/>
    <w:lvl w:ilvl="0">
      <w:lvlJc w:val="left"/>
      <w:lvlText w:val="(%1)"/>
      <w:numFmt w:val="decimal"/>
      <w:start w:val="1"/>
    </w:lvl>
  </w:abstractNum>
  <w:abstractNum w:abstractNumId="22">
    <w:nsid w:val="4A2AC315"/>
    <w:multiLevelType w:val="hybridMultilevel"/>
    <w:lvl w:ilvl="0">
      <w:lvlJc w:val="left"/>
      <w:lvlText w:val="(%1)"/>
      <w:numFmt w:val="decimal"/>
      <w:start w:val="1"/>
    </w:lvl>
  </w:abstractNum>
  <w:abstractNum w:abstractNumId="23">
    <w:nsid w:val="39EE015C"/>
    <w:multiLevelType w:val="hybridMultilevel"/>
    <w:lvl w:ilvl="0">
      <w:lvlJc w:val="left"/>
      <w:lvlText w:val="(%1)"/>
      <w:numFmt w:val="decimal"/>
      <w:start w:val="1"/>
    </w:lvl>
  </w:abstractNum>
  <w:abstractNum w:abstractNumId="24">
    <w:nsid w:val="57FC4FBB"/>
    <w:multiLevelType w:val="hybridMultilevel"/>
    <w:lvl w:ilvl="0">
      <w:lvlJc w:val="left"/>
      <w:lvlText w:val="(%1)"/>
      <w:numFmt w:val="decimal"/>
      <w:start w:val="1"/>
    </w:lvl>
  </w:abstractNum>
  <w:abstractNum w:abstractNumId="25">
    <w:nsid w:val="CC1016F"/>
    <w:multiLevelType w:val="hybridMultilevel"/>
    <w:lvl w:ilvl="0">
      <w:lvlJc w:val="left"/>
      <w:lvlText w:val="(%1)"/>
      <w:numFmt w:val="decimal"/>
      <w:start w:val="1"/>
    </w:lvl>
  </w:abstractNum>
  <w:abstractNum w:abstractNumId="26">
    <w:nsid w:val="43F18422"/>
    <w:multiLevelType w:val="hybridMultilevel"/>
    <w:lvl w:ilvl="0">
      <w:lvlJc w:val="left"/>
      <w:lvlText w:val="(%1)"/>
      <w:numFmt w:val="decimal"/>
      <w:start w:val="2"/>
    </w:lvl>
  </w:abstractNum>
  <w:abstractNum w:abstractNumId="27">
    <w:nsid w:val="60EF0119"/>
    <w:multiLevelType w:val="hybridMultilevel"/>
    <w:lvl w:ilvl="0">
      <w:lvlJc w:val="left"/>
      <w:lvlText w:val="(%1)"/>
      <w:numFmt w:val="decimal"/>
      <w:start w:val="3"/>
    </w:lvl>
  </w:abstractNum>
  <w:abstractNum w:abstractNumId="28">
    <w:nsid w:val="26F324BA"/>
    <w:multiLevelType w:val="hybridMultilevel"/>
    <w:lvl w:ilvl="0">
      <w:lvlJc w:val="left"/>
      <w:lvlText w:val="(%1)"/>
      <w:numFmt w:val="decimal"/>
      <w:start w:val="3"/>
    </w:lvl>
  </w:abstractNum>
  <w:abstractNum w:abstractNumId="29">
    <w:nsid w:val="7F01579B"/>
    <w:multiLevelType w:val="hybridMultilevel"/>
    <w:lvl w:ilvl="0">
      <w:lvlJc w:val="left"/>
      <w:lvlText w:val="(%1)"/>
      <w:numFmt w:val="decimal"/>
      <w:start w:val="4"/>
    </w:lvl>
  </w:abstractNum>
  <w:abstractNum w:abstractNumId="30">
    <w:nsid w:val="49DA307D"/>
    <w:multiLevelType w:val="hybridMultilevel"/>
    <w:lvl w:ilvl="0">
      <w:lvlJc w:val="left"/>
      <w:lvlText w:val="(%1)"/>
      <w:numFmt w:val="decimal"/>
      <w:start w:val="5"/>
    </w:lvl>
  </w:abstractNum>
  <w:abstractNum w:abstractNumId="31">
    <w:nsid w:val="7055A5F5"/>
    <w:multiLevelType w:val="hybridMultilevel"/>
    <w:lvl w:ilvl="0">
      <w:lvlJc w:val="left"/>
      <w:lvlText w:val="(%1)"/>
      <w:numFmt w:val="decimal"/>
      <w:start w:val="1"/>
    </w:lvl>
  </w:abstractNum>
  <w:abstractNum w:abstractNumId="32">
    <w:nsid w:val="5FB8370B"/>
    <w:multiLevelType w:val="hybridMultilevel"/>
    <w:lvl w:ilvl="0">
      <w:lvlJc w:val="left"/>
      <w:lvlText w:val="(%1)"/>
      <w:numFmt w:val="decimal"/>
      <w:start w:val="3"/>
    </w:lvl>
  </w:abstractNum>
  <w:abstractNum w:abstractNumId="33">
    <w:nsid w:val="50801EE1"/>
    <w:multiLevelType w:val="hybridMultilevel"/>
    <w:lvl w:ilvl="0">
      <w:lvlJc w:val="left"/>
      <w:lvlText w:val="(%1)"/>
      <w:numFmt w:val="decimal"/>
      <w:start w:val="7"/>
    </w:lvl>
  </w:abstractNum>
  <w:abstractNum w:abstractNumId="34">
    <w:nsid w:val="488AC1A"/>
    <w:multiLevelType w:val="hybridMultilevel"/>
    <w:lvl w:ilvl="0">
      <w:lvlJc w:val="left"/>
      <w:lvlText w:val="(%1)"/>
      <w:numFmt w:val="decimal"/>
      <w:start w:val="7"/>
    </w:lvl>
  </w:abstractNum>
  <w:abstractNum w:abstractNumId="35">
    <w:nsid w:val="5FB8011C"/>
    <w:multiLevelType w:val="hybridMultilevel"/>
    <w:lvl w:ilvl="0">
      <w:lvlJc w:val="left"/>
      <w:lvlText w:val="(%1)"/>
      <w:numFmt w:val="decimal"/>
      <w:start w:val="9"/>
    </w:lvl>
  </w:abstractNum>
  <w:abstractNum w:abstractNumId="36">
    <w:nsid w:val="6AA78F7F"/>
    <w:multiLevelType w:val="hybridMultilevel"/>
    <w:lvl w:ilvl="0">
      <w:lvlJc w:val="left"/>
      <w:lvlText w:val="(%1)"/>
      <w:numFmt w:val="decimal"/>
      <w:start w:val="10"/>
    </w:lvl>
  </w:abstractNum>
  <w:abstractNum w:abstractNumId="37">
    <w:nsid w:val="7672BD23"/>
    <w:multiLevelType w:val="hybridMultilevel"/>
    <w:lvl w:ilvl="0">
      <w:lvlJc w:val="left"/>
      <w:lvlText w:val="(%1)"/>
      <w:numFmt w:val="decimal"/>
      <w:start w:val="11"/>
    </w:lvl>
  </w:abstractNum>
  <w:abstractNum w:abstractNumId="38">
    <w:nsid w:val="6FC75AF8"/>
    <w:multiLevelType w:val="hybridMultilevel"/>
    <w:lvl w:ilvl="0">
      <w:lvlJc w:val="left"/>
      <w:lvlText w:val="(%1)"/>
      <w:numFmt w:val="decimal"/>
      <w:start w:val="12"/>
    </w:lvl>
  </w:abstractNum>
  <w:abstractNum w:abstractNumId="39">
    <w:nsid w:val="6A5F7029"/>
    <w:multiLevelType w:val="hybridMultilevel"/>
    <w:lvl w:ilvl="0">
      <w:lvlJc w:val="left"/>
      <w:lvlText w:val="(%1)"/>
      <w:numFmt w:val="decimal"/>
      <w:start w:val="13"/>
    </w:lvl>
  </w:abstractNum>
  <w:abstractNum w:abstractNumId="40">
    <w:nsid w:val="7D5E18F8"/>
    <w:multiLevelType w:val="hybridMultilevel"/>
    <w:lvl w:ilvl="0">
      <w:lvlJc w:val="left"/>
      <w:lvlText w:val="%1"/>
      <w:numFmt w:val="decimal"/>
      <w:start w:val="21"/>
    </w:lvl>
  </w:abstractNum>
  <w:abstractNum w:abstractNumId="41">
    <w:nsid w:val="5F3534A4"/>
    <w:multiLevelType w:val="hybridMultilevel"/>
    <w:lvl w:ilvl="0">
      <w:lvlJc w:val="left"/>
      <w:lvlText w:val="%1"/>
      <w:numFmt w:val="decimal"/>
      <w:start w:val="32"/>
    </w:lvl>
  </w:abstractNum>
  <w:abstractNum w:abstractNumId="42">
    <w:nsid w:val="73A1821B"/>
    <w:multiLevelType w:val="hybridMultilevel"/>
    <w:lvl w:ilvl="0">
      <w:lvlJc w:val="left"/>
      <w:lvlText w:val="%1."/>
      <w:numFmt w:val="decimal"/>
      <w:start w:val="1"/>
    </w:lvl>
    <w:lvl w:ilvl="1">
      <w:lvlJc w:val="left"/>
      <w:lvlText w:val="(%2)"/>
      <w:numFmt w:val="lowerLetter"/>
      <w:start w:val="1"/>
    </w:lvl>
  </w:abstractNum>
  <w:abstractNum w:abstractNumId="43">
    <w:nsid w:val="7DE67713"/>
    <w:multiLevelType w:val="hybridMultilevel"/>
    <w:lvl w:ilvl="0">
      <w:lvlJc w:val="left"/>
      <w:lvlText w:val="%1."/>
      <w:numFmt w:val="decimal"/>
      <w:start w:val="4"/>
    </w:lvl>
    <w:lvl w:ilvl="1">
      <w:lvlJc w:val="left"/>
      <w:lvlText w:val="(%2)"/>
      <w:numFmt w:val="lowerLetter"/>
      <w:start w:val="1"/>
    </w:lvl>
  </w:abstractNum>
  <w:abstractNum w:abstractNumId="44">
    <w:nsid w:val="555C55B5"/>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5">
    <w:nsid w:val="3FA62AC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5"/>
    </w:lvl>
  </w:abstractNum>
  <w:abstractNum w:abstractNumId="46">
    <w:nsid w:val="14FCE74E"/>
    <w:multiLevelType w:val="hybridMultilevel"/>
    <w:lvl w:ilvl="0">
      <w:lvlJc w:val="left"/>
      <w:lvlText w:val="%1."/>
      <w:numFmt w:val="decimal"/>
      <w:start w:val="6"/>
    </w:lvl>
  </w:abstractNum>
  <w:abstractNum w:abstractNumId="47">
    <w:nsid w:val="6A3DD3E8"/>
    <w:multiLevelType w:val="hybridMultilevel"/>
    <w:lvl w:ilvl="0">
      <w:lvlJc w:val="left"/>
      <w:lvlText w:val="%1."/>
      <w:numFmt w:val="decimal"/>
      <w:start w:val="16"/>
    </w:lvl>
  </w:abstractNum>
  <w:abstractNum w:abstractNumId="48">
    <w:nsid w:val="71C91298"/>
    <w:multiLevelType w:val="hybridMultilevel"/>
    <w:lvl w:ilvl="0">
      <w:lvlJc w:val="left"/>
      <w:lvlText w:val="%1."/>
      <w:numFmt w:val="decimal"/>
      <w:start w:val="3"/>
    </w:lvl>
  </w:abstractNum>
  <w:abstractNum w:abstractNumId="49">
    <w:nsid w:val="9DAF632"/>
    <w:multiLevelType w:val="hybridMultilevel"/>
    <w:lvl w:ilvl="0">
      <w:lvlJc w:val="left"/>
      <w:lvlText w:val="%1."/>
      <w:numFmt w:val="decimal"/>
      <w:start w:val="1"/>
    </w:lvl>
  </w:abstractNum>
  <w:abstractNum w:abstractNumId="50">
    <w:nsid w:val="53299938"/>
    <w:multiLevelType w:val="hybridMultilevel"/>
    <w:lvl w:ilvl="0">
      <w:lvlJc w:val="left"/>
      <w:lvlText w:val="(%1)"/>
      <w:numFmt w:val="decimal"/>
      <w:start w:val="1"/>
    </w:lvl>
  </w:abstractNum>
  <w:abstractNum w:abstractNumId="51">
    <w:nsid w:val="1FBFE8E0"/>
    <w:multiLevelType w:val="hybridMultilevel"/>
    <w:lvl w:ilvl="0">
      <w:lvlJc w:val="left"/>
      <w:lvlText w:val="(%1)"/>
      <w:numFmt w:val="decimal"/>
      <w:start w:val="1"/>
    </w:lvl>
  </w:abstractNum>
  <w:abstractNum w:abstractNumId="52">
    <w:nsid w:val="5092CA79"/>
    <w:multiLevelType w:val="hybridMultilevel"/>
    <w:lvl w:ilvl="0">
      <w:lvlJc w:val="left"/>
      <w:lvlText w:val="(%1)"/>
      <w:numFmt w:val="decimal"/>
      <w:start w:val="2"/>
    </w:lvl>
  </w:abstractNum>
  <w:abstractNum w:abstractNumId="53">
    <w:nsid w:val="1D545C4D"/>
    <w:multiLevelType w:val="hybridMultilevel"/>
    <w:lvl w:ilvl="0">
      <w:lvlJc w:val="left"/>
      <w:lvlText w:val="(%1)"/>
      <w:numFmt w:val="decimal"/>
      <w:start w:val="1"/>
    </w:lvl>
  </w:abstractNum>
  <w:abstractNum w:abstractNumId="54">
    <w:nsid w:val="59ADEA3D"/>
    <w:multiLevelType w:val="hybridMultilevel"/>
    <w:lvl w:ilvl="0">
      <w:lvlJc w:val="left"/>
      <w:lvlText w:val="(%1)"/>
      <w:numFmt w:val="decimal"/>
      <w:start w:val="2"/>
    </w:lvl>
  </w:abstractNum>
  <w:abstractNum w:abstractNumId="55">
    <w:nsid w:val="288F1A34"/>
    <w:multiLevelType w:val="hybridMultilevel"/>
    <w:lvl w:ilvl="0">
      <w:lvlJc w:val="left"/>
      <w:lvlText w:val="(%1)"/>
      <w:numFmt w:val="lowerRoman"/>
      <w:start w:val="6"/>
    </w:lvl>
  </w:abstractNum>
  <w:abstractNum w:abstractNumId="56">
    <w:nsid w:val="2A155DBC"/>
    <w:multiLevelType w:val="hybridMultilevel"/>
    <w:lvl w:ilvl="0">
      <w:lvlJc w:val="left"/>
      <w:lvlText w:val="(%1)"/>
      <w:numFmt w:val="lowerLetter"/>
      <w:start w:val="2"/>
    </w:lvl>
  </w:abstractNum>
  <w:abstractNum w:abstractNumId="57">
    <w:nsid w:val="1D9F6E5F"/>
    <w:multiLevelType w:val="hybridMultilevel"/>
    <w:lvl w:ilvl="0">
      <w:lvlJc w:val="left"/>
      <w:lvlText w:val="(%1)"/>
      <w:numFmt w:val="lowerRoman"/>
      <w:start w:val="1"/>
    </w:lvl>
  </w:abstractNum>
  <w:abstractNum w:abstractNumId="58">
    <w:nsid w:val="97E1B4E"/>
    <w:multiLevelType w:val="hybridMultilevel"/>
    <w:lvl w:ilvl="0">
      <w:lvlJc w:val="left"/>
      <w:lvlText w:val="(%1)"/>
      <w:numFmt w:val="decimal"/>
      <w:start w:val="1"/>
    </w:lvl>
  </w:abstractNum>
  <w:abstractNum w:abstractNumId="59">
    <w:nsid w:val="51088277"/>
    <w:multiLevelType w:val="hybridMultilevel"/>
    <w:lvl w:ilvl="0">
      <w:lvlJc w:val="left"/>
      <w:lvlText w:val="%1"/>
      <w:numFmt w:val="lowerRoman"/>
      <w:start w:val="1"/>
    </w:lvl>
    <w:lvl w:ilvl="1">
      <w:lvlJc w:val="left"/>
      <w:lvlText w:val="(%2)"/>
      <w:numFmt w:val="decimal"/>
      <w:start w:val="2"/>
    </w:lvl>
  </w:abstractNum>
  <w:abstractNum w:abstractNumId="60">
    <w:nsid w:val="1CA0C5FA"/>
    <w:multiLevelType w:val="hybridMultilevel"/>
    <w:lvl w:ilvl="0">
      <w:lvlJc w:val="left"/>
      <w:lvlText w:val="(%1)"/>
      <w:numFmt w:val="lowerRoman"/>
      <w:start w:val="2"/>
    </w:lvl>
    <w:lvl w:ilvl="1">
      <w:lvlJc w:val="left"/>
      <w:lvlText w:val="(%2)"/>
      <w:numFmt w:val="decimal"/>
      <w:start w:val="5"/>
    </w:lvl>
  </w:abstractNum>
  <w:abstractNum w:abstractNumId="61">
    <w:nsid w:val="53584BCB"/>
    <w:multiLevelType w:val="hybridMultilevel"/>
    <w:lvl w:ilvl="0">
      <w:lvlJc w:val="left"/>
      <w:lvlText w:val="(%1)"/>
      <w:numFmt w:val="decimal"/>
      <w:start w:val="1"/>
    </w:lvl>
  </w:abstractNum>
  <w:abstractNum w:abstractNumId="62">
    <w:nsid w:val="415E286C"/>
    <w:multiLevelType w:val="hybridMultilevel"/>
    <w:lvl w:ilvl="0">
      <w:lvlJc w:val="left"/>
      <w:lvlText w:val="(%1)"/>
      <w:numFmt w:val="decimal"/>
      <w:start w:val="9"/>
    </w:lvl>
    <w:lvl w:ilvl="1">
      <w:lvlJc w:val="left"/>
      <w:lvlText w:val="(◦)"/>
      <w:numFmt w:val="bullet"/>
      <w:start w:val="1"/>
    </w:lvl>
  </w:abstractNum>
  <w:abstractNum w:abstractNumId="63">
    <w:nsid w:val="7C58FD05"/>
    <w:multiLevelType w:val="hybridMultilevel"/>
    <w:lvl w:ilvl="0">
      <w:lvlJc w:val="left"/>
      <w:lvlText w:val="(%1)"/>
      <w:numFmt w:val="decimal"/>
      <w:start w:val="1"/>
    </w:lvl>
  </w:abstractNum>
  <w:abstractNum w:abstractNumId="64">
    <w:nsid w:val="23D86AAC"/>
    <w:multiLevelType w:val="hybridMultilevel"/>
    <w:lvl w:ilvl="0">
      <w:lvlJc w:val="left"/>
      <w:lvlText w:val="(%1)"/>
      <w:numFmt w:val="lowerRoman"/>
      <w:start w:val="2"/>
    </w:lvl>
  </w:abstractNum>
  <w:abstractNum w:abstractNumId="65">
    <w:nsid w:val="45E6D486"/>
    <w:multiLevelType w:val="hybridMultilevel"/>
    <w:lvl w:ilvl="0">
      <w:lvlJc w:val="left"/>
      <w:lvlText w:val="(%1)"/>
      <w:numFmt w:val="lowerLetter"/>
      <w:start w:val="2"/>
    </w:lvl>
  </w:abstractNum>
  <w:abstractNum w:abstractNumId="66">
    <w:nsid w:val="5C10FE21"/>
    <w:multiLevelType w:val="hybridMultilevel"/>
    <w:lvl w:ilvl="0">
      <w:lvlJc w:val="left"/>
      <w:lvlText w:val="%1."/>
      <w:numFmt w:val="decimal"/>
      <w:start w:val="2"/>
    </w:lvl>
  </w:abstractNum>
  <w:abstractNum w:abstractNumId="67">
    <w:nsid w:val="E7FFA2B"/>
    <w:multiLevelType w:val="hybridMultilevel"/>
    <w:lvl w:ilvl="0">
      <w:lvlJc w:val="left"/>
      <w:lvlText w:val="(%1)"/>
      <w:numFmt w:val="lowerLetter"/>
      <w:start w:val="1"/>
    </w:lvl>
  </w:abstractNum>
  <w:abstractNum w:abstractNumId="68">
    <w:nsid w:val="3C5991AA"/>
    <w:multiLevelType w:val="hybridMultilevel"/>
    <w:lvl w:ilvl="0">
      <w:lvlJc w:val="left"/>
      <w:lvlText w:val="(%1)"/>
      <w:numFmt w:val="lowerLetter"/>
      <w:start w:val="2"/>
    </w:lvl>
  </w:abstractNum>
  <w:abstractNum w:abstractNumId="69">
    <w:nsid w:val="4BD8591A"/>
    <w:multiLevelType w:val="hybridMultilevel"/>
    <w:lvl w:ilvl="0">
      <w:lvlJc w:val="left"/>
      <w:lvlText w:val="(%1)"/>
      <w:numFmt w:val="lowerLetter"/>
      <w:start w:val="11"/>
    </w:lvl>
  </w:abstractNum>
  <w:abstractNum w:abstractNumId="70">
    <w:nsid w:val="78DF6A55"/>
    <w:multiLevelType w:val="hybridMultilevel"/>
    <w:lvl w:ilvl="0">
      <w:lvlJc w:val="left"/>
      <w:lvlText w:val="(%1)"/>
      <w:numFmt w:val="lowerRoman"/>
      <w:start w:val="8"/>
    </w:lvl>
  </w:abstractNum>
  <w:abstractNum w:abstractNumId="71">
    <w:nsid w:val="39B7AAA2"/>
    <w:multiLevelType w:val="hybridMultilevel"/>
    <w:lvl w:ilvl="0">
      <w:lvlJc w:val="left"/>
      <w:lvlText w:val="(%1)"/>
      <w:numFmt w:val="lowerLetter"/>
      <w:start w:val="1"/>
    </w:lvl>
  </w:abstractNum>
  <w:abstractNum w:abstractNumId="72">
    <w:nsid w:val="2B0D8DBE"/>
    <w:multiLevelType w:val="hybridMultilevel"/>
    <w:lvl w:ilvl="0">
      <w:lvlJc w:val="left"/>
      <w:lvlText w:val="(%1)"/>
      <w:numFmt w:val="lowerLetter"/>
      <w:start w:val="2"/>
    </w:lvl>
    <w:lvl w:ilvl="1">
      <w:lvlJc w:val="left"/>
      <w:lvlText w:val="(%2)"/>
      <w:numFmt w:val="lowerRoman"/>
      <w:start w:val="1"/>
    </w:lvl>
  </w:abstractNum>
  <w:abstractNum w:abstractNumId="73">
    <w:nsid w:val="6C80EC70"/>
    <w:multiLevelType w:val="hybridMultilevel"/>
    <w:lvl w:ilvl="0">
      <w:lvlJc w:val="left"/>
      <w:lvlText w:val="(%1)"/>
      <w:numFmt w:val="lowerLetter"/>
      <w:start w:val="1"/>
    </w:lvl>
  </w:abstractNum>
  <w:abstractNum w:abstractNumId="74">
    <w:nsid w:val="379E21B5"/>
    <w:multiLevelType w:val="hybridMultilevel"/>
    <w:lvl w:ilvl="0">
      <w:lvlJc w:val="left"/>
      <w:lvlText w:val="(%1)"/>
      <w:numFmt w:val="lowerLetter"/>
      <w:start w:val="3"/>
    </w:lvl>
    <w:lvl w:ilvl="1">
      <w:lvlJc w:val="left"/>
      <w:lvlText w:val="(%2)"/>
      <w:numFmt w:val="lowerRoman"/>
      <w:start w:val="1"/>
    </w:lvl>
  </w:abstractNum>
  <w:abstractNum w:abstractNumId="75">
    <w:nsid w:val="69E373"/>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76">
    <w:nsid w:val="2C27173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3"/>
    </w:lvl>
  </w:abstractNum>
  <w:abstractNum w:abstractNumId="77">
    <w:nsid w:val="4C9B0904"/>
    <w:multiLevelType w:val="hybridMultilevel"/>
    <w:lvl w:ilvl="0">
      <w:lvlJc w:val="left"/>
      <w:lvlText w:val="(%1)"/>
      <w:numFmt w:val="lowerRoman"/>
      <w:start w:val="4"/>
    </w:lvl>
  </w:abstractNum>
  <w:abstractNum w:abstractNumId="78">
    <w:nsid w:val="6AA7B75C"/>
    <w:multiLevelType w:val="hybridMultilevel"/>
    <w:lvl w:ilvl="0">
      <w:lvlJc w:val="left"/>
      <w:lvlText w:val="%1"/>
      <w:numFmt w:val="decimal"/>
      <w:start w:val="1"/>
    </w:lvl>
    <w:lvl w:ilvl="1">
      <w:lvlJc w:val="left"/>
      <w:lvlText w:val="%2."/>
      <w:numFmt w:val="decimal"/>
      <w:start w:val="3"/>
    </w:lvl>
  </w:abstractNum>
  <w:abstractNum w:abstractNumId="79">
    <w:nsid w:val="1DF029D3"/>
    <w:multiLevelType w:val="hybridMultilevel"/>
    <w:lvl w:ilvl="0">
      <w:lvlJc w:val="left"/>
      <w:lvlText w:val="%1."/>
      <w:numFmt w:val="decimal"/>
      <w:start w:val="4"/>
    </w:lvl>
    <w:lvl w:ilvl="1">
      <w:lvlJc w:val="left"/>
      <w:lvlText w:val="%2"/>
      <w:numFmt w:val="decimal"/>
      <w:start w:val="1"/>
    </w:lvl>
  </w:abstractNum>
  <w:abstractNum w:abstractNumId="80">
    <w:nsid w:val="5675FF36"/>
    <w:multiLevelType w:val="hybridMultilevel"/>
    <w:lvl w:ilvl="0">
      <w:lvlJc w:val="left"/>
      <w:lvlText w:val="(%1)"/>
      <w:numFmt w:val="lowerLetter"/>
      <w:start w:val="1"/>
    </w:lvl>
  </w:abstractNum>
  <w:abstractNum w:abstractNumId="81">
    <w:nsid w:val="3DD15094"/>
    <w:multiLevelType w:val="hybridMultilevel"/>
    <w:lvl w:ilvl="0">
      <w:lvlJc w:val="left"/>
      <w:lvlText w:val="(%1)"/>
      <w:numFmt w:val="lowerLetter"/>
      <w:start w:val="1"/>
    </w:lvl>
  </w:abstractNum>
  <w:abstractNum w:abstractNumId="82">
    <w:nsid w:val="3DB012B3"/>
    <w:multiLevelType w:val="hybridMultilevel"/>
    <w:lvl w:ilvl="0">
      <w:lvlJc w:val="left"/>
      <w:lvlText w:val="(%1)"/>
      <w:numFmt w:val="lowerRoman"/>
      <w:start w:val="1"/>
    </w:lvl>
  </w:abstractNum>
  <w:abstractNum w:abstractNumId="83">
    <w:nsid w:val="2708C9AF"/>
    <w:multiLevelType w:val="hybridMultilevel"/>
    <w:lvl w:ilvl="0">
      <w:lvlJc w:val="left"/>
      <w:lvlText w:val="(%1)"/>
      <w:numFmt w:val="lowerLetter"/>
      <w:start w:val="2"/>
    </w:lvl>
  </w:abstractNum>
  <w:abstractNum w:abstractNumId="84">
    <w:nsid w:val="5B25ACE2"/>
    <w:multiLevelType w:val="hybridMultilevel"/>
    <w:lvl w:ilvl="0">
      <w:lvlJc w:val="left"/>
      <w:lvlText w:val="%1"/>
      <w:numFmt w:val="lowerRoman"/>
      <w:start w:val="1"/>
    </w:lvl>
    <w:lvl w:ilvl="1">
      <w:lvlJc w:val="left"/>
      <w:lvlText w:val="(%2)"/>
      <w:numFmt w:val="lowerRoman"/>
      <w:start w:val="2"/>
    </w:lvl>
  </w:abstractNum>
  <w:abstractNum w:abstractNumId="85">
    <w:nsid w:val="175DFCF0"/>
    <w:multiLevelType w:val="hybridMultilevel"/>
    <w:lvl w:ilvl="0">
      <w:lvlJc w:val="left"/>
      <w:lvlText w:val="(%1)"/>
      <w:numFmt w:val="lowerRoman"/>
      <w:start w:val="3"/>
    </w:lvl>
    <w:lvl w:ilvl="1">
      <w:lvlJc w:val="left"/>
      <w:lvlText w:val="%2"/>
      <w:numFmt w:val="lowerRoman"/>
      <w:start w:val="1"/>
    </w:lvl>
  </w:abstractNum>
  <w:abstractNum w:abstractNumId="86">
    <w:nsid w:val="4F97E3E4"/>
    <w:multiLevelType w:val="hybridMultilevel"/>
    <w:lvl w:ilvl="0">
      <w:lvlJc w:val="left"/>
      <w:lvlText w:val="(%1)"/>
      <w:numFmt w:val="lowerRoman"/>
      <w:start w:val="1"/>
    </w:lvl>
  </w:abstractNum>
  <w:abstractNum w:abstractNumId="87">
    <w:nsid w:val="53B0A9E"/>
    <w:multiLevelType w:val="hybridMultilevel"/>
    <w:lvl w:ilvl="0">
      <w:lvlJc w:val="left"/>
      <w:lvlText w:val="(%1)"/>
      <w:numFmt w:val="lowerLetter"/>
      <w:start w:val="1"/>
    </w:lvl>
  </w:abstractNum>
  <w:abstractNum w:abstractNumId="88">
    <w:nsid w:val="34FD6B4F"/>
    <w:multiLevelType w:val="hybridMultilevel"/>
    <w:lvl w:ilvl="0">
      <w:lvlJc w:val="left"/>
      <w:lvlText w:val="%1"/>
      <w:numFmt w:val="lowerLetter"/>
      <w:start w:val="1"/>
    </w:lvl>
    <w:lvl w:ilvl="1">
      <w:lvlJc w:val="left"/>
      <w:lvlText w:val="(%2)"/>
      <w:numFmt w:val="lowerLetter"/>
      <w:start w:val="2"/>
    </w:lvl>
  </w:abstractNum>
  <w:abstractNum w:abstractNumId="89">
    <w:nsid w:val="5915FF32"/>
    <w:multiLevelType w:val="hybridMultilevel"/>
    <w:lvl w:ilvl="0">
      <w:lvlJc w:val="left"/>
      <w:lvlText w:val="(%1)"/>
      <w:numFmt w:val="lowerLetter"/>
      <w:start w:val="61"/>
    </w:lvl>
    <w:lvl w:ilvl="1">
      <w:lvlJc w:val="left"/>
      <w:lvlText w:val="%2"/>
      <w:numFmt w:val="lowerLetter"/>
      <w:start w:val="1"/>
    </w:lvl>
  </w:abstractNum>
  <w:abstractNum w:abstractNumId="90">
    <w:nsid w:val="56438D15"/>
    <w:multiLevelType w:val="hybridMultilevel"/>
    <w:lvl w:ilvl="0">
      <w:lvlJc w:val="left"/>
      <w:lvlText w:val="(%1)"/>
      <w:numFmt w:val="lowerRoman"/>
      <w:start w:val="1"/>
    </w:lvl>
    <w:lvl w:ilvl="1">
      <w:lvlJc w:val="left"/>
      <w:lvlText w:val="(%2)"/>
      <w:numFmt w:val="lowerLetter"/>
      <w:start w:val="3"/>
    </w:lvl>
  </w:abstractNum>
  <w:abstractNum w:abstractNumId="91">
    <w:nsid w:val="519E3149"/>
    <w:multiLevelType w:val="hybridMultilevel"/>
    <w:lvl w:ilvl="0">
      <w:lvlJc w:val="left"/>
      <w:lvlText w:val="(%1)"/>
      <w:numFmt w:val="lowerLetter"/>
      <w:start w:val="4"/>
    </w:lvl>
  </w:abstractNum>
  <w:abstractNum w:abstractNumId="92">
    <w:nsid w:val="2C6E4AFD"/>
    <w:multiLevelType w:val="hybridMultilevel"/>
    <w:lvl w:ilvl="0">
      <w:lvlJc w:val="left"/>
      <w:lvlText w:val="%1."/>
      <w:numFmt w:val="decimal"/>
      <w:start w:val="5"/>
    </w:lvl>
  </w:abstractNum>
  <w:abstractNum w:abstractNumId="93">
    <w:nsid w:val="17A1B582"/>
    <w:multiLevelType w:val="hybridMultilevel"/>
    <w:lvl w:ilvl="0">
      <w:lvlJc w:val="left"/>
      <w:lvlText w:val="(%1)"/>
      <w:numFmt w:val="lowerLetter"/>
      <w:start w:val="1"/>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lowerLetter"/>
      <w:start w:val="3"/>
    </w:lvl>
  </w:abstractNum>
  <w:abstractNum w:abstractNumId="96">
    <w:nsid w:val="5D888A08"/>
    <w:multiLevelType w:val="hybridMultilevel"/>
    <w:lvl w:ilvl="0">
      <w:lvlJc w:val="left"/>
      <w:lvlText w:val="(%1)"/>
      <w:numFmt w:val="lowerLetter"/>
      <w:start w:val="1"/>
    </w:lvl>
  </w:abstractNum>
  <w:abstractNum w:abstractNumId="97">
    <w:nsid w:val="2A082C70"/>
    <w:multiLevelType w:val="hybridMultilevel"/>
    <w:lvl w:ilvl="0">
      <w:lvlJc w:val="left"/>
      <w:lvlText w:val="(%1)"/>
      <w:numFmt w:val="lowerRoman"/>
      <w:start w:val="1"/>
    </w:lvl>
  </w:abstractNum>
  <w:abstractNum w:abstractNumId="98">
    <w:nsid w:val="5EC6AFD4"/>
    <w:multiLevelType w:val="hybridMultilevel"/>
    <w:lvl w:ilvl="0">
      <w:lvlJc w:val="left"/>
      <w:lvlText w:val="(%1)"/>
      <w:numFmt w:val="lowerLetter"/>
      <w:start w:val="1"/>
    </w:lvl>
  </w:abstractNum>
  <w:abstractNum w:abstractNumId="99">
    <w:nsid w:val="19E21BB2"/>
    <w:multiLevelType w:val="hybridMultilevel"/>
    <w:lvl w:ilvl="0">
      <w:lvlJc w:val="left"/>
      <w:lvlText w:val="(%1)"/>
      <w:numFmt w:val="lowerRoman"/>
      <w:start w:val="1"/>
    </w:lvl>
  </w:abstractNum>
  <w:abstractNum w:abstractNumId="100">
    <w:nsid w:val="75E0858A"/>
    <w:multiLevelType w:val="hybridMultilevel"/>
    <w:lvl w:ilvl="0">
      <w:lvlJc w:val="left"/>
      <w:lvlText w:val="(%1)"/>
      <w:numFmt w:val="lowerLetter"/>
      <w:start w:val="1"/>
    </w:lvl>
    <w:lvl w:ilvl="1">
      <w:lvlJc w:val="left"/>
      <w:lvlText w:val="(%2)"/>
      <w:numFmt w:val="decimal"/>
      <w:start w:val="1"/>
    </w:lvl>
  </w:abstractNum>
  <w:abstractNum w:abstractNumId="101">
    <w:nsid w:val="57A61A29"/>
    <w:multiLevelType w:val="hybridMultilevel"/>
    <w:lvl w:ilvl="0">
      <w:lvlJc w:val="left"/>
      <w:lvlText w:val="%1"/>
      <w:numFmt w:val="lowerRoman"/>
      <w:start w:val="1"/>
    </w:lvl>
    <w:lvl w:ilvl="1">
      <w:lvlJc w:val="left"/>
      <w:lvlText w:val="(%2)"/>
      <w:numFmt w:val="decimal"/>
      <w:start w:val="3"/>
    </w:lvl>
  </w:abstractNum>
  <w:abstractNum w:abstractNumId="102">
    <w:nsid w:val="5399C654"/>
    <w:multiLevelType w:val="hybridMultilevel"/>
    <w:lvl w:ilvl="0">
      <w:lvlJc w:val="left"/>
      <w:lvlText w:val="(%1)"/>
      <w:numFmt w:val="lowerRoman"/>
      <w:start w:val="1"/>
    </w:lvl>
    <w:lvl w:ilvl="1">
      <w:lvlJc w:val="left"/>
      <w:lvlText w:val="%2"/>
      <w:numFmt w:val="decimal"/>
      <w:start w:val="1"/>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lowerLetter"/>
      <w:start w:val="1"/>
    </w:lvl>
  </w:abstractNum>
  <w:abstractNum w:abstractNumId="105">
    <w:nsid w:val="B37E80A"/>
    <w:multiLevelType w:val="hybridMultilevel"/>
    <w:lvl w:ilvl="0">
      <w:lvlJc w:val="left"/>
      <w:lvlText w:val="(%1)"/>
      <w:numFmt w:val="lowerLetter"/>
      <w:start w:val="2"/>
    </w:lvl>
  </w:abstractNum>
  <w:abstractNum w:abstractNumId="106">
    <w:nsid w:val="2157F6BC"/>
    <w:multiLevelType w:val="hybridMultilevel"/>
    <w:lvl w:ilvl="0">
      <w:lvlJc w:val="left"/>
      <w:lvlText w:val="%1."/>
      <w:numFmt w:val="decimal"/>
      <w:start w:val="6"/>
    </w:lvl>
  </w:abstractNum>
  <w:abstractNum w:abstractNumId="107">
    <w:nsid w:val="704E1DD5"/>
    <w:multiLevelType w:val="hybridMultilevel"/>
    <w:lvl w:ilvl="0">
      <w:lvlJc w:val="left"/>
      <w:lvlText w:val="(%1)"/>
      <w:numFmt w:val="lowerLetter"/>
      <w:start w:val="1"/>
    </w:lvl>
  </w:abstractNum>
  <w:abstractNum w:abstractNumId="108">
    <w:nsid w:val="57D2F10E"/>
    <w:multiLevelType w:val="hybridMultilevel"/>
    <w:lvl w:ilvl="0">
      <w:lvlJc w:val="left"/>
      <w:lvlText w:val="(%1)"/>
      <w:numFmt w:val="lowerLetter"/>
      <w:start w:val="1"/>
    </w:lvl>
  </w:abstractNum>
  <w:abstractNum w:abstractNumId="109">
    <w:nsid w:val="BFFAE18"/>
    <w:multiLevelType w:val="hybridMultilevel"/>
    <w:lvl w:ilvl="0">
      <w:lvlJc w:val="left"/>
      <w:lvlText w:val="(%1)"/>
      <w:numFmt w:val="lowerRoman"/>
      <w:start w:val="1"/>
    </w:lvl>
  </w:abstractNum>
  <w:abstractNum w:abstractNumId="110">
    <w:nsid w:val="E3E47A8"/>
    <w:multiLevelType w:val="hybridMultilevel"/>
    <w:lvl w:ilvl="0">
      <w:lvlJc w:val="left"/>
      <w:lvlText w:val="%1."/>
      <w:numFmt w:val="decimal"/>
      <w:start w:val="7"/>
    </w:lvl>
  </w:abstractNum>
  <w:abstractNum w:abstractNumId="111">
    <w:nsid w:val="2E48F044"/>
    <w:multiLevelType w:val="hybridMultilevel"/>
    <w:lvl w:ilvl="0">
      <w:lvlJc w:val="left"/>
      <w:lvlText w:val="%1"/>
      <w:numFmt w:val="lowerLetter"/>
      <w:start w:val="1"/>
    </w:lvl>
    <w:lvl w:ilvl="1">
      <w:lvlJc w:val="left"/>
      <w:lvlText w:val="(%2)"/>
      <w:numFmt w:val="lowerLetter"/>
      <w:start w:val="1"/>
    </w:lvl>
  </w:abstractNum>
  <w:abstractNum w:abstractNumId="112">
    <w:nsid w:val="49D0FEAC"/>
    <w:multiLevelType w:val="hybridMultilevel"/>
    <w:lvl w:ilvl="0">
      <w:lvlJc w:val="left"/>
      <w:lvlText w:val="(%1)"/>
      <w:numFmt w:val="lowerLetter"/>
      <w:start w:val="22"/>
    </w:lvl>
    <w:lvl w:ilvl="1">
      <w:lvlJc w:val="left"/>
      <w:lvlText w:val="(%2)"/>
      <w:numFmt w:val="lowerLetter"/>
      <w:start w:val="2"/>
    </w:lvl>
  </w:abstractNum>
  <w:abstractNum w:abstractNumId="113">
    <w:nsid w:val="4BEE5A5B"/>
    <w:multiLevelType w:val="hybridMultilevel"/>
    <w:lvl w:ilvl="0">
      <w:lvlJc w:val="left"/>
      <w:lvlText w:val="(%1)"/>
      <w:numFmt w:val="lowerLetter"/>
      <w:start w:val="3"/>
    </w:lvl>
  </w:abstractNum>
  <w:abstractNum w:abstractNumId="114">
    <w:nsid w:val="5551B9F3"/>
    <w:multiLevelType w:val="hybridMultilevel"/>
    <w:lvl w:ilvl="0">
      <w:lvlJc w:val="left"/>
      <w:lvlText w:val="%1."/>
      <w:numFmt w:val="decimal"/>
      <w:start w:val="8"/>
    </w:lvl>
  </w:abstractNum>
  <w:abstractNum w:abstractNumId="115">
    <w:nsid w:val="24F6AB8E"/>
    <w:multiLevelType w:val="hybridMultilevel"/>
    <w:lvl w:ilvl="0">
      <w:lvlJc w:val="left"/>
      <w:lvlText w:val="(%1)"/>
      <w:numFmt w:val="lowerLetter"/>
      <w:start w:val="1"/>
    </w:lvl>
  </w:abstractNum>
  <w:abstractNum w:abstractNumId="116">
    <w:nsid w:val="634C574C"/>
    <w:multiLevelType w:val="hybridMultilevel"/>
    <w:lvl w:ilvl="0">
      <w:lvlJc w:val="left"/>
      <w:lvlText w:val="(%1)"/>
      <w:numFmt w:val="lowerRoman"/>
      <w:start w:val="1"/>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10"/>
    </w:lvl>
  </w:abstractNum>
  <w:abstractNum w:abstractNumId="119">
    <w:nsid w:val="1849C29B"/>
    <w:multiLevelType w:val="hybridMultilevel"/>
    <w:lvl w:ilvl="0">
      <w:lvlJc w:val="left"/>
      <w:lvlText w:val="(%1)"/>
      <w:numFmt w:val="lowerLetter"/>
      <w:start w:val="1"/>
    </w:lvl>
  </w:abstractNum>
  <w:abstractNum w:abstractNumId="120">
    <w:nsid w:val="7DFF9D09"/>
    <w:multiLevelType w:val="hybridMultilevel"/>
    <w:lvl w:ilvl="0">
      <w:lvlJc w:val="left"/>
      <w:lvlText w:val="(%1)"/>
      <w:numFmt w:val="lowerLetter"/>
      <w:start w:val="8"/>
    </w:lvl>
    <w:lvl w:ilvl="1">
      <w:lvlJc w:val="left"/>
      <w:lvlText w:val="(%2)"/>
      <w:numFmt w:val="lowerRoman"/>
      <w:start w:val="1"/>
    </w:lvl>
  </w:abstractNum>
  <w:abstractNum w:abstractNumId="121">
    <w:nsid w:val="754342"/>
    <w:multiLevelType w:val="hybridMultilevel"/>
    <w:lvl w:ilvl="0">
      <w:lvlJc w:val="left"/>
      <w:lvlText w:val="(%1)"/>
      <w:numFmt w:val="lowerRoman"/>
      <w:start w:val="6"/>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lowerLetter"/>
      <w:start w:val="3"/>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lowerLetter"/>
      <w:start w:val="5"/>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1."/>
      <w:numFmt w:val="decimal"/>
      <w:start w:val="9"/>
    </w:lvl>
  </w:abstractNum>
  <w:abstractNum w:abstractNumId="129">
    <w:nsid w:val="597B4D84"/>
    <w:multiLevelType w:val="hybridMultilevel"/>
    <w:lvl w:ilvl="0">
      <w:lvlJc w:val="left"/>
      <w:lvlText w:val="(%1)"/>
      <w:numFmt w:val="lowerLetter"/>
      <w:start w:val="1"/>
    </w:lvl>
  </w:abstractNum>
  <w:abstractNum w:abstractNumId="130">
    <w:nsid w:val="F819E7F"/>
    <w:multiLevelType w:val="hybridMultilevel"/>
    <w:lvl w:ilvl="0">
      <w:lvlJc w:val="left"/>
      <w:lvlText w:val="(%1)"/>
      <w:numFmt w:val="lowerRoman"/>
      <w:start w:val="1"/>
    </w:lvl>
  </w:abstractNum>
  <w:abstractNum w:abstractNumId="131">
    <w:nsid w:val="57C7D42D"/>
    <w:multiLevelType w:val="hybridMultilevel"/>
    <w:lvl w:ilvl="0">
      <w:lvlJc w:val="left"/>
      <w:lvlText w:val="(%1)"/>
      <w:numFmt w:val="lowerLetter"/>
      <w:start w:val="1"/>
    </w:lvl>
  </w:abstractNum>
  <w:abstractNum w:abstractNumId="132">
    <w:nsid w:val="312167AD"/>
    <w:multiLevelType w:val="hybridMultilevel"/>
    <w:lvl w:ilvl="0">
      <w:lvlJc w:val="left"/>
      <w:lvlText w:val="%1."/>
      <w:numFmt w:val="decimal"/>
      <w:start w:val="10"/>
    </w:lvl>
  </w:abstractNum>
  <w:abstractNum w:abstractNumId="133">
    <w:nsid w:val="631B64D4"/>
    <w:multiLevelType w:val="hybridMultilevel"/>
    <w:lvl w:ilvl="0">
      <w:lvlJc w:val="left"/>
      <w:lvlText w:val="(%1)"/>
      <w:numFmt w:val="lowerRoman"/>
      <w:start w:val="1"/>
    </w:lvl>
  </w:abstractNum>
  <w:abstractNum w:abstractNumId="134">
    <w:nsid w:val="78B5E776"/>
    <w:multiLevelType w:val="hybridMultilevel"/>
    <w:lvl w:ilvl="0">
      <w:lvlJc w:val="left"/>
      <w:lvlText w:val="(%1)"/>
      <w:numFmt w:val="lowerRoman"/>
      <w:start w:val="3"/>
    </w:lvl>
  </w:abstractNum>
  <w:abstractNum w:abstractNumId="135">
    <w:nsid w:val="75486E47"/>
    <w:multiLevelType w:val="hybridMultilevel"/>
    <w:lvl w:ilvl="0">
      <w:lvlJc w:val="left"/>
      <w:lvlText w:val="(%1)"/>
      <w:numFmt w:val="lowerRoman"/>
      <w:start w:val="1"/>
    </w:lvl>
  </w:abstractNum>
  <w:abstractNum w:abstractNumId="136">
    <w:nsid w:val="6E534CDE"/>
    <w:multiLevelType w:val="hybridMultilevel"/>
    <w:lvl w:ilvl="0">
      <w:lvlJc w:val="left"/>
      <w:lvlText w:val="(%1)"/>
      <w:numFmt w:val="lowerRoman"/>
      <w:start w:val="1"/>
    </w:lvl>
  </w:abstractNum>
  <w:abstractNum w:abstractNumId="137">
    <w:nsid w:val="1A0DDE32"/>
    <w:multiLevelType w:val="hybridMultilevel"/>
    <w:lvl w:ilvl="0">
      <w:lvlJc w:val="left"/>
      <w:lvlText w:val="(%1)"/>
      <w:numFmt w:val="upperLetter"/>
      <w:start w:val="3"/>
    </w:lvl>
  </w:abstractNum>
  <w:abstractNum w:abstractNumId="138">
    <w:nsid w:val="65968C1C"/>
    <w:multiLevelType w:val="hybridMultilevel"/>
    <w:lvl w:ilvl="0">
      <w:lvlJc w:val="left"/>
      <w:lvlText w:val="%1"/>
      <w:numFmt w:val="lowerLetter"/>
      <w:start w:val="1"/>
    </w:lvl>
    <w:lvl w:ilvl="1">
      <w:lvlJc w:val="left"/>
      <w:lvlText w:val="(%2)"/>
      <w:numFmt w:val="lowerLetter"/>
      <w:start w:val="35"/>
    </w:lvl>
  </w:abstractNum>
  <w:abstractNum w:abstractNumId="139">
    <w:nsid w:val="46263DEC"/>
    <w:multiLevelType w:val="hybridMultilevel"/>
    <w:lvl w:ilvl="0">
      <w:lvlJc w:val="left"/>
      <w:lvlText w:val="(%1)"/>
      <w:numFmt w:val="lowerLetter"/>
      <w:start w:val="25"/>
    </w:lvl>
    <w:lvl w:ilvl="1">
      <w:lvlJc w:val="left"/>
      <w:lvlText w:val="%2"/>
      <w:numFmt w:val="lowerLetter"/>
      <w:start w:val="1"/>
    </w:lvl>
  </w:abstractNum>
  <w:abstractNum w:abstractNumId="140">
    <w:nsid w:val="260D8C4A"/>
    <w:multiLevelType w:val="hybridMultilevel"/>
    <w:lvl w:ilvl="0">
      <w:lvlJc w:val="left"/>
      <w:lvlText w:val="(%1)"/>
      <w:numFmt w:val="lowerRoman"/>
      <w:start w:val="1"/>
    </w:lvl>
  </w:abstractNum>
  <w:abstractNum w:abstractNumId="141">
    <w:nsid w:val="73D4D3C4"/>
    <w:multiLevelType w:val="hybridMultilevel"/>
    <w:lvl w:ilvl="0">
      <w:lvlJc w:val="left"/>
      <w:lvlText w:val="(%1)"/>
      <w:numFmt w:val="lowerRoman"/>
      <w:start w:val="3"/>
    </w:lvl>
  </w:abstractNum>
  <w:abstractNum w:abstractNumId="142">
    <w:nsid w:val="746F2E30"/>
    <w:multiLevelType w:val="hybridMultilevel"/>
    <w:lvl w:ilvl="0">
      <w:lvlJc w:val="left"/>
      <w:lvlText w:val="(%1)"/>
      <w:numFmt w:val="lowerRoman"/>
      <w:start w:val="5"/>
    </w:lvl>
    <w:lvl w:ilvl="1">
      <w:lvlJc w:val="left"/>
      <w:lvlText w:val="%2."/>
      <w:numFmt w:val="decimal"/>
      <w:start w:val="11"/>
    </w:lvl>
  </w:abstractNum>
  <w:abstractNum w:abstractNumId="143">
    <w:nsid w:val="6FDE8AF6"/>
    <w:multiLevelType w:val="hybridMultilevel"/>
    <w:lvl w:ilvl="0">
      <w:lvlJc w:val="left"/>
      <w:lvlText w:val="(%1)"/>
      <w:numFmt w:val="lowerLetter"/>
      <w:start w:val="1"/>
    </w:lvl>
    <w:lvl w:ilvl="1">
      <w:lvlJc w:val="left"/>
      <w:lvlText w:val="(%2)"/>
      <w:numFmt w:val="decimal"/>
      <w:start w:val="1"/>
    </w:lvl>
  </w:abstractNum>
  <w:abstractNum w:abstractNumId="144">
    <w:nsid w:val="3FC32E20"/>
    <w:multiLevelType w:val="hybridMultilevel"/>
    <w:lvl w:ilvl="0">
      <w:lvlJc w:val="left"/>
      <w:lvlText w:val="(%1)"/>
      <w:numFmt w:val="lowerLetter"/>
      <w:start w:val="3"/>
    </w:lvl>
    <w:lvl w:ilvl="1">
      <w:lvlJc w:val="left"/>
      <w:lvlText w:val="(%2)"/>
      <w:numFmt w:val="decimal"/>
      <w:start w:val="1"/>
    </w:lvl>
  </w:abstractNum>
  <w:abstractNum w:abstractNumId="145">
    <w:nsid w:val="49C0E823"/>
    <w:multiLevelType w:val="hybridMultilevel"/>
    <w:lvl w:ilvl="0">
      <w:lvlJc w:val="left"/>
      <w:lvlText w:val="(%1)"/>
      <w:numFmt w:val="lowerRoman"/>
      <w:start w:val="7"/>
    </w:lvl>
  </w:abstractNum>
  <w:abstractNum w:abstractNumId="146">
    <w:nsid w:val="14D53685"/>
    <w:multiLevelType w:val="hybridMultilevel"/>
    <w:lvl w:ilvl="0">
      <w:lvlJc w:val="left"/>
      <w:lvlText w:val="%1."/>
      <w:numFmt w:val="decimal"/>
      <w:start w:val="1"/>
    </w:lvl>
    <w:lvl w:ilvl="1">
      <w:lvlJc w:val="left"/>
      <w:lvlText w:val="%2."/>
      <w:numFmt w:val="lowerLetter"/>
      <w:start w:val="1"/>
    </w:lvl>
  </w:abstractNum>
  <w:abstractNum w:abstractNumId="147">
    <w:nsid w:val="230F856C"/>
    <w:multiLevelType w:val="hybridMultilevel"/>
    <w:lvl w:ilvl="0">
      <w:lvlJc w:val="left"/>
      <w:lvlText w:val="%1."/>
      <w:numFmt w:val="lowerLetter"/>
      <w:start w:val="5"/>
    </w:lvl>
  </w:abstractNum>
  <w:abstractNum w:abstractNumId="148">
    <w:nsid w:val="6EAA85FB"/>
    <w:multiLevelType w:val="hybridMultilevel"/>
    <w:lvl w:ilvl="0">
      <w:lvlJc w:val="left"/>
      <w:lvlText w:val="%1."/>
      <w:numFmt w:val="decimal"/>
      <w:start w:val="3"/>
    </w:lvl>
    <w:lvl w:ilvl="1">
      <w:lvlJc w:val="left"/>
      <w:lvlText w:val="%2."/>
      <w:numFmt w:val="lowerLetter"/>
      <w:start w:val="1"/>
    </w:lvl>
  </w:abstractNum>
  <w:abstractNum w:abstractNumId="149">
    <w:nsid w:val="3F06ECB2"/>
    <w:multiLevelType w:val="hybridMultilevel"/>
    <w:lvl w:ilvl="0">
      <w:lvlJc w:val="left"/>
      <w:lvlText w:val="%1."/>
      <w:numFmt w:val="decimal"/>
      <w:start w:val="6"/>
    </w:lvl>
  </w:abstractNum>
  <w:abstractNum w:abstractNumId="150">
    <w:nsid w:val="3B594807"/>
    <w:multiLevelType w:val="hybridMultilevel"/>
    <w:lvl w:ilvl="0">
      <w:lvlJc w:val="left"/>
      <w:lvlText w:val="%1."/>
      <w:numFmt w:val="decimal"/>
      <w:start w:val="10"/>
    </w:lvl>
  </w:abstractNum>
  <w:abstractNum w:abstractNumId="151">
    <w:nsid w:val="6CAA2304"/>
    <w:multiLevelType w:val="hybridMultilevel"/>
    <w:lvl w:ilvl="0">
      <w:lvlJc w:val="left"/>
      <w:lvlText w:val="%1."/>
      <w:numFmt w:val="decimal"/>
      <w:start w:val="16"/>
    </w:lvl>
    <w:lvl w:ilvl="1">
      <w:lvlJc w:val="left"/>
      <w:lvlText w:val="%2"/>
      <w:numFmt w:val="lowerLetter"/>
      <w:start w:val="1"/>
    </w:lvl>
  </w:abstractNum>
  <w:abstractNum w:abstractNumId="152">
    <w:nsid w:val="3F7C2FF4"/>
    <w:multiLevelType w:val="hybridMultilevel"/>
    <w:lvl w:ilvl="0">
      <w:lvlJc w:val="left"/>
      <w:lvlText w:val="%1"/>
      <w:numFmt w:val="decimal"/>
      <w:start w:val="1"/>
    </w:lvl>
    <w:lvl w:ilvl="1">
      <w:lvlJc w:val="left"/>
      <w:lvlText w:val="%2."/>
      <w:numFmt w:val="lowerLetter"/>
      <w:start w:val="2"/>
    </w:lvl>
  </w:abstractNum>
  <w:abstractNum w:abstractNumId="153">
    <w:nsid w:val="25413BEC"/>
    <w:multiLevelType w:val="hybridMultilevel"/>
    <w:lvl w:ilvl="0">
      <w:lvlJc w:val="left"/>
      <w:lvlText w:val="%1."/>
      <w:numFmt w:val="decimal"/>
      <w:start w:val="23"/>
    </w:lvl>
    <w:lvl w:ilvl="1">
      <w:lvlJc w:val="left"/>
      <w:lvlText w:val="%2"/>
      <w:numFmt w:val="lowerLetter"/>
      <w:start w:val="1"/>
    </w:lvl>
  </w:abstractNum>
  <w:abstractNum w:abstractNumId="154">
    <w:nsid w:val="17180B0B"/>
    <w:multiLevelType w:val="hybridMultilevel"/>
    <w:lvl w:ilvl="0">
      <w:lvlJc w:val="left"/>
      <w:lvlText w:val="%1."/>
      <w:numFmt w:val="decimal"/>
      <w:start w:val="1"/>
    </w:lvl>
  </w:abstractNum>
  <w:abstractNum w:abstractNumId="155">
    <w:nsid w:val="579328B9"/>
    <w:multiLevelType w:val="hybridMultilevel"/>
    <w:lvl w:ilvl="0">
      <w:lvlJc w:val="left"/>
      <w:lvlText w:val="(%1)"/>
      <w:numFmt w:val="decimal"/>
      <w:start w:val="1"/>
    </w:lvl>
  </w:abstractNum>
  <w:abstractNum w:abstractNumId="156">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4"/>
    </w:lvl>
    <w:lvl w:ilvl="4">
      <w:lvlJc w:val="left"/>
      <w:lvlText w:val="%5)"/>
      <w:numFmt w:val="lowerLetter"/>
      <w:start w:val="2"/>
    </w:lvl>
  </w:abstractNum>
  <w:abstractNum w:abstractNumId="157">
    <w:nsid w:val="11CCA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58">
    <w:nsid w:val="4D32AB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9">
    <w:nsid w:val="3F07AC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97" Type="http://schemas.openxmlformats.org/officeDocument/2006/relationships/hyperlink" Target="http://www.sec.gov/Archives/edgar/data/355811/000095012404005224/k88664exv3wxay.txt" TargetMode="External"/><Relationship Id="rId98" Type="http://schemas.openxmlformats.org/officeDocument/2006/relationships/hyperlink" Target="http://www.sec.gov/Archives/edgar/data/355811/000119312512242911/d356452dex31i.htm" TargetMode="External"/><Relationship Id="rId99" Type="http://schemas.openxmlformats.org/officeDocument/2006/relationships/hyperlink" Target="http://www.sec.gov/Archives/edgar/data/355811/000119312514123458/d698646ddef14a.htm" TargetMode="External"/><Relationship Id="rId100" Type="http://schemas.openxmlformats.org/officeDocument/2006/relationships/hyperlink" Target="http://www.sec.gov/Archives/edgar/data/355811/000095012403001517/k76699exv3wxbyx1y.txt" TargetMode="External"/><Relationship Id="rId101" Type="http://schemas.openxmlformats.org/officeDocument/2006/relationships/hyperlink" Target="http://www.sec.gov/Archives/edgar/data/355811/000092604412000006/gentex8k_021612bylaws.htm" TargetMode="External"/><Relationship Id="rId102" Type="http://schemas.openxmlformats.org/officeDocument/2006/relationships/hyperlink" Target="http://www.sec.gov/Archives/edgar/data/355811/000035581120000007/gntx12312019-ex42.htm" TargetMode="External"/><Relationship Id="rId103" Type="http://schemas.openxmlformats.org/officeDocument/2006/relationships/hyperlink" Target="http://www.sec.gov/Archives/edgar/data/355811/000095012401500533/k61926ex10-b2.txt" TargetMode="External"/><Relationship Id="rId104" Type="http://schemas.openxmlformats.org/officeDocument/2006/relationships/hyperlink" Target="http://www.sec.gov/Archives/edgar/data/355811/000095013408013934/k34057exv10wxbyx5y.txt" TargetMode="External"/><Relationship Id="rId105" Type="http://schemas.openxmlformats.org/officeDocument/2006/relationships/hyperlink" Target="http://www.sec.gov/Archives/edgar/data/355811/000119312512330090/d387140dex10b10.htm" TargetMode="External"/><Relationship Id="rId106" Type="http://schemas.openxmlformats.org/officeDocument/2006/relationships/hyperlink" Target="http://www.sec.gov/Archives/edgar/data/355811/000119312512330090/d387140dex10b11.htm" TargetMode="External"/><Relationship Id="rId107" Type="http://schemas.openxmlformats.org/officeDocument/2006/relationships/hyperlink" Target="http://www.sec.gov/Archives/edgar/data/355811/000119312513142439/d516828ddef14a.htm" TargetMode="External"/><Relationship Id="rId108" Type="http://schemas.openxmlformats.org/officeDocument/2006/relationships/hyperlink" Target="http://www.sec.gov/Archives/edgar/data/355811/000095012402003308/k72384exv10wxey.txt" TargetMode="External"/><Relationship Id="rId109" Type="http://schemas.openxmlformats.org/officeDocument/2006/relationships/hyperlink" Target="http://www.sec.gov/Archives/edgar/data/355811/000035581114000030/gntx06302014-exx103.htm" TargetMode="External"/><Relationship Id="rId110" Type="http://schemas.openxmlformats.org/officeDocument/2006/relationships/hyperlink" Target="http://www.sec.gov/Archives/edgar/data/355811/000035581114000030/gntx06302014-exx105.htm" TargetMode="External"/><Relationship Id="rId111" Type="http://schemas.openxmlformats.org/officeDocument/2006/relationships/hyperlink" Target="http://www.sec.gov/Archives/edgar/data/355811/000035581115000018/gentexproxystatement2015.htm" TargetMode="External"/><Relationship Id="rId114" Type="http://schemas.openxmlformats.org/officeDocument/2006/relationships/hyperlink" Target="http://www.sec.gov/Archives/edgar/data/355811/000035581118000009/gntx12312017-ex1019.htm" TargetMode="External"/><Relationship Id="rId115" Type="http://schemas.openxmlformats.org/officeDocument/2006/relationships/hyperlink" Target="http://www.sec.gov/Archives/edgar/data/355811/000035581119000006/gntx12312018ex1023.htm" TargetMode="External"/><Relationship Id="rId116" Type="http://schemas.openxmlformats.org/officeDocument/2006/relationships/hyperlink" Target="http://www.sec.gov/Archives/edgar/data/355811/000035581121000006/gntx12312020-ex1018.htm" TargetMode="External"/><Relationship Id="rId117" Type="http://schemas.openxmlformats.org/officeDocument/2006/relationships/hyperlink" Target="http://www.sec.gov/Archives/edgar/data/355811/000035581119000006/gntx12312018ex1024.htm" TargetMode="External"/><Relationship Id="rId118" Type="http://schemas.openxmlformats.org/officeDocument/2006/relationships/hyperlink" Target="http://www.sec.gov/Archives/edgar/data/355811/000035581119000006/gntx12312018ex1025.htm" TargetMode="External"/><Relationship Id="rId119" Type="http://schemas.openxmlformats.org/officeDocument/2006/relationships/hyperlink" Target="http://www.sec.gov/Archives/edgar/data/355811/000035581119000006/gntx12312018ex1026.htm" TargetMode="External"/><Relationship Id="rId120" Type="http://schemas.openxmlformats.org/officeDocument/2006/relationships/hyperlink" Target="http://www.sec.gov/Archives/edgar/data/355811/000035581119000020/gentexdeferredcomp.htm" TargetMode="External"/><Relationship Id="rId121" Type="http://schemas.openxmlformats.org/officeDocument/2006/relationships/hyperlink" Target="http://www.sec.gov/Archives/edgar/data/355811/000035581119000020/gentexrabbitrust1.htm" TargetMode="External"/><Relationship Id="rId122" Type="http://schemas.openxmlformats.org/officeDocument/2006/relationships/hyperlink" Target="http://www.sec.gov/Archives/edgar/data/355811/000035581119000041/gntx10q09302019-exx10x.htm" TargetMode="External"/><Relationship Id="rId123" Type="http://schemas.openxmlformats.org/officeDocument/2006/relationships/hyperlink" Target="http://www.sec.gov/Archives/edgar/data/355811/000035581122000006/gntx12312021-ex1025.htm" TargetMode="External"/><Relationship Id="rId124" Type="http://schemas.openxmlformats.org/officeDocument/2006/relationships/hyperlink" Target="http://www.sec.gov/Archives/edgar/data/355811/000035581122000011/gentexproxystatement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2023-02-22T14:06:32Z</dcterms:created>
  <dcterms:modified xsi:type="dcterms:W3CDTF">2023-02-22T14:06:32Z</dcterms:modified>
</cp:coreProperties>
</file>