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3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FORM 10-Q</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ind w:left="720" w:hanging="431"/>
        <w:spacing w:after="0" w:line="215" w:lineRule="auto"/>
        <w:tabs>
          <w:tab w:leader="none" w:pos="720" w:val="left"/>
        </w:tabs>
        <w:numPr>
          <w:ilvl w:val="0"/>
          <w:numId w:val="1"/>
        </w:numPr>
        <w:rPr>
          <w:rFonts w:ascii="Arial" w:cs="Arial" w:eastAsia="Arial" w:hAnsi="Arial"/>
          <w:sz w:val="50"/>
          <w:szCs w:val="50"/>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38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For the quarterly period ended June 30, 2018 or</w:t>
      </w:r>
    </w:p>
    <w:p>
      <w:pPr>
        <w:spacing w:after="0" w:line="302"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75"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color w:val="auto"/>
              </w:rPr>
              <w:t>For the transition period from</w:t>
            </w:r>
          </w:p>
        </w:tc>
        <w:tc>
          <w:tcPr>
            <w:tcW w:w="600" w:type="dxa"/>
            <w:vAlign w:val="bottom"/>
            <w:tcBorders>
              <w:bottom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to</w:t>
            </w:r>
          </w:p>
        </w:tc>
        <w:tc>
          <w:tcPr>
            <w:tcW w:w="600" w:type="dxa"/>
            <w:vAlign w:val="bottom"/>
            <w:tcBorders>
              <w:bottom w:val="single" w:sz="8" w:color="auto"/>
            </w:tcBorders>
          </w:tcPr>
          <w:p>
            <w:pPr>
              <w:spacing w:after="0"/>
              <w:rPr>
                <w:sz w:val="17"/>
                <w:szCs w:val="17"/>
                <w:color w:val="auto"/>
              </w:rPr>
            </w:pPr>
          </w:p>
        </w:tc>
        <w:tc>
          <w:tcPr>
            <w:tcW w:w="3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2960" w:type="dxa"/>
            <w:vAlign w:val="bottom"/>
            <w:gridSpan w:val="2"/>
          </w:tcPr>
          <w:p>
            <w:pPr>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80" w:type="dxa"/>
            <w:vAlign w:val="bottom"/>
            <w:vMerge w:val="restart"/>
          </w:tcPr>
          <w:p>
            <w:pPr>
              <w:ind w:left="300"/>
              <w:spacing w:after="0"/>
              <w:rPr>
                <w:sz w:val="20"/>
                <w:szCs w:val="20"/>
                <w:color w:val="auto"/>
              </w:rPr>
            </w:pPr>
            <w:r>
              <w:rPr>
                <w:rFonts w:ascii="Arial" w:cs="Arial" w:eastAsia="Arial" w:hAnsi="Arial"/>
                <w:sz w:val="22"/>
                <w:szCs w:val="22"/>
                <w:b w:val="1"/>
                <w:bCs w:val="1"/>
                <w:color w:val="auto"/>
              </w:rPr>
              <w:t>GENTEX CORPORATION</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580" w:type="dxa"/>
            <w:vAlign w:val="bottom"/>
            <w:vMerge w:val="continue"/>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80" w:type="dxa"/>
            <w:vAlign w:val="bottom"/>
            <w:gridSpan w:val="2"/>
          </w:tcPr>
          <w:p>
            <w:pPr>
              <w:jc w:val="center"/>
              <w:ind w:left="188"/>
              <w:spacing w:after="0"/>
              <w:rPr>
                <w:sz w:val="20"/>
                <w:szCs w:val="20"/>
                <w:color w:val="auto"/>
              </w:rPr>
            </w:pPr>
            <w:r>
              <w:rPr>
                <w:rFonts w:ascii="Arial" w:cs="Arial" w:eastAsia="Arial" w:hAnsi="Arial"/>
                <w:sz w:val="14"/>
                <w:szCs w:val="14"/>
                <w:color w:val="auto"/>
              </w:rPr>
              <w:t>(Exact name of registrant as specified in its charter)</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2"/>
        </w:trPr>
        <w:tc>
          <w:tcPr>
            <w:tcW w:w="2960" w:type="dxa"/>
            <w:vAlign w:val="bottom"/>
            <w:gridSpan w:val="2"/>
          </w:tcPr>
          <w:p>
            <w:pPr>
              <w:jc w:val="center"/>
              <w:ind w:left="1979"/>
              <w:spacing w:after="0"/>
              <w:rPr>
                <w:sz w:val="20"/>
                <w:szCs w:val="20"/>
                <w:color w:val="auto"/>
              </w:rPr>
            </w:pPr>
            <w:r>
              <w:rPr>
                <w:rFonts w:ascii="Arial" w:cs="Arial" w:eastAsia="Arial" w:hAnsi="Arial"/>
                <w:sz w:val="18"/>
                <w:szCs w:val="18"/>
                <w:b w:val="1"/>
                <w:bCs w:val="1"/>
                <w:color w:val="auto"/>
                <w:w w:val="99"/>
              </w:rPr>
              <w:t>Michigan</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60" w:type="dxa"/>
            <w:vAlign w:val="bottom"/>
          </w:tcPr>
          <w:p>
            <w:pPr>
              <w:jc w:val="center"/>
              <w:ind w:left="261"/>
              <w:spacing w:after="0"/>
              <w:rPr>
                <w:sz w:val="20"/>
                <w:szCs w:val="20"/>
                <w:color w:val="auto"/>
              </w:rPr>
            </w:pPr>
            <w:r>
              <w:rPr>
                <w:rFonts w:ascii="Arial" w:cs="Arial" w:eastAsia="Arial" w:hAnsi="Arial"/>
                <w:sz w:val="18"/>
                <w:szCs w:val="18"/>
                <w:b w:val="1"/>
                <w:bCs w:val="1"/>
                <w:color w:val="auto"/>
                <w:w w:val="99"/>
              </w:rPr>
              <w:t>38-2030505</w:t>
            </w:r>
          </w:p>
        </w:tc>
        <w:tc>
          <w:tcPr>
            <w:tcW w:w="0" w:type="dxa"/>
            <w:vAlign w:val="bottom"/>
          </w:tcPr>
          <w:p>
            <w:pPr>
              <w:spacing w:after="0"/>
              <w:rPr>
                <w:sz w:val="1"/>
                <w:szCs w:val="1"/>
                <w:color w:val="auto"/>
              </w:rPr>
            </w:pPr>
          </w:p>
        </w:tc>
      </w:tr>
      <w:tr>
        <w:trPr>
          <w:trHeight w:val="167"/>
        </w:trPr>
        <w:tc>
          <w:tcPr>
            <w:tcW w:w="7340" w:type="dxa"/>
            <w:vAlign w:val="bottom"/>
            <w:gridSpan w:val="5"/>
          </w:tcPr>
          <w:p>
            <w:pPr>
              <w:jc w:val="center"/>
              <w:ind w:right="2192"/>
              <w:spacing w:after="0"/>
              <w:rPr>
                <w:sz w:val="20"/>
                <w:szCs w:val="20"/>
                <w:color w:val="auto"/>
              </w:rPr>
            </w:pPr>
            <w:r>
              <w:rPr>
                <w:rFonts w:ascii="Arial" w:cs="Arial" w:eastAsia="Arial" w:hAnsi="Arial"/>
                <w:sz w:val="14"/>
                <w:szCs w:val="14"/>
                <w:color w:val="auto"/>
              </w:rPr>
              <w:t>(State or other jurisdiction of</w:t>
            </w:r>
          </w:p>
        </w:tc>
        <w:tc>
          <w:tcPr>
            <w:tcW w:w="1460" w:type="dxa"/>
            <w:vAlign w:val="bottom"/>
          </w:tcPr>
          <w:p>
            <w:pPr>
              <w:jc w:val="center"/>
              <w:ind w:left="281"/>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72"/>
        </w:trPr>
        <w:tc>
          <w:tcPr>
            <w:tcW w:w="7340" w:type="dxa"/>
            <w:vAlign w:val="bottom"/>
            <w:gridSpan w:val="5"/>
          </w:tcPr>
          <w:p>
            <w:pPr>
              <w:jc w:val="center"/>
              <w:ind w:right="2212"/>
              <w:spacing w:after="0"/>
              <w:rPr>
                <w:sz w:val="20"/>
                <w:szCs w:val="20"/>
                <w:color w:val="auto"/>
              </w:rPr>
            </w:pPr>
            <w:r>
              <w:rPr>
                <w:rFonts w:ascii="Arial" w:cs="Arial" w:eastAsia="Arial" w:hAnsi="Arial"/>
                <w:sz w:val="14"/>
                <w:szCs w:val="14"/>
                <w:color w:val="auto"/>
              </w:rPr>
              <w:t>incorporation or organization)</w:t>
            </w:r>
          </w:p>
        </w:tc>
        <w:tc>
          <w:tcPr>
            <w:tcW w:w="1460" w:type="dxa"/>
            <w:vAlign w:val="bottom"/>
          </w:tcPr>
          <w:p>
            <w:pPr>
              <w:jc w:val="center"/>
              <w:ind w:left="261"/>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96"/>
        </w:trPr>
        <w:tc>
          <w:tcPr>
            <w:tcW w:w="7340" w:type="dxa"/>
            <w:vAlign w:val="bottom"/>
            <w:gridSpan w:val="5"/>
          </w:tcPr>
          <w:p>
            <w:pPr>
              <w:jc w:val="center"/>
              <w:ind w:right="2192"/>
              <w:spacing w:after="0"/>
              <w:rPr>
                <w:sz w:val="20"/>
                <w:szCs w:val="20"/>
                <w:color w:val="auto"/>
              </w:rPr>
            </w:pPr>
            <w:r>
              <w:rPr>
                <w:rFonts w:ascii="Arial" w:cs="Arial" w:eastAsia="Arial" w:hAnsi="Arial"/>
                <w:sz w:val="18"/>
                <w:szCs w:val="18"/>
                <w:b w:val="1"/>
                <w:bCs w:val="1"/>
                <w:color w:val="auto"/>
                <w:w w:val="99"/>
              </w:rPr>
              <w:t>600 N. Centennial, Zeeland, Michigan</w:t>
            </w:r>
          </w:p>
        </w:tc>
        <w:tc>
          <w:tcPr>
            <w:tcW w:w="1460" w:type="dxa"/>
            <w:vAlign w:val="bottom"/>
          </w:tcPr>
          <w:p>
            <w:pPr>
              <w:jc w:val="right"/>
              <w:ind w:right="261"/>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18"/>
        </w:trPr>
        <w:tc>
          <w:tcPr>
            <w:tcW w:w="7340" w:type="dxa"/>
            <w:vAlign w:val="bottom"/>
            <w:gridSpan w:val="5"/>
          </w:tcPr>
          <w:p>
            <w:pPr>
              <w:jc w:val="center"/>
              <w:ind w:right="2212"/>
              <w:spacing w:after="0"/>
              <w:rPr>
                <w:sz w:val="20"/>
                <w:szCs w:val="20"/>
                <w:color w:val="auto"/>
              </w:rPr>
            </w:pPr>
            <w:r>
              <w:rPr>
                <w:rFonts w:ascii="Arial" w:cs="Arial" w:eastAsia="Arial" w:hAnsi="Arial"/>
                <w:sz w:val="14"/>
                <w:szCs w:val="14"/>
                <w:color w:val="auto"/>
              </w:rPr>
              <w:t>(Address of principal executive offices)</w:t>
            </w:r>
          </w:p>
        </w:tc>
        <w:tc>
          <w:tcPr>
            <w:tcW w:w="1460" w:type="dxa"/>
            <w:vAlign w:val="bottom"/>
          </w:tcPr>
          <w:p>
            <w:pPr>
              <w:jc w:val="center"/>
              <w:ind w:left="261"/>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485"/>
        </w:trPr>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80" w:type="dxa"/>
            <w:vAlign w:val="bottom"/>
            <w:gridSpan w:val="3"/>
          </w:tcPr>
          <w:p>
            <w:pPr>
              <w:jc w:val="right"/>
              <w:ind w:right="1252"/>
              <w:spacing w:after="0"/>
              <w:rPr>
                <w:sz w:val="20"/>
                <w:szCs w:val="20"/>
                <w:color w:val="auto"/>
              </w:rPr>
            </w:pPr>
            <w:r>
              <w:rPr>
                <w:rFonts w:ascii="Arial" w:cs="Arial" w:eastAsia="Arial" w:hAnsi="Arial"/>
                <w:sz w:val="18"/>
                <w:szCs w:val="18"/>
                <w:b w:val="1"/>
                <w:bCs w:val="1"/>
                <w:color w:val="auto"/>
              </w:rPr>
              <w:t>(616) 772-1800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spacing w:after="0" w:line="236" w:lineRule="auto"/>
        <w:rPr>
          <w:sz w:val="20"/>
          <w:szCs w:val="20"/>
          <w:color w:val="auto"/>
        </w:rPr>
      </w:pPr>
      <w:r>
        <w:rPr>
          <w:rFonts w:ascii="Arial" w:cs="Arial" w:eastAsia="Arial" w:hAnsi="Arial"/>
          <w:sz w:val="14"/>
          <w:szCs w:val="14"/>
          <w:color w:val="auto"/>
        </w:rPr>
        <w:t>(Registrant’s telephone number, including area code)</w:t>
      </w:r>
    </w:p>
    <w:p>
      <w:pPr>
        <w:spacing w:after="0" w:line="1" w:lineRule="exact"/>
        <w:rPr>
          <w:sz w:val="24"/>
          <w:szCs w:val="24"/>
          <w:color w:val="auto"/>
        </w:rPr>
      </w:pPr>
    </w:p>
    <w:p>
      <w:pPr>
        <w:ind w:left="404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339" w:lineRule="exact"/>
        <w:rPr>
          <w:sz w:val="24"/>
          <w:szCs w:val="24"/>
          <w:color w:val="auto"/>
        </w:rPr>
      </w:pPr>
    </w:p>
    <w:p>
      <w:pPr>
        <w:ind w:right="280"/>
        <w:spacing w:after="0" w:line="22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61" w:lineRule="exact"/>
        <w:tabs>
          <w:tab w:leader="none" w:pos="640" w:val="left"/>
        </w:tabs>
        <w:rPr>
          <w:sz w:val="20"/>
          <w:szCs w:val="20"/>
          <w:color w:val="auto"/>
        </w:rPr>
      </w:pPr>
      <w:r>
        <w:rPr>
          <w:rFonts w:ascii="Arial" w:cs="Arial" w:eastAsia="Arial" w:hAnsi="Arial"/>
          <w:sz w:val="14"/>
          <w:szCs w:val="14"/>
          <w:color w:val="auto"/>
        </w:rPr>
        <w:t>days.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80" w:lineRule="exact"/>
        <w:rPr>
          <w:sz w:val="24"/>
          <w:szCs w:val="24"/>
          <w:color w:val="auto"/>
        </w:rPr>
      </w:pPr>
    </w:p>
    <w:p>
      <w:pPr>
        <w:ind w:right="40"/>
        <w:spacing w:after="0" w:line="166"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5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297"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22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5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ü</w:t>
            </w:r>
          </w:p>
        </w:tc>
        <w:tc>
          <w:tcPr>
            <w:tcW w:w="1840" w:type="dxa"/>
            <w:vAlign w:val="bottom"/>
          </w:tcPr>
          <w:p>
            <w:pPr>
              <w:ind w:left="120"/>
              <w:spacing w:after="0"/>
              <w:rPr>
                <w:sz w:val="20"/>
                <w:szCs w:val="20"/>
                <w:color w:val="auto"/>
              </w:rPr>
            </w:pPr>
            <w:r>
              <w:rPr>
                <w:rFonts w:ascii="Arial" w:cs="Arial" w:eastAsia="Arial" w:hAnsi="Arial"/>
                <w:sz w:val="14"/>
                <w:szCs w:val="14"/>
                <w:color w:val="auto"/>
              </w:rPr>
              <w:t>Accelerated filer</w:t>
            </w:r>
          </w:p>
        </w:tc>
      </w:tr>
      <w:tr>
        <w:trPr>
          <w:trHeight w:val="244"/>
        </w:trPr>
        <w:tc>
          <w:tcPr>
            <w:tcW w:w="2220" w:type="dxa"/>
            <w:vAlign w:val="bottom"/>
          </w:tcPr>
          <w:p>
            <w:pPr>
              <w:spacing w:after="0"/>
              <w:rPr>
                <w:sz w:val="20"/>
                <w:szCs w:val="20"/>
                <w:color w:val="auto"/>
              </w:rPr>
            </w:pPr>
            <w:r>
              <w:rPr>
                <w:rFonts w:ascii="Arial" w:cs="Arial" w:eastAsia="Arial" w:hAnsi="Arial"/>
                <w:sz w:val="14"/>
                <w:szCs w:val="14"/>
                <w:color w:val="auto"/>
              </w:rPr>
              <w:t>Non-accelerated filer</w:t>
            </w:r>
          </w:p>
        </w:tc>
        <w:tc>
          <w:tcPr>
            <w:tcW w:w="300" w:type="dxa"/>
            <w:vAlign w:val="bottom"/>
            <w:tcBorders>
              <w:bottom w:val="single" w:sz="8" w:color="auto"/>
            </w:tcBorders>
          </w:tcPr>
          <w:p>
            <w:pPr>
              <w:spacing w:after="0"/>
              <w:rPr>
                <w:sz w:val="21"/>
                <w:szCs w:val="21"/>
                <w:color w:val="auto"/>
              </w:rPr>
            </w:pPr>
          </w:p>
        </w:tc>
        <w:tc>
          <w:tcPr>
            <w:tcW w:w="4260" w:type="dxa"/>
            <w:vAlign w:val="bottom"/>
          </w:tcPr>
          <w:p>
            <w:pPr>
              <w:ind w:left="100"/>
              <w:spacing w:after="0"/>
              <w:rPr>
                <w:sz w:val="20"/>
                <w:szCs w:val="20"/>
                <w:color w:val="auto"/>
              </w:rPr>
            </w:pPr>
            <w:r>
              <w:rPr>
                <w:rFonts w:ascii="Arial" w:cs="Arial" w:eastAsia="Arial" w:hAnsi="Arial"/>
                <w:sz w:val="14"/>
                <w:szCs w:val="14"/>
                <w:color w:val="auto"/>
              </w:rPr>
              <w:t>(Do not check if a smaller reporting company)</w:t>
            </w:r>
          </w:p>
        </w:tc>
        <w:tc>
          <w:tcPr>
            <w:tcW w:w="1840" w:type="dxa"/>
            <w:vAlign w:val="bottom"/>
          </w:tcPr>
          <w:p>
            <w:pPr>
              <w:ind w:left="120"/>
              <w:spacing w:after="0"/>
              <w:rPr>
                <w:sz w:val="20"/>
                <w:szCs w:val="20"/>
                <w:color w:val="auto"/>
              </w:rPr>
            </w:pPr>
            <w:r>
              <w:rPr>
                <w:rFonts w:ascii="Arial" w:cs="Arial" w:eastAsia="Arial" w:hAnsi="Arial"/>
                <w:sz w:val="14"/>
                <w:szCs w:val="14"/>
                <w:color w:val="auto"/>
              </w:rPr>
              <w:t>Smaller reporting company</w:t>
            </w:r>
          </w:p>
        </w:tc>
      </w:tr>
      <w:tr>
        <w:trPr>
          <w:trHeight w:val="245"/>
        </w:trPr>
        <w:tc>
          <w:tcPr>
            <w:tcW w:w="2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840" w:type="dxa"/>
            <w:vAlign w:val="bottom"/>
          </w:tcPr>
          <w:p>
            <w:pPr>
              <w:ind w:left="120"/>
              <w:spacing w:after="0"/>
              <w:rPr>
                <w:sz w:val="20"/>
                <w:szCs w:val="20"/>
                <w:color w:val="auto"/>
              </w:rPr>
            </w:pPr>
            <w:r>
              <w:rPr>
                <w:rFonts w:ascii="Arial" w:cs="Arial" w:eastAsia="Arial" w:hAnsi="Arial"/>
                <w:sz w:val="14"/>
                <w:szCs w:val="14"/>
                <w:color w:val="auto"/>
              </w:rPr>
              <w:t>Emerging growth company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6111240</wp:posOffset>
            </wp:positionH>
            <wp:positionV relativeFrom="paragraph">
              <wp:posOffset>7620</wp:posOffset>
            </wp:positionV>
            <wp:extent cx="1803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-163195</wp:posOffset>
            </wp:positionV>
            <wp:extent cx="1803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-334645</wp:posOffset>
            </wp:positionV>
            <wp:extent cx="180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307" w:lineRule="exact"/>
        <w:rPr>
          <w:sz w:val="24"/>
          <w:szCs w:val="24"/>
          <w:color w:val="auto"/>
        </w:rPr>
      </w:pPr>
    </w:p>
    <w:p>
      <w:pPr>
        <w:ind w:right="360"/>
        <w:spacing w:after="0" w:line="258" w:lineRule="auto"/>
        <w:rPr>
          <w:sz w:val="20"/>
          <w:szCs w:val="20"/>
          <w:color w:val="auto"/>
        </w:rPr>
      </w:pPr>
      <w:r>
        <w:rPr>
          <w:rFonts w:ascii="Arial" w:cs="Arial" w:eastAsia="Arial" w:hAnsi="Arial"/>
          <w:sz w:val="14"/>
          <w:szCs w:val="14"/>
          <w:color w:val="auto"/>
        </w:rPr>
        <w:t>If an emerging growth company, indicate by checkmark if the registrant has elected not to use the extended transition period for complying with any new or revised financial or accounting standards provided pursuant to Section 13(a) of the Exchange Act. o</w:t>
      </w:r>
    </w:p>
    <w:p>
      <w:pPr>
        <w:spacing w:after="0" w:line="184" w:lineRule="exact"/>
        <w:rPr>
          <w:sz w:val="24"/>
          <w:szCs w:val="24"/>
          <w:color w:val="auto"/>
        </w:rPr>
      </w:pPr>
    </w:p>
    <w:p>
      <w:pPr>
        <w:spacing w:after="0" w:line="161" w:lineRule="exact"/>
        <w:tabs>
          <w:tab w:leader="none" w:pos="7500" w:val="left"/>
          <w:tab w:leader="none" w:pos="8340" w:val="left"/>
        </w:tabs>
        <w:rPr>
          <w:sz w:val="20"/>
          <w:szCs w:val="20"/>
          <w:color w:val="auto"/>
        </w:rPr>
      </w:pPr>
      <w:r>
        <w:rPr>
          <w:rFonts w:ascii="Arial" w:cs="Arial" w:eastAsia="Arial" w:hAnsi="Arial"/>
          <w:sz w:val="14"/>
          <w:szCs w:val="14"/>
          <w:color w:val="auto"/>
        </w:rPr>
        <w:t>Indicate by a check mark whether the registrant is a shell company (as defined in Rule 12b-2 of the Exchange Act).</w:t>
        <w:tab/>
        <w:t>Yes: o No:</w:t>
      </w:r>
      <w:r>
        <w:rPr>
          <w:sz w:val="20"/>
          <w:szCs w:val="20"/>
          <w:color w:val="auto"/>
        </w:rPr>
        <w:tab/>
      </w:r>
      <w:r>
        <w:rPr>
          <w:rFonts w:ascii="MS PGothic" w:cs="MS PGothic" w:eastAsia="MS PGothic" w:hAnsi="MS PGothic"/>
          <w:sz w:val="14"/>
          <w:szCs w:val="14"/>
          <w:color w:val="auto"/>
        </w:rPr>
        <w:t>☑</w:t>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PRECEEDING FIVE YEARS:</w:t>
      </w:r>
    </w:p>
    <w:p>
      <w:pPr>
        <w:spacing w:after="0" w:line="163" w:lineRule="exact"/>
        <w:rPr>
          <w:sz w:val="24"/>
          <w:szCs w:val="24"/>
          <w:color w:val="auto"/>
        </w:rPr>
      </w:pPr>
    </w:p>
    <w:p>
      <w:pPr>
        <w:ind w:right="720"/>
        <w:spacing w:after="0" w:line="258" w:lineRule="auto"/>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Sections 12, 13 or 15(d) of the Securities Exchange Act of 1934 subsequent to the distribution of securities under a plan confirmed by a court. Yes: o No: o</w:t>
      </w:r>
    </w:p>
    <w:p>
      <w:pPr>
        <w:spacing w:after="0" w:line="140"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7"/>
                <w:szCs w:val="17"/>
                <w:color w:val="auto"/>
              </w:rPr>
            </w:pP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July 20, 2018</w:t>
            </w:r>
          </w:p>
        </w:tc>
      </w:tr>
      <w:tr>
        <w:trPr>
          <w:trHeight w:val="198"/>
        </w:trPr>
        <w:tc>
          <w:tcPr>
            <w:tcW w:w="536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620" w:type="dxa"/>
            <w:vAlign w:val="bottom"/>
          </w:tcPr>
          <w:p>
            <w:pPr>
              <w:jc w:val="right"/>
              <w:ind w:right="2348"/>
              <w:spacing w:after="0"/>
              <w:rPr>
                <w:sz w:val="20"/>
                <w:szCs w:val="20"/>
                <w:color w:val="auto"/>
              </w:rPr>
            </w:pPr>
            <w:r>
              <w:rPr>
                <w:rFonts w:ascii="Arial" w:cs="Arial" w:eastAsia="Arial" w:hAnsi="Arial"/>
                <w:sz w:val="14"/>
                <w:szCs w:val="14"/>
                <w:color w:val="auto"/>
              </w:rPr>
              <w:t>268,915,947</w:t>
            </w:r>
          </w:p>
        </w:tc>
      </w:tr>
    </w:tbl>
    <w:p>
      <w:pPr>
        <w:spacing w:after="0" w:line="200" w:lineRule="exact"/>
        <w:rPr>
          <w:sz w:val="24"/>
          <w:szCs w:val="24"/>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11300"/>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420"/>
          </w:cols>
          <w:pgMar w:left="240" w:top="607" w:right="239" w:bottom="1440" w:gutter="0" w:footer="0" w:header="0"/>
          <w:type w:val="continuous"/>
        </w:sectPr>
      </w:pPr>
    </w:p>
    <w:bookmarkStart w:id="1" w:name="page2"/>
    <w:bookmarkEnd w:id="1"/>
    <w:p>
      <w:pPr>
        <w:ind w:left="36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3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For the Three and Six Months Ended June 30, 2018</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140" w:type="dxa"/>
            <w:vAlign w:val="bottom"/>
            <w:gridSpan w:val="14"/>
          </w:tcPr>
          <w:p>
            <w:pPr>
              <w:spacing w:after="0"/>
              <w:rPr>
                <w:sz w:val="20"/>
                <w:szCs w:val="20"/>
                <w:color w:val="auto"/>
              </w:rPr>
            </w:pPr>
            <w:r>
              <w:rPr>
                <w:rFonts w:ascii="Arial" w:cs="Arial" w:eastAsia="Arial" w:hAnsi="Arial"/>
                <w:sz w:val="22"/>
                <w:szCs w:val="22"/>
                <w:b w:val="1"/>
                <w:bCs w:val="1"/>
                <w:color w:val="auto"/>
              </w:rPr>
              <w:t>Part I - Financial Information</w:t>
            </w:r>
          </w:p>
        </w:tc>
        <w:tc>
          <w:tcPr>
            <w:tcW w:w="1560" w:type="dxa"/>
            <w:vAlign w:val="bottom"/>
            <w:gridSpan w:val="3"/>
          </w:tcPr>
          <w:p>
            <w:pPr>
              <w:ind w:left="1040"/>
              <w:spacing w:after="0"/>
              <w:rPr>
                <w:sz w:val="20"/>
                <w:szCs w:val="20"/>
                <w:color w:val="auto"/>
              </w:rPr>
            </w:pPr>
            <w:r>
              <w:rPr>
                <w:rFonts w:ascii="Arial" w:cs="Arial" w:eastAsia="Arial" w:hAnsi="Arial"/>
                <w:sz w:val="22"/>
                <w:szCs w:val="22"/>
                <w:b w:val="1"/>
                <w:bCs w:val="1"/>
                <w:color w:val="auto"/>
                <w:w w:val="94"/>
              </w:rPr>
              <w:t>Page</w:t>
            </w:r>
          </w:p>
        </w:tc>
        <w:tc>
          <w:tcPr>
            <w:tcW w:w="0" w:type="dxa"/>
            <w:vAlign w:val="bottom"/>
          </w:tcPr>
          <w:p>
            <w:pPr>
              <w:spacing w:after="0"/>
              <w:rPr>
                <w:sz w:val="1"/>
                <w:szCs w:val="1"/>
                <w:color w:val="auto"/>
              </w:rPr>
            </w:pPr>
          </w:p>
        </w:tc>
      </w:tr>
      <w:tr>
        <w:trPr>
          <w:trHeight w:val="233"/>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8100" w:type="dxa"/>
            <w:vAlign w:val="bottom"/>
            <w:gridSpan w:val="1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Consolidated Financial Statements</w:t>
              </w:r>
            </w:hyperlink>
          </w:p>
        </w:tc>
        <w:tc>
          <w:tcPr>
            <w:tcW w:w="1340" w:type="dxa"/>
            <w:vAlign w:val="bottom"/>
            <w:gridSpan w:val="2"/>
          </w:tcPr>
          <w:p>
            <w:pPr>
              <w:jc w:val="center"/>
              <w:ind w:left="1148"/>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4200" w:type="dxa"/>
            <w:vAlign w:val="bottom"/>
            <w:gridSpan w:val="6"/>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Unaudited Condensed Consolidated Balance Sheets</w:t>
              </w:r>
            </w:hyperlink>
          </w:p>
        </w:tc>
        <w:tc>
          <w:tcPr>
            <w:tcW w:w="3900" w:type="dxa"/>
            <w:vAlign w:val="bottom"/>
            <w:gridSpan w:val="7"/>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8100" w:type="dxa"/>
            <w:vAlign w:val="bottom"/>
            <w:gridSpan w:val="1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Condensed Consolidated Statements of Income</w:t>
              </w:r>
            </w:hyperlink>
          </w:p>
        </w:tc>
        <w:tc>
          <w:tcPr>
            <w:tcW w:w="1340" w:type="dxa"/>
            <w:vAlign w:val="bottom"/>
            <w:gridSpan w:val="2"/>
          </w:tcPr>
          <w:p>
            <w:pPr>
              <w:jc w:val="center"/>
              <w:ind w:left="1148"/>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6000" w:type="dxa"/>
            <w:vAlign w:val="bottom"/>
            <w:gridSpan w:val="11"/>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Unaudited Condensed Consolidated Statements of Comprehensive Income</w:t>
              </w:r>
            </w:hyperlink>
          </w:p>
        </w:tc>
        <w:tc>
          <w:tcPr>
            <w:tcW w:w="210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5040" w:type="dxa"/>
            <w:vAlign w:val="bottom"/>
            <w:gridSpan w:val="9"/>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Unaudited Condensed Consolidated Statements of Cash Flows</w:t>
              </w:r>
            </w:hyperlink>
          </w:p>
        </w:tc>
        <w:tc>
          <w:tcPr>
            <w:tcW w:w="960" w:type="dxa"/>
            <w:vAlign w:val="bottom"/>
            <w:gridSpan w:val="2"/>
          </w:tcPr>
          <w:p>
            <w:pPr>
              <w:spacing w:after="0"/>
              <w:rPr>
                <w:sz w:val="18"/>
                <w:szCs w:val="18"/>
                <w:color w:val="auto"/>
              </w:rPr>
            </w:pPr>
          </w:p>
        </w:tc>
        <w:tc>
          <w:tcPr>
            <w:tcW w:w="210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5340" w:type="dxa"/>
            <w:vAlign w:val="bottom"/>
            <w:gridSpan w:val="10"/>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Notes to Unaudited Condensed Consolidated Financial Statements</w:t>
              </w:r>
            </w:hyperlink>
          </w:p>
        </w:tc>
        <w:tc>
          <w:tcPr>
            <w:tcW w:w="2760" w:type="dxa"/>
            <w:vAlign w:val="bottom"/>
            <w:gridSpan w:val="3"/>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vMerge w:val="continue"/>
          </w:tcPr>
          <w:p>
            <w:pPr>
              <w:spacing w:after="0"/>
              <w:rPr>
                <w:sz w:val="20"/>
                <w:szCs w:val="20"/>
                <w:color w:val="auto"/>
              </w:rPr>
            </w:pPr>
          </w:p>
        </w:tc>
        <w:tc>
          <w:tcPr>
            <w:tcW w:w="7080" w:type="dxa"/>
            <w:vAlign w:val="bottom"/>
            <w:gridSpan w:val="12"/>
          </w:tcPr>
          <w:p>
            <w:pPr>
              <w:spacing w:after="0"/>
              <w:rPr>
                <w:rFonts w:ascii="Arial" w:cs="Arial" w:eastAsia="Arial" w:hAnsi="Arial"/>
                <w:sz w:val="18"/>
                <w:szCs w:val="18"/>
                <w:color w:val="0000FF"/>
                <w:w w:val="99"/>
              </w:rPr>
            </w:pPr>
            <w:hyperlink w:anchor="page20">
              <w:r>
                <w:rPr>
                  <w:rFonts w:ascii="Arial" w:cs="Arial" w:eastAsia="Arial" w:hAnsi="Arial"/>
                  <w:sz w:val="18"/>
                  <w:szCs w:val="18"/>
                  <w:color w:val="0000FF"/>
                  <w:w w:val="99"/>
                </w:rPr>
                <w:t>Management's Discussion and Analysis of Financial Condition and Results of Operations</w:t>
              </w:r>
            </w:hyperlink>
          </w:p>
        </w:tc>
        <w:tc>
          <w:tcPr>
            <w:tcW w:w="1020" w:type="dxa"/>
            <w:vAlign w:val="bottom"/>
          </w:tcPr>
          <w:p>
            <w:pPr>
              <w:spacing w:after="0"/>
              <w:rPr>
                <w:sz w:val="20"/>
                <w:szCs w:val="20"/>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20">
              <w:r>
                <w:rPr>
                  <w:rFonts w:ascii="Arial" w:cs="Arial" w:eastAsia="Arial" w:hAnsi="Arial"/>
                  <w:sz w:val="18"/>
                  <w:szCs w:val="18"/>
                  <w:color w:val="0000FF"/>
                  <w:w w:val="99"/>
                </w:rPr>
                <w:t>21</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vMerge w:val="continue"/>
          </w:tcPr>
          <w:p>
            <w:pPr>
              <w:spacing w:after="0"/>
              <w:rPr>
                <w:sz w:val="20"/>
                <w:szCs w:val="20"/>
                <w:color w:val="auto"/>
              </w:rPr>
            </w:pPr>
          </w:p>
        </w:tc>
        <w:tc>
          <w:tcPr>
            <w:tcW w:w="7080" w:type="dxa"/>
            <w:vAlign w:val="bottom"/>
            <w:gridSpan w:val="12"/>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Quantitative and Qualitative Disclosures About Market Risk</w:t>
              </w:r>
            </w:hyperlink>
          </w:p>
        </w:tc>
        <w:tc>
          <w:tcPr>
            <w:tcW w:w="1020" w:type="dxa"/>
            <w:vAlign w:val="bottom"/>
          </w:tcPr>
          <w:p>
            <w:pPr>
              <w:spacing w:after="0"/>
              <w:rPr>
                <w:sz w:val="20"/>
                <w:szCs w:val="20"/>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0">
              <w:r>
                <w:rPr>
                  <w:rFonts w:ascii="Arial" w:cs="Arial" w:eastAsia="Arial" w:hAnsi="Arial"/>
                  <w:sz w:val="18"/>
                  <w:szCs w:val="18"/>
                  <w:color w:val="0000FF"/>
                  <w:w w:val="99"/>
                </w:rPr>
                <w:t>30</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vMerge w:val="continue"/>
          </w:tcPr>
          <w:p>
            <w:pPr>
              <w:spacing w:after="0"/>
              <w:rPr>
                <w:sz w:val="20"/>
                <w:szCs w:val="20"/>
                <w:color w:val="auto"/>
              </w:rPr>
            </w:pPr>
          </w:p>
        </w:tc>
        <w:tc>
          <w:tcPr>
            <w:tcW w:w="4680" w:type="dxa"/>
            <w:vAlign w:val="bottom"/>
            <w:gridSpan w:val="7"/>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3420" w:type="dxa"/>
            <w:vAlign w:val="bottom"/>
            <w:gridSpan w:val="6"/>
          </w:tcPr>
          <w:p>
            <w:pPr>
              <w:spacing w:after="0"/>
              <w:rPr>
                <w:sz w:val="20"/>
                <w:szCs w:val="20"/>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0">
              <w:r>
                <w:rPr>
                  <w:rFonts w:ascii="Arial" w:cs="Arial" w:eastAsia="Arial" w:hAnsi="Arial"/>
                  <w:sz w:val="18"/>
                  <w:szCs w:val="18"/>
                  <w:color w:val="0000FF"/>
                  <w:w w:val="99"/>
                </w:rPr>
                <w:t>30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1"/>
        </w:trPr>
        <w:tc>
          <w:tcPr>
            <w:tcW w:w="9140" w:type="dxa"/>
            <w:vAlign w:val="bottom"/>
            <w:gridSpan w:val="14"/>
          </w:tcPr>
          <w:p>
            <w:pPr>
              <w:spacing w:after="0"/>
              <w:rPr>
                <w:sz w:val="20"/>
                <w:szCs w:val="20"/>
                <w:color w:val="auto"/>
              </w:rPr>
            </w:pPr>
            <w:r>
              <w:rPr>
                <w:rFonts w:ascii="Arial" w:cs="Arial" w:eastAsia="Arial" w:hAnsi="Arial"/>
                <w:sz w:val="22"/>
                <w:szCs w:val="22"/>
                <w:b w:val="1"/>
                <w:bCs w:val="1"/>
                <w:color w:val="auto"/>
              </w:rPr>
              <w:t>Part II - Other Information</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rFonts w:ascii="Arial" w:cs="Arial" w:eastAsia="Arial" w:hAnsi="Arial"/>
                <w:sz w:val="18"/>
                <w:szCs w:val="18"/>
                <w:color w:val="0000FF"/>
                <w:w w:val="95"/>
              </w:rPr>
            </w:pPr>
            <w:hyperlink w:anchor="page32">
              <w:r>
                <w:rPr>
                  <w:rFonts w:ascii="Arial" w:cs="Arial" w:eastAsia="Arial" w:hAnsi="Arial"/>
                  <w:sz w:val="18"/>
                  <w:szCs w:val="18"/>
                  <w:color w:val="0000FF"/>
                  <w:w w:val="95"/>
                </w:rPr>
                <w:t>Risk Factors</w:t>
              </w:r>
            </w:hyperlink>
          </w:p>
        </w:tc>
        <w:tc>
          <w:tcPr>
            <w:tcW w:w="7100" w:type="dxa"/>
            <w:vAlign w:val="bottom"/>
            <w:gridSpan w:val="10"/>
          </w:tcPr>
          <w:p>
            <w:pPr>
              <w:spacing w:after="0"/>
              <w:rPr>
                <w:sz w:val="20"/>
                <w:szCs w:val="20"/>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32</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vMerge w:val="continue"/>
          </w:tcPr>
          <w:p>
            <w:pPr>
              <w:spacing w:after="0"/>
              <w:rPr>
                <w:sz w:val="20"/>
                <w:szCs w:val="20"/>
                <w:color w:val="auto"/>
              </w:rPr>
            </w:pPr>
          </w:p>
        </w:tc>
        <w:tc>
          <w:tcPr>
            <w:tcW w:w="8100" w:type="dxa"/>
            <w:vAlign w:val="bottom"/>
            <w:gridSpan w:val="1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Unregistered Sales of Equity Securities and Use of Proceeds</w:t>
              </w:r>
            </w:hyperlink>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32</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8"/>
                <w:szCs w:val="18"/>
                <w:color w:val="auto"/>
              </w:rPr>
              <w:t>Item 6.</w:t>
            </w: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tcBorders>
              <w:left w:val="single" w:sz="8" w:color="0000FF"/>
            </w:tcBorders>
            <w:gridSpan w:val="5"/>
            <w:shd w:val="clear" w:color="auto" w:fill="0000FF"/>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vMerge w:val="continue"/>
          </w:tcPr>
          <w:p>
            <w:pPr>
              <w:spacing w:after="0"/>
              <w:rPr>
                <w:sz w:val="20"/>
                <w:szCs w:val="20"/>
                <w:color w:val="auto"/>
              </w:rPr>
            </w:pPr>
          </w:p>
        </w:tc>
        <w:tc>
          <w:tcPr>
            <w:tcW w:w="4840" w:type="dxa"/>
            <w:vAlign w:val="bottom"/>
            <w:gridSpan w:val="8"/>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Exhibits</w:t>
              </w:r>
            </w:hyperlink>
          </w:p>
        </w:tc>
        <w:tc>
          <w:tcPr>
            <w:tcW w:w="3260" w:type="dxa"/>
            <w:vAlign w:val="bottom"/>
            <w:gridSpan w:val="5"/>
          </w:tcPr>
          <w:p>
            <w:pPr>
              <w:spacing w:after="0"/>
              <w:rPr>
                <w:sz w:val="20"/>
                <w:szCs w:val="20"/>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34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100" w:type="dxa"/>
            <w:vAlign w:val="bottom"/>
            <w:gridSpan w:val="10"/>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860" w:type="dxa"/>
            <w:vAlign w:val="bottom"/>
            <w:gridSpan w:val="2"/>
          </w:tcPr>
          <w:p>
            <w:pPr>
              <w:spacing w:after="0"/>
              <w:rPr>
                <w:rFonts w:ascii="Arial" w:cs="Arial" w:eastAsia="Arial" w:hAnsi="Arial"/>
                <w:sz w:val="18"/>
                <w:szCs w:val="18"/>
                <w:color w:val="0302FF"/>
                <w:w w:val="97"/>
              </w:rPr>
            </w:pPr>
            <w:hyperlink w:anchor="page34">
              <w:r>
                <w:rPr>
                  <w:rFonts w:ascii="Arial" w:cs="Arial" w:eastAsia="Arial" w:hAnsi="Arial"/>
                  <w:sz w:val="18"/>
                  <w:szCs w:val="18"/>
                  <w:color w:val="0302FF"/>
                  <w:w w:val="97"/>
                </w:rPr>
                <w:t>Signatures</w:t>
              </w:r>
            </w:hyperlink>
          </w:p>
        </w:tc>
        <w:tc>
          <w:tcPr>
            <w:tcW w:w="7240" w:type="dxa"/>
            <w:vAlign w:val="bottom"/>
            <w:gridSpan w:val="11"/>
          </w:tcPr>
          <w:p>
            <w:pPr>
              <w:spacing w:after="0"/>
              <w:rPr>
                <w:sz w:val="18"/>
                <w:szCs w:val="18"/>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35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60" w:type="dxa"/>
            <w:vAlign w:val="bottom"/>
            <w:gridSpan w:val="2"/>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100" w:type="dxa"/>
            <w:vAlign w:val="bottom"/>
            <w:gridSpan w:val="10"/>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8100" w:type="dxa"/>
            <w:vAlign w:val="bottom"/>
            <w:gridSpan w:val="1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Exhibit Index</w:t>
              </w:r>
            </w:hyperlink>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36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40"/>
          </w:cols>
          <w:pgMar w:left="320" w:top="927" w:right="239" w:bottom="1440" w:gutter="0" w:footer="0" w:header="0"/>
        </w:sectPr>
      </w:pPr>
    </w:p>
    <w:bookmarkStart w:id="2" w:name="page3"/>
    <w:bookmarkEnd w:id="2"/>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June 30, 2018 and December 31, 2017</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2018</w:t>
            </w:r>
          </w:p>
        </w:tc>
        <w:tc>
          <w:tcPr>
            <w:tcW w:w="218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rPr>
              <w:t>December 31, 2017 (Note)</w:t>
            </w:r>
          </w:p>
        </w:tc>
      </w:tr>
      <w:tr>
        <w:trPr>
          <w:trHeight w:val="223"/>
        </w:trPr>
        <w:tc>
          <w:tcPr>
            <w:tcW w:w="136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CCEEFF"/>
            </w:tcBorders>
            <w:shd w:val="clear" w:color="auto" w:fill="CCEEFF"/>
          </w:tcPr>
          <w:p>
            <w:pPr>
              <w:spacing w:after="0"/>
              <w:rPr>
                <w:sz w:val="19"/>
                <w:szCs w:val="19"/>
                <w:color w:val="auto"/>
              </w:rPr>
            </w:pPr>
          </w:p>
        </w:tc>
        <w:tc>
          <w:tcPr>
            <w:tcW w:w="3820" w:type="dxa"/>
            <w:vAlign w:val="bottom"/>
            <w:tcBorders>
              <w:top w:val="single" w:sz="8" w:color="CCEEFF"/>
            </w:tcBorders>
            <w:gridSpan w:val="3"/>
            <w:shd w:val="clear" w:color="auto" w:fill="CCEEFF"/>
          </w:tcPr>
          <w:p>
            <w:pPr>
              <w:jc w:val="center"/>
              <w:ind w:right="3120"/>
              <w:spacing w:after="0" w:line="189" w:lineRule="exact"/>
              <w:rPr>
                <w:sz w:val="20"/>
                <w:szCs w:val="20"/>
                <w:color w:val="auto"/>
              </w:rPr>
            </w:pPr>
            <w:r>
              <w:rPr>
                <w:rFonts w:ascii="Arial" w:cs="Arial" w:eastAsia="Arial" w:hAnsi="Arial"/>
                <w:sz w:val="18"/>
                <w:szCs w:val="18"/>
                <w:color w:val="auto"/>
                <w:w w:val="98"/>
              </w:rPr>
              <w:t>ASSETS</w:t>
            </w:r>
          </w:p>
        </w:tc>
        <w:tc>
          <w:tcPr>
            <w:tcW w:w="32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50"/>
        </w:trPr>
        <w:tc>
          <w:tcPr>
            <w:tcW w:w="312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CURRENT ASSETS</w:t>
            </w:r>
          </w:p>
        </w:tc>
        <w:tc>
          <w:tcPr>
            <w:tcW w:w="700" w:type="dxa"/>
            <w:vAlign w:val="bottom"/>
            <w:tcBorders>
              <w:top w:val="single" w:sz="8" w:color="auto"/>
            </w:tcBorders>
          </w:tcPr>
          <w:p>
            <w:pPr>
              <w:spacing w:after="0"/>
              <w:rPr>
                <w:sz w:val="21"/>
                <w:szCs w:val="21"/>
                <w:color w:val="auto"/>
              </w:rPr>
            </w:pPr>
          </w:p>
        </w:tc>
        <w:tc>
          <w:tcPr>
            <w:tcW w:w="3120" w:type="dxa"/>
            <w:vAlign w:val="bottom"/>
            <w:tcBorders>
              <w:top w:val="single" w:sz="8" w:color="CCEEFF"/>
            </w:tcBorders>
            <w:gridSpan w:val="2"/>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7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640" w:type="dxa"/>
            <w:vAlign w:val="bottom"/>
            <w:tcBorders>
              <w:top w:val="single" w:sz="8" w:color="CCEEFF"/>
            </w:tcBorders>
          </w:tcPr>
          <w:p>
            <w:pPr>
              <w:spacing w:after="0"/>
              <w:rPr>
                <w:sz w:val="21"/>
                <w:szCs w:val="21"/>
                <w:color w:val="auto"/>
              </w:rPr>
            </w:pPr>
          </w:p>
        </w:tc>
      </w:tr>
      <w:tr>
        <w:trPr>
          <w:trHeight w:val="263"/>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296,699,141</w:t>
            </w: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569,734,496</w:t>
            </w:r>
          </w:p>
        </w:tc>
      </w:tr>
      <w:tr>
        <w:trPr>
          <w:trHeight w:val="250"/>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171,020,806</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152,538,054</w:t>
            </w:r>
          </w:p>
        </w:tc>
      </w:tr>
      <w:tr>
        <w:trPr>
          <w:trHeight w:val="263"/>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239,406,379</w:t>
            </w: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231,121,788</w:t>
            </w:r>
          </w:p>
        </w:tc>
      </w:tr>
      <w:tr>
        <w:trPr>
          <w:trHeight w:val="250"/>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212,375,655</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216,765,583</w:t>
            </w:r>
          </w:p>
        </w:tc>
      </w:tr>
      <w:tr>
        <w:trPr>
          <w:trHeight w:val="263"/>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32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23,575,408</w:t>
            </w:r>
          </w:p>
        </w:tc>
        <w:tc>
          <w:tcPr>
            <w:tcW w:w="16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14,403,902</w:t>
            </w:r>
          </w:p>
        </w:tc>
      </w:tr>
      <w:tr>
        <w:trPr>
          <w:trHeight w:val="243"/>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943,077,389</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1,184,563,823</w:t>
            </w:r>
          </w:p>
        </w:tc>
      </w:tr>
      <w:tr>
        <w:trPr>
          <w:trHeight w:val="236"/>
        </w:trPr>
        <w:tc>
          <w:tcPr>
            <w:tcW w:w="13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50"/>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PLANT AND EQUIPMENT—NET</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499,673,418</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492,479,330</w:t>
            </w:r>
          </w:p>
        </w:tc>
      </w:tr>
      <w:tr>
        <w:trPr>
          <w:trHeight w:val="236"/>
        </w:trPr>
        <w:tc>
          <w:tcPr>
            <w:tcW w:w="13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50"/>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63"/>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307,365,845</w:t>
            </w: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307,365,845</w:t>
            </w:r>
          </w:p>
        </w:tc>
      </w:tr>
      <w:tr>
        <w:trPr>
          <w:trHeight w:val="250"/>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Long-term investments</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141,305,695</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57,782,418</w:t>
            </w:r>
          </w:p>
        </w:tc>
      </w:tr>
      <w:tr>
        <w:trPr>
          <w:trHeight w:val="263"/>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279,325,000</w:t>
            </w: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288,975,000</w:t>
            </w:r>
          </w:p>
        </w:tc>
      </w:tr>
      <w:tr>
        <w:trPr>
          <w:trHeight w:val="250"/>
        </w:trPr>
        <w:tc>
          <w:tcPr>
            <w:tcW w:w="69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Patents and other assets, net</w:t>
            </w:r>
          </w:p>
        </w:tc>
        <w:tc>
          <w:tcPr>
            <w:tcW w:w="3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21,361,937</w:t>
            </w:r>
          </w:p>
        </w:tc>
        <w:tc>
          <w:tcPr>
            <w:tcW w:w="16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20,887,496</w:t>
            </w:r>
          </w:p>
        </w:tc>
      </w:tr>
      <w:tr>
        <w:trPr>
          <w:trHeight w:val="250"/>
        </w:trPr>
        <w:tc>
          <w:tcPr>
            <w:tcW w:w="69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 other assets</w:t>
            </w:r>
          </w:p>
        </w:tc>
        <w:tc>
          <w:tcPr>
            <w:tcW w:w="3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749,358,477</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675,010,759</w:t>
            </w:r>
          </w:p>
        </w:tc>
      </w:tr>
      <w:tr>
        <w:trPr>
          <w:trHeight w:val="275"/>
        </w:trPr>
        <w:tc>
          <w:tcPr>
            <w:tcW w:w="69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2,192,109,284</w:t>
            </w: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2,352,053,912</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37"/>
        </w:trPr>
        <w:tc>
          <w:tcPr>
            <w:tcW w:w="1360" w:type="dxa"/>
            <w:vAlign w:val="bottom"/>
            <w:shd w:val="clear" w:color="auto" w:fill="CCEEFF"/>
          </w:tcPr>
          <w:p>
            <w:pPr>
              <w:spacing w:after="0"/>
              <w:rPr>
                <w:sz w:val="20"/>
                <w:szCs w:val="20"/>
                <w:color w:val="auto"/>
              </w:rPr>
            </w:pPr>
          </w:p>
        </w:tc>
        <w:tc>
          <w:tcPr>
            <w:tcW w:w="5580" w:type="dxa"/>
            <w:vAlign w:val="bottom"/>
            <w:gridSpan w:val="4"/>
            <w:shd w:val="clear" w:color="auto" w:fill="CCEEFF"/>
          </w:tcPr>
          <w:p>
            <w:pPr>
              <w:jc w:val="center"/>
              <w:ind w:right="1360"/>
              <w:spacing w:after="0" w:line="202" w:lineRule="exact"/>
              <w:rPr>
                <w:sz w:val="20"/>
                <w:szCs w:val="20"/>
                <w:color w:val="auto"/>
              </w:rPr>
            </w:pPr>
            <w:r>
              <w:rPr>
                <w:rFonts w:ascii="Arial" w:cs="Arial" w:eastAsia="Arial" w:hAnsi="Arial"/>
                <w:sz w:val="18"/>
                <w:szCs w:val="18"/>
                <w:color w:val="auto"/>
              </w:rPr>
              <w:t>LIABILITIES AND SHAREHOLDERS’ INVESTMENT</w:t>
            </w:r>
          </w:p>
        </w:tc>
        <w:tc>
          <w:tcPr>
            <w:tcW w:w="3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30"/>
        </w:trPr>
        <w:tc>
          <w:tcPr>
            <w:tcW w:w="1360" w:type="dxa"/>
            <w:vAlign w:val="bottom"/>
            <w:tcBorders>
              <w:top w:val="single" w:sz="8" w:color="CCEEFF"/>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640" w:type="dxa"/>
            <w:vAlign w:val="bottom"/>
            <w:tcBorders>
              <w:top w:val="single" w:sz="8" w:color="CCEEFF"/>
            </w:tcBorders>
          </w:tcPr>
          <w:p>
            <w:pPr>
              <w:spacing w:after="0"/>
              <w:rPr>
                <w:sz w:val="19"/>
                <w:szCs w:val="19"/>
                <w:color w:val="auto"/>
              </w:rPr>
            </w:pPr>
          </w:p>
        </w:tc>
      </w:tr>
      <w:tr>
        <w:trPr>
          <w:trHeight w:val="257"/>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50"/>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106,784,447</w:t>
            </w:r>
          </w:p>
        </w:tc>
        <w:tc>
          <w:tcPr>
            <w:tcW w:w="160" w:type="dxa"/>
            <w:vAlign w:val="bottom"/>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89,898,467</w:t>
            </w:r>
          </w:p>
        </w:tc>
      </w:tr>
      <w:tr>
        <w:trPr>
          <w:trHeight w:val="263"/>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23,125,000</w:t>
            </w: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78,000,000</w:t>
            </w:r>
          </w:p>
        </w:tc>
      </w:tr>
      <w:tr>
        <w:trPr>
          <w:trHeight w:val="250"/>
        </w:trPr>
        <w:tc>
          <w:tcPr>
            <w:tcW w:w="69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84,525,227</w:t>
            </w:r>
          </w:p>
        </w:tc>
        <w:tc>
          <w:tcPr>
            <w:tcW w:w="16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75,748,540</w:t>
            </w:r>
          </w:p>
        </w:tc>
      </w:tr>
      <w:tr>
        <w:trPr>
          <w:trHeight w:val="257"/>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214,434,674</w:t>
            </w: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243,647,007</w:t>
            </w:r>
          </w:p>
        </w:tc>
      </w:tr>
      <w:tr>
        <w:trPr>
          <w:trHeight w:val="230"/>
        </w:trPr>
        <w:tc>
          <w:tcPr>
            <w:tcW w:w="1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50"/>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56,175,298</w:t>
            </w:r>
          </w:p>
        </w:tc>
        <w:tc>
          <w:tcPr>
            <w:tcW w:w="16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58,888,644</w:t>
            </w:r>
          </w:p>
        </w:tc>
      </w:tr>
      <w:tr>
        <w:trPr>
          <w:trHeight w:val="216"/>
        </w:trPr>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57"/>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270,609,972</w:t>
            </w: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302,535,651</w:t>
            </w:r>
          </w:p>
        </w:tc>
      </w:tr>
      <w:tr>
        <w:trPr>
          <w:trHeight w:val="230"/>
        </w:trPr>
        <w:tc>
          <w:tcPr>
            <w:tcW w:w="1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57"/>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SHAREHOLDERS’ INVESTMENT</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50"/>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16,135,387</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16,816,879</w:t>
            </w:r>
          </w:p>
        </w:tc>
      </w:tr>
      <w:tr>
        <w:trPr>
          <w:trHeight w:val="263"/>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748,794,815</w:t>
            </w: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723,510,672</w:t>
            </w:r>
          </w:p>
        </w:tc>
      </w:tr>
      <w:tr>
        <w:trPr>
          <w:trHeight w:val="250"/>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1,157,048,214</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1,301,997,327</w:t>
            </w:r>
          </w:p>
        </w:tc>
      </w:tr>
      <w:tr>
        <w:trPr>
          <w:trHeight w:val="263"/>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 income</w:t>
            </w:r>
          </w:p>
        </w:tc>
        <w:tc>
          <w:tcPr>
            <w:tcW w:w="32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(479,104)</w:t>
            </w:r>
          </w:p>
        </w:tc>
        <w:tc>
          <w:tcPr>
            <w:tcW w:w="16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7,193,383</w:t>
            </w:r>
          </w:p>
        </w:tc>
      </w:tr>
      <w:tr>
        <w:trPr>
          <w:trHeight w:val="244"/>
        </w:trPr>
        <w:tc>
          <w:tcPr>
            <w:tcW w:w="69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Total shareholders’ investment</w:t>
            </w:r>
          </w:p>
        </w:tc>
        <w:tc>
          <w:tcPr>
            <w:tcW w:w="3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1,921,499,312</w:t>
            </w:r>
          </w:p>
        </w:tc>
        <w:tc>
          <w:tcPr>
            <w:tcW w:w="16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2,049,518,261</w:t>
            </w:r>
          </w:p>
        </w:tc>
      </w:tr>
      <w:tr>
        <w:trPr>
          <w:trHeight w:val="275"/>
        </w:trPr>
        <w:tc>
          <w:tcPr>
            <w:tcW w:w="69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investment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2,192,109,284</w:t>
            </w: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2,352,053,912</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480"/>
        <w:spacing w:after="0" w:line="242" w:lineRule="auto"/>
        <w:rPr>
          <w:sz w:val="20"/>
          <w:szCs w:val="20"/>
          <w:color w:val="auto"/>
        </w:rPr>
      </w:pPr>
      <w:r>
        <w:rPr>
          <w:rFonts w:ascii="Arial" w:cs="Arial" w:eastAsia="Arial" w:hAnsi="Arial"/>
          <w:sz w:val="13"/>
          <w:szCs w:val="13"/>
          <w:color w:val="auto"/>
        </w:rPr>
        <w:t>Note: The condensed consolidated balance sheet at December 31, 2017 has been derived from the audited financial statements at that date but does not include all of the information and footnotes required by accounting principles generally accepted in the United States for complete financial statements.</w:t>
      </w:r>
    </w:p>
    <w:p>
      <w:pPr>
        <w:sectPr>
          <w:pgSz w:w="11900" w:h="16838" w:orient="portrait"/>
          <w:cols w:equalWidth="0" w:num="1">
            <w:col w:w="11420"/>
          </w:cols>
          <w:pgMar w:left="240" w:top="927" w:right="2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1130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420"/>
          </w:cols>
          <w:pgMar w:left="240" w:top="927" w:right="239" w:bottom="1440" w:gutter="0" w:footer="0" w:header="0"/>
          <w:type w:val="continuous"/>
        </w:sectPr>
      </w:pPr>
    </w:p>
    <w:bookmarkStart w:id="3" w:name="page4"/>
    <w:bookmarkEnd w:id="3"/>
    <w:p>
      <w:pPr>
        <w:ind w:left="376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For the Three and Six Months Ended June 30, 2018 and 2017</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88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r>
      <w:tr>
        <w:trPr>
          <w:trHeight w:val="222"/>
        </w:trPr>
        <w:tc>
          <w:tcPr>
            <w:tcW w:w="4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454,981,440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443,139,073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920,401,545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896,674,323</w:t>
            </w:r>
          </w:p>
        </w:tc>
      </w:tr>
      <w:tr>
        <w:trPr>
          <w:trHeight w:val="230"/>
        </w:trPr>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7"/>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282,176,968</w:t>
            </w:r>
          </w:p>
        </w:tc>
        <w:tc>
          <w:tcPr>
            <w:tcW w:w="24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275,931,278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574,968,672</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553,665,743</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172,804,472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167,207,795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345,432,873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343,008,580</w:t>
            </w:r>
          </w:p>
        </w:tc>
      </w:tr>
      <w:tr>
        <w:trPr>
          <w:trHeight w:val="236"/>
        </w:trPr>
        <w:tc>
          <w:tcPr>
            <w:tcW w:w="4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research and development</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27,200,465</w:t>
            </w: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25,243,410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53,249,723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50,395,667</w:t>
            </w: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Selling, general &amp; administrative</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18,921,003</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16,099,871</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36,984,813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32,321,279</w:t>
            </w:r>
          </w:p>
        </w:tc>
      </w:tr>
      <w:tr>
        <w:trPr>
          <w:trHeight w:val="25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46,121,468</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41,343,281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90,234,536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82,716,946</w:t>
            </w:r>
          </w:p>
        </w:tc>
      </w:tr>
      <w:tr>
        <w:trPr>
          <w:trHeight w:val="216"/>
        </w:trPr>
        <w:tc>
          <w:tcPr>
            <w:tcW w:w="4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126,683,004</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125,864,514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255,198,337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260,291,634</w:t>
            </w:r>
          </w:p>
        </w:tc>
      </w:tr>
      <w:tr>
        <w:trPr>
          <w:trHeight w:val="236"/>
        </w:trPr>
        <w:tc>
          <w:tcPr>
            <w:tcW w:w="4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OTHER INCOME (LOSS)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2,844,133</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1,736,138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4,881,738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3,208,665</w:t>
            </w:r>
          </w:p>
        </w:tc>
      </w:tr>
      <w:tr>
        <w:trPr>
          <w:trHeight w:val="27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 net</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(554,359)</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343,111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652,634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(691,632)</w:t>
            </w:r>
          </w:p>
        </w:tc>
      </w:tr>
      <w:tr>
        <w:trPr>
          <w:trHeight w:val="244"/>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2,289,774</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2,079,249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5,534,372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2,517,033</w:t>
            </w:r>
          </w:p>
        </w:tc>
      </w:tr>
      <w:tr>
        <w:trPr>
          <w:trHeight w:val="216"/>
        </w:trPr>
        <w:tc>
          <w:tcPr>
            <w:tcW w:w="4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128,972,778</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127,943,763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260,732,709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262,808,667</w:t>
            </w:r>
          </w:p>
        </w:tc>
      </w:tr>
      <w:tr>
        <w:trPr>
          <w:trHeight w:val="236"/>
        </w:trPr>
        <w:tc>
          <w:tcPr>
            <w:tcW w:w="4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19,948,796</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39,407,816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40,459,984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76,715,979</w:t>
            </w:r>
          </w:p>
        </w:tc>
      </w:tr>
      <w:tr>
        <w:trPr>
          <w:trHeight w:val="236"/>
        </w:trPr>
        <w:tc>
          <w:tcPr>
            <w:tcW w:w="47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r>
      <w:tr>
        <w:trPr>
          <w:trHeight w:val="244"/>
        </w:trPr>
        <w:tc>
          <w:tcPr>
            <w:tcW w:w="4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109,023,982</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88,535,947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220,272,725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186,092,688</w:t>
            </w:r>
          </w:p>
        </w:tc>
      </w:tr>
      <w:tr>
        <w:trPr>
          <w:trHeight w:val="21"/>
        </w:trPr>
        <w:tc>
          <w:tcPr>
            <w:tcW w:w="47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0.40</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36"/>
        </w:trPr>
        <w:tc>
          <w:tcPr>
            <w:tcW w:w="4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0.11</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927" w:right="239" w:bottom="1440" w:gutter="0" w:footer="0" w:header="0"/>
        </w:sectPr>
      </w:pPr>
    </w:p>
    <w:bookmarkStart w:id="4" w:name="page5"/>
    <w:bookmarkEnd w:id="4"/>
    <w:p>
      <w:pPr>
        <w:jc w:val="center"/>
        <w:ind w:right="6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the Three and Six Months Ended June 30, 2018 and 2017</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306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2"/>
        </w:trPr>
        <w:tc>
          <w:tcPr>
            <w:tcW w:w="4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109,023,982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88,535,947</w:t>
            </w: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7"/>
              </w:rPr>
              <w:t>220,272,725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$186,092,688</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(2,465,603)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1,495,210</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(839,425)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1,683,800</w:t>
            </w:r>
          </w:p>
        </w:tc>
        <w:tc>
          <w:tcPr>
            <w:tcW w:w="0" w:type="dxa"/>
            <w:vAlign w:val="bottom"/>
          </w:tcPr>
          <w:p>
            <w:pPr>
              <w:spacing w:after="0"/>
              <w:rPr>
                <w:sz w:val="1"/>
                <w:szCs w:val="1"/>
                <w:color w:val="auto"/>
              </w:rPr>
            </w:pPr>
          </w:p>
        </w:tc>
      </w:tr>
      <w:tr>
        <w:trPr>
          <w:trHeight w:val="26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on derivatives</w:t>
            </w: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494,885</w:t>
            </w: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1,136,860</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gains (losses) on debt securities, net</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(302,252)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952,365</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(323,532)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3,122,619</w:t>
            </w: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60" w:type="dxa"/>
            <w:vAlign w:val="bottom"/>
          </w:tcPr>
          <w:p>
            <w:pPr>
              <w:ind w:left="20"/>
              <w:spacing w:after="0"/>
              <w:rPr>
                <w:sz w:val="20"/>
                <w:szCs w:val="20"/>
                <w:color w:val="auto"/>
              </w:rPr>
            </w:pPr>
            <w:r>
              <w:rPr>
                <w:rFonts w:ascii="Arial" w:cs="Arial" w:eastAsia="Arial" w:hAnsi="Arial"/>
                <w:sz w:val="18"/>
                <w:szCs w:val="18"/>
                <w:color w:val="auto"/>
              </w:rPr>
              <w:t>Other comprehensive income, before tax</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(2,752,299)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2,942,460</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(1,080,353)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5,943,279</w:t>
            </w:r>
          </w:p>
        </w:tc>
        <w:tc>
          <w:tcPr>
            <w:tcW w:w="0" w:type="dxa"/>
            <w:vAlign w:val="bottom"/>
          </w:tcPr>
          <w:p>
            <w:pPr>
              <w:spacing w:after="0"/>
              <w:rPr>
                <w:sz w:val="1"/>
                <w:szCs w:val="1"/>
                <w:color w:val="auto"/>
              </w:rPr>
            </w:pPr>
          </w:p>
        </w:tc>
      </w:tr>
      <w:tr>
        <w:trPr>
          <w:trHeight w:val="277"/>
        </w:trPr>
        <w:tc>
          <w:tcPr>
            <w:tcW w:w="4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360" w:type="dxa"/>
            <w:vAlign w:val="bottom"/>
          </w:tcPr>
          <w:p>
            <w:pPr>
              <w:ind w:left="20"/>
              <w:spacing w:after="0" w:line="189" w:lineRule="exact"/>
              <w:rPr>
                <w:sz w:val="20"/>
                <w:szCs w:val="20"/>
                <w:color w:val="auto"/>
              </w:rPr>
            </w:pPr>
            <w:r>
              <w:rPr>
                <w:rFonts w:ascii="Arial" w:cs="Arial" w:eastAsia="Arial" w:hAnsi="Arial"/>
                <w:sz w:val="18"/>
                <w:szCs w:val="18"/>
                <w:color w:val="auto"/>
              </w:rPr>
              <w:t>Expense (Benefit) for income taxes related to</w:t>
            </w:r>
          </w:p>
        </w:tc>
        <w:tc>
          <w:tcPr>
            <w:tcW w:w="34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(60,206)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506,538</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(50,594)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1,490,818</w:t>
            </w:r>
          </w:p>
        </w:tc>
        <w:tc>
          <w:tcPr>
            <w:tcW w:w="0" w:type="dxa"/>
            <w:vAlign w:val="bottom"/>
          </w:tcPr>
          <w:p>
            <w:pPr>
              <w:spacing w:after="0"/>
              <w:rPr>
                <w:sz w:val="1"/>
                <w:szCs w:val="1"/>
                <w:color w:val="auto"/>
              </w:rPr>
            </w:pPr>
          </w:p>
        </w:tc>
      </w:tr>
      <w:tr>
        <w:trPr>
          <w:trHeight w:val="217"/>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components of other comprehensive income</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net of tax</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(2,692,093)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2,435,922</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(1,029,759)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4,452,461</w:t>
            </w: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106,331,889</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90,971,869</w:t>
            </w:r>
          </w:p>
        </w:tc>
        <w:tc>
          <w:tcPr>
            <w:tcW w:w="16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219,242,966</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190,545,149</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60"/>
          </w:cols>
          <w:pgMar w:left="300" w:top="1251" w:right="239" w:bottom="1440" w:gutter="0" w:footer="0" w:header="0"/>
        </w:sectPr>
      </w:pPr>
    </w:p>
    <w:bookmarkStart w:id="5" w:name="page6"/>
    <w:bookmarkEnd w:id="5"/>
    <w:p>
      <w:pPr>
        <w:jc w:val="center"/>
        <w:ind w:left="380" w:right="2300"/>
        <w:spacing w:after="0" w:line="456"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Six Months Ended June 30, 2018 and 2017</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2017</w:t>
            </w:r>
          </w:p>
        </w:tc>
      </w:tr>
      <w:tr>
        <w:trPr>
          <w:trHeight w:val="236"/>
        </w:trPr>
        <w:tc>
          <w:tcPr>
            <w:tcW w:w="744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6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220,272,725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186,092,688</w:t>
            </w: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6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55,908,679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50,428,320</w:t>
            </w: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Gain on disposal of assets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(130,647)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(83,667)</w:t>
            </w:r>
          </w:p>
        </w:tc>
      </w:tr>
      <w:tr>
        <w:trPr>
          <w:trHeight w:val="26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disposal of assets</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286,318</w:t>
            </w: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Gain on sale of investments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(1,245,359)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(876,496)</w:t>
            </w:r>
          </w:p>
        </w:tc>
      </w:tr>
      <w:tr>
        <w:trPr>
          <w:trHeight w:val="26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investments</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529,484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37,718</w:t>
            </w: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(2,743,537)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7,008,364</w:t>
            </w:r>
          </w:p>
        </w:tc>
      </w:tr>
      <w:tr>
        <w:trPr>
          <w:trHeight w:val="23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related to employee stock options, employee stock</w:t>
            </w: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and restricted stock</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8,652,939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9,114,708</w:t>
            </w:r>
          </w:p>
        </w:tc>
      </w:tr>
      <w:tr>
        <w:trPr>
          <w:trHeight w:val="27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4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(8,284,592)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(17,658,594)</w:t>
            </w:r>
          </w:p>
        </w:tc>
      </w:tr>
      <w:tr>
        <w:trPr>
          <w:trHeight w:val="26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4,389,930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(7,228,785)</w:t>
            </w: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(9,171,506)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16,812,179</w:t>
            </w:r>
          </w:p>
        </w:tc>
      </w:tr>
      <w:tr>
        <w:trPr>
          <w:trHeight w:val="26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16,885,979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2,957,299</w:t>
            </w:r>
          </w:p>
        </w:tc>
      </w:tr>
      <w:tr>
        <w:trPr>
          <w:trHeight w:val="25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liabilities, excluding dividends declared and short-term debt</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7,309,915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16,667,667</w:t>
            </w:r>
          </w:p>
        </w:tc>
      </w:tr>
      <w:tr>
        <w:trPr>
          <w:trHeight w:val="25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292,384,554</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263,557,719</w:t>
            </w:r>
          </w:p>
        </w:tc>
      </w:tr>
      <w:tr>
        <w:trPr>
          <w:trHeight w:val="162"/>
        </w:trPr>
        <w:tc>
          <w:tcPr>
            <w:tcW w:w="7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5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Activity in available-for-sale securities:</w:t>
            </w: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6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proceeds</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53,822,336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2,179,926</w:t>
            </w: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Maturities and calls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21,884,000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12,100,000</w:t>
            </w:r>
          </w:p>
        </w:tc>
      </w:tr>
      <w:tr>
        <w:trPr>
          <w:trHeight w:val="26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(177,243,275)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(17,216,593)</w:t>
            </w: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Plant and equipment additions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(51,860,448)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(56,218,870)</w:t>
            </w:r>
          </w:p>
        </w:tc>
      </w:tr>
      <w:tr>
        <w:trPr>
          <w:trHeight w:val="25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plant and equipment</w:t>
            </w: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179,700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89,701</w:t>
            </w:r>
          </w:p>
        </w:tc>
      </w:tr>
      <w:tr>
        <w:trPr>
          <w:trHeight w:val="27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(increase) in other assets</w:t>
            </w:r>
          </w:p>
        </w:tc>
        <w:tc>
          <w:tcPr>
            <w:tcW w:w="4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(2,965,781)</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1,783,574</w:t>
            </w:r>
          </w:p>
        </w:tc>
      </w:tr>
      <w:tr>
        <w:trPr>
          <w:trHeight w:val="244"/>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for investing activities</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(156,183,468)</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(57,282,262)</w:t>
            </w:r>
          </w:p>
        </w:tc>
      </w:tr>
      <w:tr>
        <w:trPr>
          <w:trHeight w:val="203"/>
        </w:trPr>
        <w:tc>
          <w:tcPr>
            <w:tcW w:w="7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7"/>
        </w:trPr>
        <w:tc>
          <w:tcPr>
            <w:tcW w:w="7440" w:type="dxa"/>
            <w:vAlign w:val="bottom"/>
          </w:tcPr>
          <w:p>
            <w:pPr>
              <w:ind w:left="20"/>
              <w:spacing w:after="0"/>
              <w:rPr>
                <w:sz w:val="20"/>
                <w:szCs w:val="20"/>
                <w:color w:val="auto"/>
              </w:rPr>
            </w:pPr>
            <w:r>
              <w:rPr>
                <w:rFonts w:ascii="Arial" w:cs="Arial" w:eastAsia="Arial" w:hAnsi="Arial"/>
                <w:sz w:val="18"/>
                <w:szCs w:val="18"/>
                <w:color w:val="auto"/>
              </w:rPr>
              <w:t>Repayment of debt</w:t>
            </w:r>
          </w:p>
        </w:tc>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(54,875,000)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(68,750,000)</w:t>
            </w:r>
          </w:p>
        </w:tc>
      </w:tr>
      <w:tr>
        <w:trPr>
          <w:trHeight w:val="263"/>
        </w:trPr>
        <w:tc>
          <w:tcPr>
            <w:tcW w:w="7440" w:type="dxa"/>
            <w:vAlign w:val="bottom"/>
          </w:tcPr>
          <w:p>
            <w:pPr>
              <w:ind w:left="20"/>
              <w:spacing w:after="0"/>
              <w:rPr>
                <w:sz w:val="20"/>
                <w:szCs w:val="20"/>
                <w:color w:val="auto"/>
              </w:rPr>
            </w:pPr>
            <w:r>
              <w:rPr>
                <w:rFonts w:ascii="Arial" w:cs="Arial" w:eastAsia="Arial" w:hAnsi="Arial"/>
                <w:sz w:val="18"/>
                <w:szCs w:val="18"/>
                <w:color w:val="auto"/>
              </w:rPr>
              <w:t>Issuance of common stock from stock plan transactions</w:t>
            </w:r>
          </w:p>
        </w:tc>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52,996,593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21,929,900</w:t>
            </w:r>
          </w:p>
        </w:tc>
      </w:tr>
      <w:tr>
        <w:trPr>
          <w:trHeight w:val="26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paid</w:t>
            </w: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(58,152,113)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(51,796,194)</w:t>
            </w: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(349,205,921)</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(73,556,886)</w:t>
            </w:r>
          </w:p>
        </w:tc>
      </w:tr>
      <w:tr>
        <w:trPr>
          <w:trHeight w:val="25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for financing activities</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(409,236,441)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(172,173,180)</w:t>
            </w:r>
          </w:p>
        </w:tc>
      </w:tr>
      <w:tr>
        <w:trPr>
          <w:trHeight w:val="203"/>
        </w:trPr>
        <w:tc>
          <w:tcPr>
            <w:tcW w:w="7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(273,035,355)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34,102,277</w:t>
            </w:r>
          </w:p>
        </w:tc>
      </w:tr>
      <w:tr>
        <w:trPr>
          <w:trHeight w:val="236"/>
        </w:trPr>
        <w:tc>
          <w:tcPr>
            <w:tcW w:w="744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r>
      <w:tr>
        <w:trPr>
          <w:trHeight w:val="244"/>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569,734,496</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546,477,075</w:t>
            </w:r>
          </w:p>
        </w:tc>
      </w:tr>
      <w:tr>
        <w:trPr>
          <w:trHeight w:val="257"/>
        </w:trPr>
        <w:tc>
          <w:tcPr>
            <w:tcW w:w="74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50"/>
        </w:trPr>
        <w:tc>
          <w:tcPr>
            <w:tcW w:w="744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296,699,141</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580,579,352</w:t>
            </w:r>
          </w:p>
        </w:tc>
      </w:tr>
      <w:tr>
        <w:trPr>
          <w:trHeight w:val="27"/>
        </w:trPr>
        <w:tc>
          <w:tcPr>
            <w:tcW w:w="74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420"/>
          </w:cols>
          <w:pgMar w:left="240" w:top="9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130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420"/>
          </w:cols>
          <w:pgMar w:left="240" w:top="927"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w:t>
      </w:r>
    </w:p>
    <w:p>
      <w:pPr>
        <w:spacing w:after="0" w:line="266"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2017 annual report on Form 10-K. In the opinion of management, the accompanying unaudited condensed consolidated financial statements contain all adjustments, consisting of only a normal and recurring nature, necessary to present fairly the financial position of the Company as of June 30, 2018, and the results of operations and cash flows for the interim periods presented.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(2) Adoption of New Accounting Pronouncements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New Accounting Pronouncements Adopted in Fiscal Year 2018</w:t>
      </w:r>
    </w:p>
    <w:p>
      <w:pPr>
        <w:spacing w:after="0" w:line="248" w:lineRule="exact"/>
        <w:rPr>
          <w:sz w:val="20"/>
          <w:szCs w:val="20"/>
          <w:color w:val="auto"/>
        </w:rPr>
      </w:pPr>
    </w:p>
    <w:p>
      <w:pPr>
        <w:ind w:left="660" w:right="2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Effective January 1, 2018, the Company adopted Accounting Standards Codification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using the modified retrospective method as applied to customer contracts that were not completed as January 1, 2018.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 result, financial information for reporting periods beginning after January 1, 2018 are presented under ASC 606, while comparative financial information has not been adjusted and continues to be reported in accordance with the Company’s historical accounting policy for revenue recognition prior to the adoption of ASC 606. This guidance supersedes nearly all existing revenue recognition guidance under US GAAP. The core principle of the guidance is that an entity should recognize revenue when it transfers promised goods or services to customers in an amount that reflects the consideration to which the company expects to be entitled in exchange for those goods or services. In addition, Accounting Standards Update ("ASU") 2014-09 requires certain additional disclosures around the nature, amount, timing, and uncertainty of revenues and cash flows arising from contracts with customers. The Company has documented its accounting policy for the new standard based on a detailed review of its business and contracts. Based on the new guidance, the Company continues to recognize revenue at a particular point in time for the majority of its contracts with customers, which is generally when products are either shipped or delivered, as customer contracts did not meet the criteria in ASC 606 for over-time revenue recognition, specifically the over-time revenue recognition criteria of creating an asset with no alternative use and having an enforceable right to payment for progress towards completion. Therefore, the adoption of ASC 606 did not have a material impact on the consolidated financial statements. The Company has expanded its consolidated financial statement disclosures in order to comply with the disclosure requirements of the ASU. See </w:t>
      </w:r>
      <w:hyperlink w:anchor="page18">
        <w:r>
          <w:rPr>
            <w:rFonts w:ascii="Arial" w:cs="Arial" w:eastAsia="Arial" w:hAnsi="Arial"/>
            <w:sz w:val="18"/>
            <w:szCs w:val="18"/>
            <w:u w:val="single" w:color="auto"/>
            <w:color w:val="0000FF"/>
          </w:rPr>
          <w:t>Note 14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Unaudited Condensed Consolidated Financial Statements for additional disclosures regarding the Company’s revenue.</w:t>
      </w:r>
    </w:p>
    <w:p>
      <w:pPr>
        <w:spacing w:after="0" w:line="235"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 xml:space="preserve">Effective January 1, 2018, the Company adopted ASU 2016-01, </w:t>
      </w:r>
      <w:r>
        <w:rPr>
          <w:rFonts w:ascii="Arial" w:cs="Arial" w:eastAsia="Arial" w:hAnsi="Arial"/>
          <w:sz w:val="18"/>
          <w:szCs w:val="18"/>
          <w:i w:val="1"/>
          <w:iCs w:val="1"/>
          <w:color w:val="auto"/>
        </w:rPr>
        <w:t>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w:t>
      </w:r>
      <w:r>
        <w:rPr>
          <w:rFonts w:ascii="Arial" w:cs="Arial" w:eastAsia="Arial" w:hAnsi="Arial"/>
          <w:sz w:val="18"/>
          <w:szCs w:val="18"/>
          <w:color w:val="auto"/>
        </w:rPr>
        <w:t>s. The standard amends various aspects of the recognition, measurement, presentation, and disclosure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The most significant impact to the Company's consolidated financial statements relates to the recognition and measurement of equity investments at fair value with changes recognized in net income. The amendment also updates certain presentation and disclosure requirements. The Company had a cumulative-effect adjustment in the first quarter of 2018 of</w:t>
      </w:r>
    </w:p>
    <w:p>
      <w:pPr>
        <w:spacing w:after="0" w:line="2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approximately $6.6 million related to the reclassification of the net unrealized gain on available-for-sale securities as of January 1, 2018 from other comprehensive income to retained earnings due to the adoption of this guidance.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New Accounting Pronouncements Not Yet Adopted</w:t>
      </w:r>
    </w:p>
    <w:p>
      <w:pPr>
        <w:spacing w:after="0" w:line="248"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provides guidance for lease accounting. The new guidance contained in the ASU stipulates that lessees will need to recognize a right-of-use asset</w:t>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82"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and a lease liability for substantially all leases (other than leases that meet the definition of a short-term lease). The liability will be equal to the present value of lease payments. Treatment in the consolidated statements of income will be similar to the current treatment of operating and capital leases. The new guidance is effective on a modified retrospective basis for the Company in the first quarter of its fiscal year ending December 31, 2019. The Company is currently in the process of evaluating the impact of adoption of this standard on its consolidated financial statements, including reviewing all of the available practical expedients for transition. Upon adoption, the Company does not anticipate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(3) Goodwill and Other Intangible Assets</w:t>
      </w:r>
    </w:p>
    <w:p>
      <w:pPr>
        <w:spacing w:after="0" w:line="266" w:lineRule="exact"/>
        <w:rPr>
          <w:sz w:val="20"/>
          <w:szCs w:val="20"/>
          <w:color w:val="auto"/>
        </w:rPr>
      </w:pPr>
    </w:p>
    <w:p>
      <w:pPr>
        <w:jc w:val="both"/>
        <w:ind w:left="660"/>
        <w:spacing w:after="0" w:line="229"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The carrying value of Goodwill as of December 31, 2017 and June 30, 2018 was $307.4 million.</w:t>
      </w:r>
    </w:p>
    <w:p>
      <w:pPr>
        <w:spacing w:after="0" w:line="257"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No such events or circumstances in the most recently completed quarter indicated the need for interim impairment testing.</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w:t>
      </w:r>
    </w:p>
    <w:p>
      <w:pPr>
        <w:spacing w:after="0" w:line="307"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294"/>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r>
      <w:tr>
        <w:trPr>
          <w:trHeight w:val="196"/>
        </w:trPr>
        <w:tc>
          <w:tcPr>
            <w:tcW w:w="410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Other Intangible Assets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Gross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Net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r>
      <w:tr>
        <w:trPr>
          <w:trHeight w:val="256"/>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36,040,373</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(19,806,969)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16,233,404</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various</w:t>
            </w:r>
          </w:p>
        </w:tc>
      </w:tr>
      <w:tr>
        <w:trPr>
          <w:trHeight w:val="270"/>
        </w:trPr>
        <w:tc>
          <w:tcPr>
            <w:tcW w:w="4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7"/>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7"/>
        </w:trPr>
        <w:tc>
          <w:tcPr>
            <w:tcW w:w="4100" w:type="dxa"/>
            <w:vAlign w:val="bottom"/>
          </w:tcPr>
          <w:p>
            <w:pPr>
              <w:ind w:left="18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Indefinite</w:t>
            </w:r>
          </w:p>
        </w:tc>
      </w:tr>
      <w:tr>
        <w:trPr>
          <w:trHeight w:val="257"/>
        </w:trPr>
        <w:tc>
          <w:tcPr>
            <w:tcW w:w="41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(71,250,000)</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108,750,000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r>
      <w:tr>
        <w:trPr>
          <w:trHeight w:val="257"/>
        </w:trPr>
        <w:tc>
          <w:tcPr>
            <w:tcW w:w="4100" w:type="dxa"/>
            <w:vAlign w:val="bottom"/>
          </w:tcPr>
          <w:p>
            <w:pPr>
              <w:ind w:left="180"/>
              <w:spacing w:after="0"/>
              <w:rPr>
                <w:sz w:val="20"/>
                <w:szCs w:val="20"/>
                <w:color w:val="auto"/>
              </w:rPr>
            </w:pPr>
            <w:r>
              <w:rPr>
                <w:rFonts w:ascii="Arial" w:cs="Arial" w:eastAsia="Arial" w:hAnsi="Arial"/>
                <w:sz w:val="18"/>
                <w:szCs w:val="18"/>
                <w:color w:val="auto"/>
              </w:rPr>
              <w:t>Existing Customer Platforms</w:t>
            </w:r>
          </w:p>
        </w:tc>
        <w:tc>
          <w:tcPr>
            <w:tcW w:w="3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(20,425,000)</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22,575,000</w:t>
            </w: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10 years</w:t>
            </w:r>
          </w:p>
        </w:tc>
      </w:tr>
      <w:tr>
        <w:trPr>
          <w:trHeight w:val="257"/>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Exclusive Licensing Agreement</w:t>
            </w:r>
          </w:p>
        </w:tc>
        <w:tc>
          <w:tcPr>
            <w:tcW w:w="3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r>
      <w:tr>
        <w:trPr>
          <w:trHeight w:val="250"/>
        </w:trPr>
        <w:tc>
          <w:tcPr>
            <w:tcW w:w="410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371,000,000</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(91,675,000)</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279,325,000</w:t>
            </w:r>
          </w:p>
        </w:tc>
        <w:tc>
          <w:tcPr>
            <w:tcW w:w="1120" w:type="dxa"/>
            <w:vAlign w:val="bottom"/>
          </w:tcPr>
          <w:p>
            <w:pPr>
              <w:spacing w:after="0"/>
              <w:rPr>
                <w:sz w:val="21"/>
                <w:szCs w:val="2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237"/>
        </w:trPr>
        <w:tc>
          <w:tcPr>
            <w:tcW w:w="4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50"/>
        </w:trPr>
        <w:tc>
          <w:tcPr>
            <w:tcW w:w="410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407,040,373</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(111,481,969)</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295,558,404</w:t>
            </w:r>
          </w:p>
        </w:tc>
        <w:tc>
          <w:tcPr>
            <w:tcW w:w="1120" w:type="dxa"/>
            <w:vAlign w:val="bottom"/>
          </w:tcPr>
          <w:p>
            <w:pPr>
              <w:spacing w:after="0"/>
              <w:rPr>
                <w:sz w:val="21"/>
                <w:szCs w:val="21"/>
                <w:color w:val="auto"/>
              </w:rPr>
            </w:pPr>
          </w:p>
        </w:tc>
      </w:tr>
      <w:tr>
        <w:trPr>
          <w:trHeight w:val="21"/>
        </w:trPr>
        <w:tc>
          <w:tcPr>
            <w:tcW w:w="4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8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130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420"/>
          </w:cols>
          <w:pgMar w:left="240" w:top="382"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w:t>
      </w:r>
    </w:p>
    <w:p>
      <w:pPr>
        <w:spacing w:after="0" w:line="307"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214"/>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Assumed Useful</w:t>
            </w:r>
          </w:p>
        </w:tc>
      </w:tr>
      <w:tr>
        <w:trPr>
          <w:trHeight w:val="196"/>
        </w:trPr>
        <w:tc>
          <w:tcPr>
            <w:tcW w:w="416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Other Intangible Assets</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Gross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Net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r>
      <w:tr>
        <w:trPr>
          <w:trHeight w:val="25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34,847,029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(18,943,554)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15,903,475</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various</w:t>
            </w:r>
          </w:p>
        </w:tc>
      </w:tr>
      <w:tr>
        <w:trPr>
          <w:trHeight w:val="270"/>
        </w:trPr>
        <w:tc>
          <w:tcPr>
            <w:tcW w:w="4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gridSpan w:val="2"/>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7"/>
        </w:trPr>
        <w:tc>
          <w:tcPr>
            <w:tcW w:w="416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r>
      <w:tr>
        <w:trPr>
          <w:trHeight w:val="257"/>
        </w:trPr>
        <w:tc>
          <w:tcPr>
            <w:tcW w:w="4160" w:type="dxa"/>
            <w:vAlign w:val="bottom"/>
          </w:tcPr>
          <w:p>
            <w:pPr>
              <w:ind w:left="2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(63,750,000)</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116,250,000</w:t>
            </w: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12 years</w:t>
            </w:r>
          </w:p>
        </w:tc>
      </w:tr>
      <w:tr>
        <w:trPr>
          <w:trHeight w:val="25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Customer Platforms</w:t>
            </w: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43,000,000</w:t>
            </w: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(18,275,000)</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24,725,000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r>
      <w:tr>
        <w:trPr>
          <w:trHeight w:val="25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Exclusive Licensing Agreement</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96,000,000</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96,000,000</w:t>
            </w:r>
          </w:p>
        </w:tc>
        <w:tc>
          <w:tcPr>
            <w:tcW w:w="12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8"/>
              </w:rPr>
              <w:t>Indefinite</w:t>
            </w:r>
          </w:p>
        </w:tc>
      </w:tr>
      <w:tr>
        <w:trPr>
          <w:trHeight w:val="282"/>
        </w:trPr>
        <w:tc>
          <w:tcPr>
            <w:tcW w:w="4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other identifiable intangible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371,000,000</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(82,025,000)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288,975,000</w:t>
            </w:r>
          </w:p>
        </w:tc>
        <w:tc>
          <w:tcPr>
            <w:tcW w:w="1220" w:type="dxa"/>
            <w:vAlign w:val="bottom"/>
            <w:tcBorders>
              <w:bottom w:val="single" w:sz="8" w:color="CCEEFF"/>
            </w:tcBorders>
            <w:shd w:val="clear" w:color="auto" w:fill="CCEEFF"/>
          </w:tcPr>
          <w:p>
            <w:pPr>
              <w:spacing w:after="0"/>
              <w:rPr>
                <w:sz w:val="24"/>
                <w:szCs w:val="24"/>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217"/>
        </w:trPr>
        <w:tc>
          <w:tcPr>
            <w:tcW w:w="4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r>
      <w:tr>
        <w:trPr>
          <w:trHeight w:val="275"/>
        </w:trPr>
        <w:tc>
          <w:tcPr>
            <w:tcW w:w="4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Patents &amp; Other Intangible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405,847,029</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(100,968,554)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304,878,475</w:t>
            </w:r>
          </w:p>
        </w:tc>
        <w:tc>
          <w:tcPr>
            <w:tcW w:w="1220" w:type="dxa"/>
            <w:vAlign w:val="bottom"/>
            <w:tcBorders>
              <w:bottom w:val="single" w:sz="8" w:color="CCEEFF"/>
            </w:tcBorders>
            <w:shd w:val="clear" w:color="auto" w:fill="CCEEFF"/>
          </w:tcPr>
          <w:p>
            <w:pPr>
              <w:spacing w:after="0"/>
              <w:rPr>
                <w:sz w:val="23"/>
                <w:szCs w:val="23"/>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Amortization expense on patents and intangible assets was approximately $5.6 million and $11.3 million during the three and six month periods ended June 30, 2018, respectively, compared to approximately $5.7 million and $11.3 million for the same periods ended June 30, 2017, respectively.</w:t>
      </w:r>
    </w:p>
    <w:p>
      <w:pPr>
        <w:spacing w:after="0" w:line="24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Excluding the impact of any future acquisitions, the Company continues to estimate amortization expense for each of the years ended December 31, 2018, 2019, 2020, 2021, and 2022 to be approximately $22 million annually.</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(4) Investments</w:t>
      </w:r>
    </w:p>
    <w:p>
      <w:pPr>
        <w:spacing w:after="0" w:line="144"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Company follows the provisions of ASC 820, “Fair Value Measurements and Disclosures”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about a company’s use of fair-value measurements, including the effect of such measurement on earnings. The cost of securities sold is based on the specific identification method.</w:t>
      </w:r>
    </w:p>
    <w:p>
      <w:pPr>
        <w:spacing w:after="0" w:line="14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Company’s investments in common stock are stated at fair value based on quoted market prices, and as such are classified as Level 1 assets. The Company determines the fair value of its government securities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37"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Company's certificates of deposit have remaining maturities of less than one year and are considered as Level 1 assets. These investments are carried at cost, which approximates fair value.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2017, the Company made technology investments in certain non-consolidated third-parties for</w:t>
      </w:r>
    </w:p>
    <w:p>
      <w:pPr>
        <w:spacing w:after="0" w:line="1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ownership interests of less than 20%</w:t>
      </w:r>
      <w:r>
        <w:rPr>
          <w:rFonts w:ascii="Arial" w:cs="Arial" w:eastAsia="Arial" w:hAnsi="Arial"/>
          <w:sz w:val="21"/>
          <w:szCs w:val="21"/>
          <w:color w:val="auto"/>
        </w:rPr>
        <w:t>.</w:t>
      </w:r>
      <w:r>
        <w:rPr>
          <w:rFonts w:ascii="Arial" w:cs="Arial" w:eastAsia="Arial" w:hAnsi="Arial"/>
          <w:sz w:val="18"/>
          <w:szCs w:val="18"/>
          <w:color w:val="auto"/>
        </w:rPr>
        <w:t xml:space="preserve"> These investments do not have readily determinable fair values, and the Company has not identified any observable events that would cause adjustment to date, and therefore these investments are held at cost at a total of $3.2 million as of June 30, 2018. These investments are classified within Long-Term Investments in the consolidated balance sheet.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Assets or liabilities that have recurring fair value measurements are shown below as of June 30, 2018 and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82" w:right="239" w:bottom="1440" w:gutter="0" w:footer="0" w:header="0"/>
        </w:sectPr>
      </w:pPr>
    </w:p>
    <w:bookmarkStart w:id="9" w:name="page10"/>
    <w:bookmarkEnd w:id="9"/>
    <w:p>
      <w:pPr>
        <w:jc w:val="center"/>
        <w:ind w:right="660"/>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234"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NOTES TO UNAUDITED CONDENSED CONSOLIDATED FINANCIAL STATEMENTS</w:t>
      </w:r>
    </w:p>
    <w:p>
      <w:pPr>
        <w:jc w:val="center"/>
        <w:ind w:right="6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gridSpan w:val="7"/>
          </w:tcPr>
          <w:p>
            <w:pPr>
              <w:ind w:left="52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rPr>
              <w:t>Quoted Prices in</w:t>
            </w:r>
          </w:p>
        </w:tc>
        <w:tc>
          <w:tcPr>
            <w:tcW w:w="220" w:type="dxa"/>
            <w:vAlign w:val="bottom"/>
          </w:tcPr>
          <w:p>
            <w:pPr>
              <w:spacing w:after="0"/>
              <w:rPr>
                <w:sz w:val="12"/>
                <w:szCs w:val="12"/>
                <w:color w:val="auto"/>
              </w:rPr>
            </w:pPr>
          </w:p>
        </w:tc>
        <w:tc>
          <w:tcPr>
            <w:tcW w:w="156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2"/>
                <w:szCs w:val="12"/>
                <w:color w:val="auto"/>
              </w:rPr>
            </w:pPr>
          </w:p>
        </w:tc>
        <w:tc>
          <w:tcPr>
            <w:tcW w:w="920" w:type="dxa"/>
            <w:vAlign w:val="bottom"/>
          </w:tcPr>
          <w:p>
            <w:pPr>
              <w:jc w:val="center"/>
              <w:ind w:right="54"/>
              <w:spacing w:after="0" w:line="148"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rPr>
              <w:t>Active Markets for</w:t>
            </w:r>
          </w:p>
        </w:tc>
        <w:tc>
          <w:tcPr>
            <w:tcW w:w="220" w:type="dxa"/>
            <w:vAlign w:val="bottom"/>
          </w:tcPr>
          <w:p>
            <w:pPr>
              <w:spacing w:after="0"/>
              <w:rPr>
                <w:sz w:val="11"/>
                <w:szCs w:val="11"/>
                <w:color w:val="auto"/>
              </w:rPr>
            </w:pPr>
          </w:p>
        </w:tc>
        <w:tc>
          <w:tcPr>
            <w:tcW w:w="156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rPr>
              <w:t>Other</w:t>
            </w:r>
          </w:p>
        </w:tc>
        <w:tc>
          <w:tcPr>
            <w:tcW w:w="10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Identical Assets</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Observable</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204"/>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6"/>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296,699,141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296,699,141</w:t>
            </w: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Certificate of Deposit</w:t>
            </w: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160,017,640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160,017,640</w:t>
            </w: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26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3,000,721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3,000,721</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Securities</w:t>
            </w: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6,691,825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6,691,825</w:t>
            </w: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260" w:type="dxa"/>
            <w:vAlign w:val="bottom"/>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1,310,620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1,310,620</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6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64,396,193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64,396,193</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Securities</w:t>
            </w: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55,897,881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55,897,881</w:t>
            </w: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260" w:type="dxa"/>
            <w:vAlign w:val="bottom"/>
          </w:tcPr>
          <w:p>
            <w:pPr>
              <w:ind w:left="340"/>
              <w:spacing w:after="0"/>
              <w:rPr>
                <w:sz w:val="20"/>
                <w:szCs w:val="20"/>
                <w:color w:val="auto"/>
              </w:rPr>
            </w:pPr>
            <w:r>
              <w:rPr>
                <w:rFonts w:ascii="Arial" w:cs="Arial" w:eastAsia="Arial" w:hAnsi="Arial"/>
                <w:sz w:val="18"/>
                <w:szCs w:val="18"/>
                <w:color w:val="auto"/>
              </w:rPr>
              <w:t>Common Stocks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Municipal Bonds</w:t>
            </w: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17,771,621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17,771,621</w:t>
            </w: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605,825,642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475,839,022</w:t>
            </w:r>
          </w:p>
        </w:tc>
        <w:tc>
          <w:tcPr>
            <w:tcW w:w="3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129,986,620</w:t>
            </w:r>
          </w:p>
        </w:tc>
        <w:tc>
          <w:tcPr>
            <w:tcW w:w="3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0" w:type="dxa"/>
            <w:vAlign w:val="bottom"/>
            <w:tcBorders>
              <w:bottom w:val="single" w:sz="8" w:color="auto"/>
            </w:tcBorders>
            <w:gridSpan w:val="7"/>
          </w:tcPr>
          <w:p>
            <w:pPr>
              <w:jc w:val="right"/>
              <w:ind w:right="594"/>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2"/>
                <w:szCs w:val="12"/>
                <w:color w:val="auto"/>
              </w:rPr>
            </w:pPr>
          </w:p>
        </w:tc>
        <w:tc>
          <w:tcPr>
            <w:tcW w:w="160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rPr>
              <w:t>Significant Other</w:t>
            </w:r>
          </w:p>
        </w:tc>
        <w:tc>
          <w:tcPr>
            <w:tcW w:w="140" w:type="dxa"/>
            <w:vAlign w:val="bottom"/>
          </w:tcPr>
          <w:p>
            <w:pPr>
              <w:spacing w:after="0"/>
              <w:rPr>
                <w:sz w:val="12"/>
                <w:szCs w:val="12"/>
                <w:color w:val="auto"/>
              </w:rPr>
            </w:pPr>
          </w:p>
        </w:tc>
        <w:tc>
          <w:tcPr>
            <w:tcW w:w="940" w:type="dxa"/>
            <w:vAlign w:val="bottom"/>
          </w:tcPr>
          <w:p>
            <w:pPr>
              <w:jc w:val="center"/>
              <w:ind w:right="34"/>
              <w:spacing w:after="0" w:line="148"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1"/>
                <w:szCs w:val="11"/>
                <w:color w:val="auto"/>
              </w:rPr>
            </w:pPr>
          </w:p>
        </w:tc>
        <w:tc>
          <w:tcPr>
            <w:tcW w:w="160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rPr>
              <w:t>Observable</w:t>
            </w:r>
          </w:p>
        </w:tc>
        <w:tc>
          <w:tcPr>
            <w:tcW w:w="10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3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Identical Assets</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9"/>
              </w:rPr>
              <w:t>Inputs</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04"/>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6"/>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569,734,496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569,734,496</w:t>
            </w: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Certificate of Deposit</w:t>
            </w: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130,000,000</w:t>
            </w: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tcPr>
          <w:p>
            <w:pPr>
              <w:ind w:left="340"/>
              <w:spacing w:after="0"/>
              <w:rPr>
                <w:sz w:val="20"/>
                <w:szCs w:val="20"/>
                <w:color w:val="auto"/>
              </w:rPr>
            </w:pPr>
            <w:r>
              <w:rPr>
                <w:rFonts w:ascii="Arial" w:cs="Arial" w:eastAsia="Arial" w:hAnsi="Arial"/>
                <w:sz w:val="18"/>
                <w:szCs w:val="18"/>
                <w:color w:val="auto"/>
              </w:rPr>
              <w:t>Government Securities</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9,011,130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9,011,130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Mutual Funds</w:t>
            </w: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393,581</w:t>
            </w: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12,944,999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12,944,999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188,344</w:t>
            </w: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3,018,720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3,018,720</w:t>
            </w: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tcPr>
          <w:p>
            <w:pPr>
              <w:ind w:left="340"/>
              <w:spacing w:after="0"/>
              <w:rPr>
                <w:sz w:val="20"/>
                <w:szCs w:val="20"/>
                <w:color w:val="auto"/>
              </w:rPr>
            </w:pPr>
            <w:r>
              <w:rPr>
                <w:rFonts w:ascii="Arial" w:cs="Arial" w:eastAsia="Arial" w:hAnsi="Arial"/>
                <w:sz w:val="18"/>
                <w:szCs w:val="18"/>
                <w:color w:val="auto"/>
              </w:rPr>
              <w:t>Common Stocks</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15,703,371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15,703,371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Mutual Funds</w:t>
            </w:r>
          </w:p>
        </w:tc>
        <w:tc>
          <w:tcPr>
            <w:tcW w:w="2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34,681,337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34,681,337</w:t>
            </w: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1,178,991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1,178,991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776,854,969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751,486,539</w:t>
            </w: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25,368,430</w:t>
            </w: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900" w:top="38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52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0760"/>
          </w:cols>
          <w:pgMar w:left="900" w:top="382" w:right="239" w:bottom="1440" w:gutter="0" w:footer="0" w:header="0"/>
          <w:type w:val="continuous"/>
        </w:sectPr>
      </w:pPr>
    </w:p>
    <w:bookmarkStart w:id="10" w:name="page11"/>
    <w:bookmarkEnd w:id="10"/>
    <w:p>
      <w:pPr>
        <w:jc w:val="center"/>
        <w:ind w:right="640"/>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23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UNAUDITED CONDENSED CONSOLIDATED FINANCIAL STATEMENTS</w:t>
      </w:r>
    </w:p>
    <w:p>
      <w:pPr>
        <w:jc w:val="center"/>
        <w:ind w:right="6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The amortized cost, unrealized gains and losses, and market value of investment securities are shown as of June 30, 2018, and December 31, 2017</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ind w:right="592"/>
              <w:spacing w:after="0"/>
              <w:rPr>
                <w:sz w:val="20"/>
                <w:szCs w:val="20"/>
                <w:color w:val="auto"/>
              </w:rPr>
            </w:pPr>
            <w:r>
              <w:rPr>
                <w:rFonts w:ascii="Arial" w:cs="Arial" w:eastAsia="Arial" w:hAnsi="Arial"/>
                <w:sz w:val="14"/>
                <w:szCs w:val="14"/>
                <w:b w:val="1"/>
                <w:bCs w:val="1"/>
                <w:color w:val="auto"/>
              </w:rPr>
              <w:t>Unrealized</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211"/>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243"/>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20" w:type="dxa"/>
            <w:vAlign w:val="bottom"/>
          </w:tcPr>
          <w:p>
            <w:pPr>
              <w:ind w:left="100"/>
              <w:spacing w:after="0"/>
              <w:rPr>
                <w:sz w:val="20"/>
                <w:szCs w:val="20"/>
                <w:color w:val="auto"/>
              </w:rPr>
            </w:pPr>
            <w:r>
              <w:rPr>
                <w:rFonts w:ascii="Arial" w:cs="Arial" w:eastAsia="Arial" w:hAnsi="Arial"/>
                <w:sz w:val="18"/>
                <w:szCs w:val="18"/>
                <w:color w:val="auto"/>
              </w:rPr>
              <w:t>Certificate of Deposit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160,003,990</w:t>
            </w:r>
          </w:p>
        </w:tc>
        <w:tc>
          <w:tcPr>
            <w:tcW w:w="100" w:type="dxa"/>
            <w:vAlign w:val="bottom"/>
          </w:tcPr>
          <w:p>
            <w:pPr>
              <w:spacing w:after="0"/>
              <w:rPr>
                <w:sz w:val="21"/>
                <w:szCs w:val="21"/>
                <w:color w:val="auto"/>
              </w:rPr>
            </w:pPr>
          </w:p>
        </w:tc>
        <w:tc>
          <w:tcPr>
            <w:tcW w:w="500" w:type="dxa"/>
            <w:vAlign w:val="bottom"/>
            <w:gridSpan w:val="2"/>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13,675</w:t>
            </w:r>
          </w:p>
        </w:tc>
        <w:tc>
          <w:tcPr>
            <w:tcW w:w="12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160,017,640</w:t>
            </w:r>
          </w:p>
        </w:tc>
        <w:tc>
          <w:tcPr>
            <w:tcW w:w="0" w:type="dxa"/>
            <w:vAlign w:val="bottom"/>
          </w:tcPr>
          <w:p>
            <w:pPr>
              <w:spacing w:after="0"/>
              <w:rPr>
                <w:sz w:val="1"/>
                <w:szCs w:val="1"/>
                <w:color w:val="auto"/>
              </w:rPr>
            </w:pPr>
          </w:p>
        </w:tc>
      </w:tr>
      <w:tr>
        <w:trPr>
          <w:trHeight w:val="263"/>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Government Securities</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6,693,257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6,691,825</w:t>
            </w:r>
          </w:p>
        </w:tc>
        <w:tc>
          <w:tcPr>
            <w:tcW w:w="0" w:type="dxa"/>
            <w:vAlign w:val="bottom"/>
          </w:tcPr>
          <w:p>
            <w:pPr>
              <w:spacing w:after="0"/>
              <w:rPr>
                <w:sz w:val="1"/>
                <w:szCs w:val="1"/>
                <w:color w:val="auto"/>
              </w:rPr>
            </w:pPr>
          </w:p>
        </w:tc>
      </w:tr>
      <w:tr>
        <w:trPr>
          <w:trHeight w:val="250"/>
        </w:trPr>
        <w:tc>
          <w:tcPr>
            <w:tcW w:w="372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3,011,806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(11,085)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3,000,721</w:t>
            </w:r>
          </w:p>
        </w:tc>
        <w:tc>
          <w:tcPr>
            <w:tcW w:w="0" w:type="dxa"/>
            <w:vAlign w:val="bottom"/>
          </w:tcPr>
          <w:p>
            <w:pPr>
              <w:spacing w:after="0"/>
              <w:rPr>
                <w:sz w:val="1"/>
                <w:szCs w:val="1"/>
                <w:color w:val="auto"/>
              </w:rPr>
            </w:pPr>
          </w:p>
        </w:tc>
      </w:tr>
      <w:tr>
        <w:trPr>
          <w:trHeight w:val="263"/>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1,310,620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1,310,620</w:t>
            </w:r>
          </w:p>
        </w:tc>
        <w:tc>
          <w:tcPr>
            <w:tcW w:w="0" w:type="dxa"/>
            <w:vAlign w:val="bottom"/>
          </w:tcPr>
          <w:p>
            <w:pPr>
              <w:spacing w:after="0"/>
              <w:rPr>
                <w:sz w:val="1"/>
                <w:szCs w:val="1"/>
                <w:color w:val="auto"/>
              </w:rPr>
            </w:pPr>
          </w:p>
        </w:tc>
      </w:tr>
      <w:tr>
        <w:trPr>
          <w:trHeight w:val="250"/>
        </w:trPr>
        <w:tc>
          <w:tcPr>
            <w:tcW w:w="37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64,584,256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(193,654)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64,396,193</w:t>
            </w:r>
          </w:p>
        </w:tc>
        <w:tc>
          <w:tcPr>
            <w:tcW w:w="0" w:type="dxa"/>
            <w:vAlign w:val="bottom"/>
          </w:tcPr>
          <w:p>
            <w:pPr>
              <w:spacing w:after="0"/>
              <w:rPr>
                <w:sz w:val="1"/>
                <w:szCs w:val="1"/>
                <w:color w:val="auto"/>
              </w:rPr>
            </w:pPr>
          </w:p>
        </w:tc>
      </w:tr>
      <w:tr>
        <w:trPr>
          <w:trHeight w:val="250"/>
        </w:trPr>
        <w:tc>
          <w:tcPr>
            <w:tcW w:w="3720" w:type="dxa"/>
            <w:vAlign w:val="bottom"/>
          </w:tcPr>
          <w:p>
            <w:pPr>
              <w:ind w:left="100"/>
              <w:spacing w:after="0"/>
              <w:rPr>
                <w:sz w:val="20"/>
                <w:szCs w:val="20"/>
                <w:color w:val="auto"/>
              </w:rPr>
            </w:pPr>
            <w:r>
              <w:rPr>
                <w:rFonts w:ascii="Arial" w:cs="Arial" w:eastAsia="Arial" w:hAnsi="Arial"/>
                <w:sz w:val="18"/>
                <w:szCs w:val="18"/>
                <w:color w:val="auto"/>
              </w:rPr>
              <w:t>Government Securities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55,912,057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22,868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(37,044)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55,897,881</w:t>
            </w:r>
          </w:p>
        </w:tc>
        <w:tc>
          <w:tcPr>
            <w:tcW w:w="0" w:type="dxa"/>
            <w:vAlign w:val="bottom"/>
          </w:tcPr>
          <w:p>
            <w:pPr>
              <w:spacing w:after="0"/>
              <w:rPr>
                <w:sz w:val="1"/>
                <w:szCs w:val="1"/>
                <w:color w:val="auto"/>
              </w:rPr>
            </w:pPr>
          </w:p>
        </w:tc>
      </w:tr>
      <w:tr>
        <w:trPr>
          <w:trHeight w:val="263"/>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Stocks</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Municipal Bonds</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17,842,453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(76,614)</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17,771,621</w:t>
            </w:r>
          </w:p>
        </w:tc>
        <w:tc>
          <w:tcPr>
            <w:tcW w:w="0" w:type="dxa"/>
            <w:vAlign w:val="bottom"/>
          </w:tcPr>
          <w:p>
            <w:pPr>
              <w:spacing w:after="0"/>
              <w:rPr>
                <w:sz w:val="1"/>
                <w:szCs w:val="1"/>
                <w:color w:val="auto"/>
              </w:rPr>
            </w:pPr>
          </w:p>
        </w:tc>
      </w:tr>
      <w:tr>
        <w:trPr>
          <w:trHeight w:val="28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309,398,439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48,196</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(320,134)</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309,126,501</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of December 31, 2017:</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3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jc w:val="right"/>
              <w:ind w:right="532"/>
              <w:spacing w:after="0"/>
              <w:rPr>
                <w:sz w:val="20"/>
                <w:szCs w:val="20"/>
                <w:color w:val="auto"/>
              </w:rPr>
            </w:pPr>
            <w:r>
              <w:rPr>
                <w:rFonts w:ascii="Arial" w:cs="Arial" w:eastAsia="Arial" w:hAnsi="Arial"/>
                <w:sz w:val="14"/>
                <w:szCs w:val="14"/>
                <w:b w:val="1"/>
                <w:bCs w:val="1"/>
                <w:color w:val="auto"/>
              </w:rPr>
              <w:t>Unrealized</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5"/>
          </w:tcPr>
          <w:p>
            <w:pPr>
              <w:ind w:left="30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8"/>
                <w:szCs w:val="18"/>
                <w:color w:val="auto"/>
              </w:rPr>
            </w:pPr>
          </w:p>
        </w:tc>
        <w:tc>
          <w:tcPr>
            <w:tcW w:w="1280" w:type="dxa"/>
            <w:vAlign w:val="bottom"/>
          </w:tcPr>
          <w:p>
            <w:pPr>
              <w:jc w:val="right"/>
              <w:ind w:right="211"/>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243"/>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20" w:type="dxa"/>
            <w:vAlign w:val="bottom"/>
          </w:tcPr>
          <w:p>
            <w:pPr>
              <w:ind w:left="100"/>
              <w:spacing w:after="0"/>
              <w:rPr>
                <w:sz w:val="20"/>
                <w:szCs w:val="20"/>
                <w:color w:val="auto"/>
              </w:rPr>
            </w:pPr>
            <w:r>
              <w:rPr>
                <w:rFonts w:ascii="Arial" w:cs="Arial" w:eastAsia="Arial" w:hAnsi="Arial"/>
                <w:sz w:val="18"/>
                <w:szCs w:val="18"/>
                <w:color w:val="auto"/>
              </w:rPr>
              <w:t>Certificate of Deposit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130,000,000</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130,000,000</w:t>
            </w:r>
          </w:p>
        </w:tc>
        <w:tc>
          <w:tcPr>
            <w:tcW w:w="0" w:type="dxa"/>
            <w:vAlign w:val="bottom"/>
          </w:tcPr>
          <w:p>
            <w:pPr>
              <w:spacing w:after="0"/>
              <w:rPr>
                <w:sz w:val="1"/>
                <w:szCs w:val="1"/>
                <w:color w:val="auto"/>
              </w:rPr>
            </w:pPr>
          </w:p>
        </w:tc>
      </w:tr>
      <w:tr>
        <w:trPr>
          <w:trHeight w:val="263"/>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Government Securities</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9,024,777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(13,647)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9,011,130</w:t>
            </w:r>
          </w:p>
        </w:tc>
        <w:tc>
          <w:tcPr>
            <w:tcW w:w="0" w:type="dxa"/>
            <w:vAlign w:val="bottom"/>
          </w:tcPr>
          <w:p>
            <w:pPr>
              <w:spacing w:after="0"/>
              <w:rPr>
                <w:sz w:val="1"/>
                <w:szCs w:val="1"/>
                <w:color w:val="auto"/>
              </w:rPr>
            </w:pPr>
          </w:p>
        </w:tc>
      </w:tr>
      <w:tr>
        <w:trPr>
          <w:trHeight w:val="250"/>
        </w:trPr>
        <w:tc>
          <w:tcPr>
            <w:tcW w:w="3720" w:type="dxa"/>
            <w:vAlign w:val="bottom"/>
          </w:tcPr>
          <w:p>
            <w:pPr>
              <w:ind w:left="100"/>
              <w:spacing w:after="0"/>
              <w:rPr>
                <w:sz w:val="20"/>
                <w:szCs w:val="20"/>
                <w:color w:val="auto"/>
              </w:rPr>
            </w:pPr>
            <w:r>
              <w:rPr>
                <w:rFonts w:ascii="Arial" w:cs="Arial" w:eastAsia="Arial" w:hAnsi="Arial"/>
                <w:sz w:val="18"/>
                <w:szCs w:val="18"/>
                <w:color w:val="auto"/>
              </w:rPr>
              <w:t>Mutual Funds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392,482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393,581</w:t>
            </w:r>
          </w:p>
        </w:tc>
        <w:tc>
          <w:tcPr>
            <w:tcW w:w="0" w:type="dxa"/>
            <w:vAlign w:val="bottom"/>
          </w:tcPr>
          <w:p>
            <w:pPr>
              <w:spacing w:after="0"/>
              <w:rPr>
                <w:sz w:val="1"/>
                <w:szCs w:val="1"/>
                <w:color w:val="auto"/>
              </w:rPr>
            </w:pPr>
          </w:p>
        </w:tc>
      </w:tr>
      <w:tr>
        <w:trPr>
          <w:trHeight w:val="263"/>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12,952,229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12,944,999</w:t>
            </w:r>
          </w:p>
        </w:tc>
        <w:tc>
          <w:tcPr>
            <w:tcW w:w="0" w:type="dxa"/>
            <w:vAlign w:val="bottom"/>
          </w:tcPr>
          <w:p>
            <w:pPr>
              <w:spacing w:after="0"/>
              <w:rPr>
                <w:sz w:val="1"/>
                <w:szCs w:val="1"/>
                <w:color w:val="auto"/>
              </w:rPr>
            </w:pPr>
          </w:p>
        </w:tc>
      </w:tr>
      <w:tr>
        <w:trPr>
          <w:trHeight w:val="250"/>
        </w:trPr>
        <w:tc>
          <w:tcPr>
            <w:tcW w:w="3720" w:type="dxa"/>
            <w:vAlign w:val="bottom"/>
          </w:tcPr>
          <w:p>
            <w:pPr>
              <w:ind w:left="1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188,344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188,344</w:t>
            </w:r>
          </w:p>
        </w:tc>
        <w:tc>
          <w:tcPr>
            <w:tcW w:w="0" w:type="dxa"/>
            <w:vAlign w:val="bottom"/>
          </w:tcPr>
          <w:p>
            <w:pPr>
              <w:spacing w:after="0"/>
              <w:rPr>
                <w:sz w:val="1"/>
                <w:szCs w:val="1"/>
                <w:color w:val="auto"/>
              </w:rPr>
            </w:pPr>
          </w:p>
        </w:tc>
      </w:tr>
      <w:tr>
        <w:trPr>
          <w:trHeight w:val="26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2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3,022,994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(4,274)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3,018,720</w:t>
            </w:r>
          </w:p>
        </w:tc>
        <w:tc>
          <w:tcPr>
            <w:tcW w:w="0" w:type="dxa"/>
            <w:vAlign w:val="bottom"/>
          </w:tcPr>
          <w:p>
            <w:pPr>
              <w:spacing w:after="0"/>
              <w:rPr>
                <w:sz w:val="1"/>
                <w:szCs w:val="1"/>
                <w:color w:val="auto"/>
              </w:rPr>
            </w:pPr>
          </w:p>
        </w:tc>
      </w:tr>
      <w:tr>
        <w:trPr>
          <w:trHeight w:val="263"/>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Stocks</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10,897,219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5,079,815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(273,663)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15,703,371</w:t>
            </w:r>
          </w:p>
        </w:tc>
        <w:tc>
          <w:tcPr>
            <w:tcW w:w="0" w:type="dxa"/>
            <w:vAlign w:val="bottom"/>
          </w:tcPr>
          <w:p>
            <w:pPr>
              <w:spacing w:after="0"/>
              <w:rPr>
                <w:sz w:val="1"/>
                <w:szCs w:val="1"/>
                <w:color w:val="auto"/>
              </w:rPr>
            </w:pPr>
          </w:p>
        </w:tc>
      </w:tr>
      <w:tr>
        <w:trPr>
          <w:trHeight w:val="250"/>
        </w:trPr>
        <w:tc>
          <w:tcPr>
            <w:tcW w:w="3720" w:type="dxa"/>
            <w:vAlign w:val="bottom"/>
          </w:tcPr>
          <w:p>
            <w:pPr>
              <w:ind w:left="100"/>
              <w:spacing w:after="0"/>
              <w:rPr>
                <w:sz w:val="20"/>
                <w:szCs w:val="20"/>
                <w:color w:val="auto"/>
              </w:rPr>
            </w:pPr>
            <w:r>
              <w:rPr>
                <w:rFonts w:ascii="Arial" w:cs="Arial" w:eastAsia="Arial" w:hAnsi="Arial"/>
                <w:sz w:val="18"/>
                <w:szCs w:val="18"/>
                <w:color w:val="auto"/>
              </w:rPr>
              <w:t>Mutual Funds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29,306,540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5,440,344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(65,547)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34,681,337</w:t>
            </w:r>
          </w:p>
        </w:tc>
        <w:tc>
          <w:tcPr>
            <w:tcW w:w="0" w:type="dxa"/>
            <w:vAlign w:val="bottom"/>
          </w:tcPr>
          <w:p>
            <w:pPr>
              <w:spacing w:after="0"/>
              <w:rPr>
                <w:sz w:val="1"/>
                <w:szCs w:val="1"/>
                <w:color w:val="auto"/>
              </w:rPr>
            </w:pPr>
          </w:p>
        </w:tc>
      </w:tr>
      <w:tr>
        <w:trPr>
          <w:trHeight w:val="257"/>
        </w:trPr>
        <w:tc>
          <w:tcPr>
            <w:tcW w:w="3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Preferred Stock</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1,141,458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40,533</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1,178,991</w:t>
            </w:r>
          </w:p>
        </w:tc>
        <w:tc>
          <w:tcPr>
            <w:tcW w:w="0" w:type="dxa"/>
            <w:vAlign w:val="bottom"/>
          </w:tcPr>
          <w:p>
            <w:pPr>
              <w:spacing w:after="0"/>
              <w:rPr>
                <w:sz w:val="1"/>
                <w:szCs w:val="1"/>
                <w:color w:val="auto"/>
              </w:rPr>
            </w:pPr>
          </w:p>
        </w:tc>
      </w:tr>
      <w:tr>
        <w:trPr>
          <w:trHeight w:val="277"/>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196,926,043</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10,562,267</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(367,837)</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207,120,473</w:t>
            </w:r>
          </w:p>
        </w:tc>
        <w:tc>
          <w:tcPr>
            <w:tcW w:w="0" w:type="dxa"/>
            <w:vAlign w:val="bottom"/>
          </w:tcPr>
          <w:p>
            <w:pPr>
              <w:spacing w:after="0"/>
              <w:rPr>
                <w:sz w:val="1"/>
                <w:szCs w:val="1"/>
                <w:color w:val="auto"/>
              </w:rPr>
            </w:pPr>
          </w:p>
        </w:tc>
      </w:tr>
      <w:tr>
        <w:trPr>
          <w:trHeight w:val="20"/>
        </w:trPr>
        <w:tc>
          <w:tcPr>
            <w:tcW w:w="384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800" w:type="dxa"/>
            <w:vAlign w:val="bottom"/>
            <w:gridSpan w:val="7"/>
          </w:tcPr>
          <w:p>
            <w:pPr>
              <w:spacing w:after="0"/>
              <w:rPr>
                <w:sz w:val="20"/>
                <w:szCs w:val="20"/>
                <w:color w:val="auto"/>
              </w:rPr>
            </w:pPr>
            <w:r>
              <w:rPr>
                <w:rFonts w:ascii="Arial" w:cs="Arial" w:eastAsia="Arial" w:hAnsi="Arial"/>
                <w:sz w:val="18"/>
                <w:szCs w:val="18"/>
                <w:color w:val="auto"/>
              </w:rPr>
              <w:t>Unrealized losses on investments as of June 30, 2018, are as follows: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3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Aggregate Unrealized Losses</w:t>
            </w:r>
          </w:p>
        </w:tc>
        <w:tc>
          <w:tcPr>
            <w:tcW w:w="100" w:type="dxa"/>
            <w:vAlign w:val="bottom"/>
            <w:tcBorders>
              <w:bottom w:val="single" w:sz="8" w:color="CCEEFF"/>
            </w:tcBorders>
          </w:tcPr>
          <w:p>
            <w:pPr>
              <w:spacing w:after="0"/>
              <w:rPr>
                <w:sz w:val="24"/>
                <w:szCs w:val="24"/>
                <w:color w:val="auto"/>
              </w:rPr>
            </w:pPr>
          </w:p>
        </w:tc>
        <w:tc>
          <w:tcPr>
            <w:tcW w:w="1980" w:type="dxa"/>
            <w:vAlign w:val="bottom"/>
            <w:tcBorders>
              <w:bottom w:val="single" w:sz="8" w:color="auto"/>
            </w:tcBorders>
            <w:gridSpan w:val="5"/>
          </w:tcPr>
          <w:p>
            <w:pPr>
              <w:jc w:val="right"/>
              <w:ind w:right="171"/>
              <w:spacing w:after="0"/>
              <w:rPr>
                <w:sz w:val="20"/>
                <w:szCs w:val="20"/>
                <w:color w:val="auto"/>
              </w:rPr>
            </w:pPr>
            <w:r>
              <w:rPr>
                <w:rFonts w:ascii="Arial" w:cs="Arial" w:eastAsia="Arial" w:hAnsi="Arial"/>
                <w:sz w:val="14"/>
                <w:szCs w:val="14"/>
                <w:b w:val="1"/>
                <w:bCs w:val="1"/>
                <w:color w:val="auto"/>
              </w:rPr>
              <w:t>Aggregate Fair Value</w:t>
            </w:r>
          </w:p>
        </w:tc>
        <w:tc>
          <w:tcPr>
            <w:tcW w:w="0" w:type="dxa"/>
            <w:vAlign w:val="bottom"/>
          </w:tcPr>
          <w:p>
            <w:pPr>
              <w:spacing w:after="0"/>
              <w:rPr>
                <w:sz w:val="1"/>
                <w:szCs w:val="1"/>
                <w:color w:val="auto"/>
              </w:rPr>
            </w:pPr>
          </w:p>
        </w:tc>
      </w:tr>
      <w:tr>
        <w:trPr>
          <w:trHeight w:val="25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320,134</w:t>
            </w:r>
          </w:p>
        </w:tc>
        <w:tc>
          <w:tcPr>
            <w:tcW w:w="480" w:type="dxa"/>
            <w:vAlign w:val="bottom"/>
            <w:gridSpan w:val="2"/>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118,370,168</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Greater than one year</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320,134</w:t>
            </w:r>
          </w:p>
        </w:tc>
        <w:tc>
          <w:tcPr>
            <w:tcW w:w="480" w:type="dxa"/>
            <w:vAlign w:val="bottom"/>
            <w:gridSpan w:val="2"/>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118,370,168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900" w:top="38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52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0760"/>
          </w:cols>
          <w:pgMar w:left="900" w:top="382"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Unrealized losses on investments as of December 31, 2017, are as follows:</w:t>
      </w:r>
    </w:p>
    <w:p>
      <w:pPr>
        <w:spacing w:after="0" w:line="307"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Unrealized Losses</w:t>
            </w:r>
          </w:p>
        </w:tc>
        <w:tc>
          <w:tcPr>
            <w:tcW w:w="200" w:type="dxa"/>
            <w:vAlign w:val="bottom"/>
          </w:tcPr>
          <w:p>
            <w:pPr>
              <w:spacing w:after="0"/>
              <w:rPr>
                <w:sz w:val="17"/>
                <w:szCs w:val="17"/>
                <w:color w:val="auto"/>
              </w:rPr>
            </w:pPr>
          </w:p>
        </w:tc>
        <w:tc>
          <w:tcPr>
            <w:tcW w:w="1780" w:type="dxa"/>
            <w:vAlign w:val="bottom"/>
          </w:tcPr>
          <w:p>
            <w:pPr>
              <w:jc w:val="right"/>
              <w:ind w:right="174"/>
              <w:spacing w:after="0"/>
              <w:rPr>
                <w:sz w:val="20"/>
                <w:szCs w:val="20"/>
                <w:color w:val="auto"/>
              </w:rPr>
            </w:pPr>
            <w:r>
              <w:rPr>
                <w:rFonts w:ascii="Arial" w:cs="Arial" w:eastAsia="Arial" w:hAnsi="Arial"/>
                <w:sz w:val="14"/>
                <w:szCs w:val="14"/>
                <w:b w:val="1"/>
                <w:bCs w:val="1"/>
                <w:color w:val="auto"/>
              </w:rPr>
              <w:t>Aggregate Fair Value</w:t>
            </w:r>
          </w:p>
        </w:tc>
      </w:tr>
      <w:tr>
        <w:trPr>
          <w:trHeight w:val="256"/>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263,655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31,223,557</w:t>
            </w:r>
          </w:p>
        </w:tc>
      </w:tr>
      <w:tr>
        <w:trPr>
          <w:trHeight w:val="25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Greater than one year</w:t>
            </w:r>
          </w:p>
        </w:tc>
        <w:tc>
          <w:tcPr>
            <w:tcW w:w="7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104,182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285,077</w:t>
            </w:r>
          </w:p>
        </w:tc>
      </w:tr>
      <w:tr>
        <w:trPr>
          <w:trHeight w:val="275"/>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31,508,634</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ASC 320, “Accounting for Certain Investments in Debt and Equity Securities”, as amended, provides guidance on determining when an investment is other than temporarily impaired. No investment losses were considered to be other than temporary during the periods presented. The Company has the intention and current ability to hold its debt investments until the amortized cost basis has been recovered.</w:t>
      </w: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Fixed income securities as of June 30, 2018 have contractual maturities as follows:</w:t>
      </w:r>
    </w:p>
    <w:p>
      <w:pPr>
        <w:spacing w:after="0" w:line="132"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169,743,770</w:t>
            </w: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color w:val="auto"/>
              </w:rPr>
              <w:t>Due between one and five years</w:t>
            </w:r>
          </w:p>
        </w:tc>
        <w:tc>
          <w:tcPr>
            <w:tcW w:w="5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128,436,685</w:t>
            </w:r>
          </w:p>
        </w:tc>
      </w:tr>
      <w:tr>
        <w:trPr>
          <w:trHeight w:val="257"/>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over five years</w:t>
            </w:r>
          </w:p>
        </w:tc>
        <w:tc>
          <w:tcPr>
            <w:tcW w:w="5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10,411,957</w:t>
            </w:r>
          </w:p>
        </w:tc>
      </w:tr>
      <w:tr>
        <w:trPr>
          <w:trHeight w:val="250"/>
        </w:trPr>
        <w:tc>
          <w:tcPr>
            <w:tcW w:w="806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308,592,412</w:t>
            </w:r>
          </w:p>
        </w:tc>
      </w:tr>
      <w:tr>
        <w:trPr>
          <w:trHeight w:val="27"/>
        </w:trPr>
        <w:tc>
          <w:tcPr>
            <w:tcW w:w="80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(5) Inventories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at the respective balance sheet dates:</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17"/>
                <w:szCs w:val="17"/>
                <w:color w:val="auto"/>
              </w:rPr>
            </w:pPr>
          </w:p>
        </w:tc>
        <w:tc>
          <w:tcPr>
            <w:tcW w:w="152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tcBorders>
              <w:top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131,274,227</w:t>
            </w:r>
          </w:p>
        </w:tc>
        <w:tc>
          <w:tcPr>
            <w:tcW w:w="120" w:type="dxa"/>
            <w:vAlign w:val="bottom"/>
            <w:tcBorders>
              <w:top w:val="single" w:sz="8" w:color="BFE4FF"/>
            </w:tcBorders>
            <w:shd w:val="clear" w:color="auto" w:fill="BFE4FF"/>
          </w:tcPr>
          <w:p>
            <w:pPr>
              <w:spacing w:after="0"/>
              <w:rPr>
                <w:sz w:val="22"/>
                <w:szCs w:val="22"/>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139,272,129</w:t>
            </w:r>
          </w:p>
        </w:tc>
      </w:tr>
      <w:tr>
        <w:trPr>
          <w:trHeight w:val="250"/>
        </w:trPr>
        <w:tc>
          <w:tcPr>
            <w:tcW w:w="6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31,221,874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30,481,192</w:t>
            </w:r>
          </w:p>
        </w:tc>
      </w:tr>
      <w:tr>
        <w:trPr>
          <w:trHeight w:val="26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49,879,554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47,012,262</w:t>
            </w:r>
          </w:p>
        </w:tc>
      </w:tr>
      <w:tr>
        <w:trPr>
          <w:trHeight w:val="244"/>
        </w:trPr>
        <w:tc>
          <w:tcPr>
            <w:tcW w:w="628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212,375,655</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216,765,583</w:t>
            </w: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8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(6) Earnings Per Share</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the numerators and denominators used in the calculation of basic and diluted earnings per share (EPS):</w:t>
      </w:r>
    </w:p>
    <w:p>
      <w:pPr>
        <w:spacing w:after="0" w:line="30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70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2"/>
        </w:trPr>
        <w:tc>
          <w:tcPr>
            <w:tcW w:w="38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Numerators:</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840" w:type="dxa"/>
            <w:vAlign w:val="bottom"/>
          </w:tcPr>
          <w:p>
            <w:pPr>
              <w:ind w:left="340"/>
              <w:spacing w:after="0" w:line="189" w:lineRule="exact"/>
              <w:rPr>
                <w:sz w:val="20"/>
                <w:szCs w:val="20"/>
                <w:color w:val="auto"/>
              </w:rPr>
            </w:pPr>
            <w:r>
              <w:rPr>
                <w:rFonts w:ascii="Arial" w:cs="Arial" w:eastAsia="Arial" w:hAnsi="Arial"/>
                <w:sz w:val="18"/>
                <w:szCs w:val="18"/>
                <w:color w:val="auto"/>
              </w:rPr>
              <w:t>Numerator for both basic and diluted EPS,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109,023,982</w:t>
            </w:r>
          </w:p>
        </w:tc>
        <w:tc>
          <w:tcPr>
            <w:tcW w:w="100" w:type="dxa"/>
            <w:vAlign w:val="bottom"/>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88,535,947</w:t>
            </w:r>
          </w:p>
        </w:tc>
        <w:tc>
          <w:tcPr>
            <w:tcW w:w="100" w:type="dxa"/>
            <w:vAlign w:val="bottom"/>
          </w:tcPr>
          <w:p>
            <w:pPr>
              <w:spacing w:after="0"/>
              <w:rPr>
                <w:sz w:val="16"/>
                <w:szCs w:val="16"/>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220,272,725</w:t>
            </w:r>
          </w:p>
        </w:tc>
        <w:tc>
          <w:tcPr>
            <w:tcW w:w="120" w:type="dxa"/>
            <w:vAlign w:val="bottom"/>
          </w:tcPr>
          <w:p>
            <w:pPr>
              <w:spacing w:after="0"/>
              <w:rPr>
                <w:sz w:val="16"/>
                <w:szCs w:val="16"/>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186,092,688</w:t>
            </w:r>
          </w:p>
        </w:tc>
        <w:tc>
          <w:tcPr>
            <w:tcW w:w="0" w:type="dxa"/>
            <w:vAlign w:val="bottom"/>
          </w:tcPr>
          <w:p>
            <w:pPr>
              <w:spacing w:after="0"/>
              <w:rPr>
                <w:sz w:val="1"/>
                <w:szCs w:val="1"/>
                <w:color w:val="auto"/>
              </w:rPr>
            </w:pPr>
          </w:p>
        </w:tc>
      </w:tr>
      <w:tr>
        <w:trPr>
          <w:trHeight w:val="217"/>
        </w:trPr>
        <w:tc>
          <w:tcPr>
            <w:tcW w:w="38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3840" w:type="dxa"/>
            <w:vAlign w:val="bottom"/>
          </w:tcPr>
          <w:p>
            <w:pPr>
              <w:ind w:left="340"/>
              <w:spacing w:after="0" w:line="189" w:lineRule="exact"/>
              <w:rPr>
                <w:sz w:val="20"/>
                <w:szCs w:val="20"/>
                <w:color w:val="auto"/>
              </w:rPr>
            </w:pPr>
            <w:r>
              <w:rPr>
                <w:rFonts w:ascii="Arial" w:cs="Arial" w:eastAsia="Arial" w:hAnsi="Arial"/>
                <w:sz w:val="18"/>
                <w:szCs w:val="18"/>
                <w:color w:val="auto"/>
              </w:rPr>
              <w:t>Denominator for basic EPS, weighted-</w:t>
            </w:r>
          </w:p>
        </w:tc>
        <w:tc>
          <w:tcPr>
            <w:tcW w:w="2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271,747,049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286,722,482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273,085,191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286,956,367</w:t>
            </w:r>
          </w:p>
        </w:tc>
        <w:tc>
          <w:tcPr>
            <w:tcW w:w="0" w:type="dxa"/>
            <w:vAlign w:val="bottom"/>
          </w:tcPr>
          <w:p>
            <w:pPr>
              <w:spacing w:after="0"/>
              <w:rPr>
                <w:sz w:val="1"/>
                <w:szCs w:val="1"/>
                <w:color w:val="auto"/>
              </w:rPr>
            </w:pPr>
          </w:p>
        </w:tc>
      </w:tr>
      <w:tr>
        <w:trPr>
          <w:trHeight w:val="217"/>
        </w:trPr>
        <w:tc>
          <w:tcPr>
            <w:tcW w:w="3840" w:type="dxa"/>
            <w:vAlign w:val="bottom"/>
          </w:tcPr>
          <w:p>
            <w:pPr>
              <w:ind w:left="340"/>
              <w:spacing w:after="0"/>
              <w:rPr>
                <w:sz w:val="20"/>
                <w:szCs w:val="20"/>
                <w:color w:val="auto"/>
              </w:rPr>
            </w:pPr>
            <w:r>
              <w:rPr>
                <w:rFonts w:ascii="Arial" w:cs="Arial" w:eastAsia="Arial" w:hAnsi="Arial"/>
                <w:sz w:val="18"/>
                <w:szCs w:val="18"/>
                <w:color w:val="auto"/>
              </w:rPr>
              <w:t>average shares outstanding</w:t>
            </w:r>
          </w:p>
        </w:tc>
        <w:tc>
          <w:tcPr>
            <w:tcW w:w="2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4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Potentially dilutive shares resulting from</w:t>
            </w:r>
          </w:p>
        </w:tc>
        <w:tc>
          <w:tcPr>
            <w:tcW w:w="26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2,375,449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3,120,420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2,575,227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3,581,875</w:t>
            </w: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plans</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840" w:type="dxa"/>
            <w:vAlign w:val="bottom"/>
          </w:tcPr>
          <w:p>
            <w:pPr>
              <w:ind w:left="340"/>
              <w:spacing w:after="0"/>
              <w:rPr>
                <w:sz w:val="20"/>
                <w:szCs w:val="20"/>
                <w:color w:val="auto"/>
              </w:rPr>
            </w:pPr>
            <w:r>
              <w:rPr>
                <w:rFonts w:ascii="Arial" w:cs="Arial" w:eastAsia="Arial" w:hAnsi="Arial"/>
                <w:sz w:val="18"/>
                <w:szCs w:val="18"/>
                <w:color w:val="auto"/>
              </w:rPr>
              <w:t>Denominator for diluted EPS</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274,122,498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289,842,902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275,660,418</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290,538,242</w:t>
            </w:r>
          </w:p>
        </w:tc>
        <w:tc>
          <w:tcPr>
            <w:tcW w:w="0" w:type="dxa"/>
            <w:vAlign w:val="bottom"/>
          </w:tcPr>
          <w:p>
            <w:pPr>
              <w:spacing w:after="0"/>
              <w:rPr>
                <w:sz w:val="1"/>
                <w:szCs w:val="1"/>
                <w:color w:val="auto"/>
              </w:rPr>
            </w:pPr>
          </w:p>
        </w:tc>
      </w:tr>
      <w:tr>
        <w:trPr>
          <w:trHeight w:val="21"/>
        </w:trPr>
        <w:tc>
          <w:tcPr>
            <w:tcW w:w="3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Shares related to stock plans not included in</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line="202" w:lineRule="exact"/>
              <w:rPr>
                <w:sz w:val="20"/>
                <w:szCs w:val="20"/>
                <w:color w:val="auto"/>
              </w:rPr>
            </w:pPr>
            <w:r>
              <w:rPr>
                <w:rFonts w:ascii="Arial" w:cs="Arial" w:eastAsia="Arial" w:hAnsi="Arial"/>
                <w:sz w:val="18"/>
                <w:szCs w:val="18"/>
                <w:color w:val="auto"/>
              </w:rPr>
              <w:t>diluted average common shares outstanding</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40" w:type="dxa"/>
            <w:vAlign w:val="bottom"/>
          </w:tcPr>
          <w:p>
            <w:pPr>
              <w:ind w:left="20"/>
              <w:spacing w:after="0"/>
              <w:rPr>
                <w:sz w:val="20"/>
                <w:szCs w:val="20"/>
                <w:color w:val="auto"/>
              </w:rPr>
            </w:pPr>
            <w:r>
              <w:rPr>
                <w:rFonts w:ascii="Arial" w:cs="Arial" w:eastAsia="Arial" w:hAnsi="Arial"/>
                <w:sz w:val="18"/>
                <w:szCs w:val="18"/>
                <w:color w:val="auto"/>
              </w:rPr>
              <w:t>because their effect would be anti-dilutive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873,937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109,597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(7) Stock-Based Compensation Plans</w:t>
      </w:r>
    </w:p>
    <w:p>
      <w:pPr>
        <w:spacing w:after="0" w:line="158"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As of June 30, 2018, the Company had four equity incentive plans which include two stock option plans, a restricted stock plan and an employee stock purchase plan. All plans and any prior material amendments thereto have previously been approved by shareholders. 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our consolidated financial statements in our Annual Report on Form 10-K for the calendar year ended December 31, 2017, for additional information related to these stock-based compensation plans.</w:t>
      </w:r>
    </w:p>
    <w:p>
      <w:pPr>
        <w:spacing w:after="0" w:line="13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recognized compensation expense for share-based payments of $4,465,634 and $8,366,949 for the three and six months ended June 30, 2018, respectively, and $3,406,371 and $6,890,611 for the three and six months ended June 30, 2017, respectively. Compensation cost for share based payment awards capitalized as part of inventory as of June 30, 2018 and June 30, 2017 was $299,227 and $225,613, respectively.</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Employee Stock Option Plan</w:t>
      </w:r>
    </w:p>
    <w:p>
      <w:pPr>
        <w:spacing w:after="0" w:line="158"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has an employee stock option plan covering 24,000,000 shares of common stock. The purpose of the plan is to provide an opportunity to use stock options as a means of recruiting new managerial and technical personnel and as a means for retaining certain employees of the Company by allowing them to purchase shares of common stock of the Corporation and thereby having an additional incentive to contribute to the prosperity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1180"/>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420"/>
          </w:cols>
          <w:pgMar w:left="240" w:top="382" w:right="239" w:bottom="1440" w:gutter="0" w:footer="0" w:header="0"/>
        </w:sectPr>
      </w:pPr>
    </w:p>
    <w:bookmarkStart w:id="13" w:name="page14"/>
    <w:bookmarkEnd w:id="13"/>
    <w:p>
      <w:pPr>
        <w:jc w:val="center"/>
        <w:ind w:right="636"/>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234" w:lineRule="exact"/>
        <w:rPr>
          <w:sz w:val="20"/>
          <w:szCs w:val="20"/>
          <w:color w:val="auto"/>
        </w:rPr>
      </w:pPr>
    </w:p>
    <w:p>
      <w:pPr>
        <w:jc w:val="center"/>
        <w:ind w:right="636"/>
        <w:spacing w:after="0"/>
        <w:rPr>
          <w:sz w:val="20"/>
          <w:szCs w:val="20"/>
          <w:color w:val="auto"/>
        </w:rPr>
      </w:pPr>
      <w:r>
        <w:rPr>
          <w:rFonts w:ascii="Arial" w:cs="Arial" w:eastAsia="Arial" w:hAnsi="Arial"/>
          <w:sz w:val="18"/>
          <w:szCs w:val="18"/>
          <w:color w:val="auto"/>
        </w:rPr>
        <w:t>NOTES TO UNAUDITED CONDENSED CONSOLIDATED FINANCIAL STATEMENTS</w:t>
      </w:r>
    </w:p>
    <w:p>
      <w:pPr>
        <w:jc w:val="center"/>
        <w:ind w:right="636"/>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
        <w:spacing w:after="0" w:line="262" w:lineRule="auto"/>
        <w:rPr>
          <w:sz w:val="20"/>
          <w:szCs w:val="20"/>
          <w:color w:val="auto"/>
        </w:rPr>
      </w:pPr>
      <w:r>
        <w:rPr>
          <w:rFonts w:ascii="Arial" w:cs="Arial" w:eastAsia="Arial" w:hAnsi="Arial"/>
          <w:sz w:val="18"/>
          <w:szCs w:val="18"/>
          <w:color w:val="auto"/>
        </w:rPr>
        <w:t>The fair value of each option grant in the employee stock option plan was estimated on the date of grant using the Black-Scholes option pricing model with the following weighted-average assumptions for the indicated periods:</w:t>
      </w:r>
    </w:p>
    <w:p>
      <w:pPr>
        <w:sectPr>
          <w:pgSz w:w="11900" w:h="16838" w:orient="portrait"/>
          <w:cols w:equalWidth="0" w:num="1">
            <w:col w:w="10764"/>
          </w:cols>
          <w:pgMar w:left="896" w:top="38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p>
      <w:pPr>
        <w:ind w:left="24"/>
        <w:spacing w:after="0" w:line="232" w:lineRule="auto"/>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p>
      <w:pPr>
        <w:ind w:left="24"/>
        <w:spacing w:after="0" w:line="233" w:lineRule="auto"/>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p>
      <w:pPr>
        <w:ind w:left="24"/>
        <w:spacing w:after="0" w:line="231" w:lineRule="auto"/>
        <w:rPr>
          <w:sz w:val="20"/>
          <w:szCs w:val="20"/>
          <w:color w:val="auto"/>
        </w:rPr>
      </w:pPr>
      <w:r>
        <w:rPr>
          <w:rFonts w:ascii="Arial" w:cs="Arial" w:eastAsia="Arial" w:hAnsi="Arial"/>
          <w:sz w:val="17"/>
          <w:szCs w:val="17"/>
          <w:color w:val="auto"/>
        </w:rPr>
        <w:t xml:space="preserve">Expected term of options (years) </w:t>
      </w:r>
      <w:r>
        <w:rPr>
          <w:rFonts w:ascii="Arial" w:cs="Arial" w:eastAsia="Arial" w:hAnsi="Arial"/>
          <w:sz w:val="22"/>
          <w:szCs w:val="22"/>
          <w:color w:val="auto"/>
          <w:vertAlign w:val="superscript"/>
        </w:rPr>
        <w:t>(4)</w:t>
      </w:r>
    </w:p>
    <w:p>
      <w:pPr>
        <w:ind w:left="24"/>
        <w:spacing w:after="0"/>
        <w:rPr>
          <w:sz w:val="20"/>
          <w:szCs w:val="20"/>
          <w:color w:val="auto"/>
        </w:rPr>
      </w:pPr>
      <w:r>
        <w:rPr>
          <w:rFonts w:ascii="Arial" w:cs="Arial" w:eastAsia="Arial" w:hAnsi="Arial"/>
          <w:sz w:val="17"/>
          <w:szCs w:val="17"/>
          <w:color w:val="auto"/>
        </w:rPr>
        <w:t>Weighted-avg. grant date fair value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10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 June 30,</w:t>
            </w:r>
          </w:p>
        </w:tc>
        <w:tc>
          <w:tcPr>
            <w:tcW w:w="3000" w:type="dxa"/>
            <w:vAlign w:val="bottom"/>
            <w:gridSpan w:val="3"/>
          </w:tcPr>
          <w:p>
            <w:pPr>
              <w:jc w:val="right"/>
              <w:ind w:right="493"/>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14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r>
      <w:tr>
        <w:trPr>
          <w:trHeight w:val="243"/>
        </w:trPr>
        <w:tc>
          <w:tcPr>
            <w:tcW w:w="1440" w:type="dxa"/>
            <w:vAlign w:val="bottom"/>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2.15 %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2.09 %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2.17 %</w:t>
            </w:r>
          </w:p>
        </w:tc>
      </w:tr>
      <w:tr>
        <w:trPr>
          <w:trHeight w:val="257"/>
        </w:trPr>
        <w:tc>
          <w:tcPr>
            <w:tcW w:w="1440" w:type="dxa"/>
            <w:vAlign w:val="bottom"/>
          </w:tcPr>
          <w:p>
            <w:pPr>
              <w:jc w:val="right"/>
              <w:spacing w:after="0"/>
              <w:rPr>
                <w:sz w:val="20"/>
                <w:szCs w:val="20"/>
                <w:color w:val="auto"/>
              </w:rPr>
            </w:pPr>
            <w:r>
              <w:rPr>
                <w:rFonts w:ascii="Arial" w:cs="Arial" w:eastAsia="Arial" w:hAnsi="Arial"/>
                <w:sz w:val="18"/>
                <w:szCs w:val="18"/>
                <w:color w:val="auto"/>
              </w:rPr>
              <w:t>23.27 %</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28.02 %</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26.68 %</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29.21 %</w:t>
            </w:r>
          </w:p>
        </w:tc>
      </w:tr>
      <w:tr>
        <w:trPr>
          <w:trHeight w:val="257"/>
        </w:trPr>
        <w:tc>
          <w:tcPr>
            <w:tcW w:w="1440" w:type="dxa"/>
            <w:vAlign w:val="bottom"/>
          </w:tcPr>
          <w:p>
            <w:pPr>
              <w:jc w:val="right"/>
              <w:spacing w:after="0"/>
              <w:rPr>
                <w:sz w:val="20"/>
                <w:szCs w:val="20"/>
                <w:color w:val="auto"/>
              </w:rPr>
            </w:pPr>
            <w:r>
              <w:rPr>
                <w:rFonts w:ascii="Arial" w:cs="Arial" w:eastAsia="Arial" w:hAnsi="Arial"/>
                <w:sz w:val="18"/>
                <w:szCs w:val="18"/>
                <w:color w:val="auto"/>
              </w:rPr>
              <w:t>2.73 %</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1.89 %</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2.83 %</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2.03 %</w:t>
            </w:r>
          </w:p>
        </w:tc>
      </w:tr>
      <w:tr>
        <w:trPr>
          <w:trHeight w:val="257"/>
        </w:trPr>
        <w:tc>
          <w:tcPr>
            <w:tcW w:w="144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57"/>
        </w:trPr>
        <w:tc>
          <w:tcPr>
            <w:tcW w:w="144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-814070</wp:posOffset>
            </wp:positionV>
            <wp:extent cx="631190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11900" cy="171450"/>
                    </a:xfrm>
                    <a:prstGeom prst="rect">
                      <a:avLst/>
                    </a:prstGeom>
                    <a:noFill/>
                  </pic:spPr>
                </pic:pic>
              </a:graphicData>
            </a:graphic>
          </wp:anchor>
        </w:drawing>
        <w:drawing>
          <wp:anchor simplePos="0" relativeHeight="251657728" behindDoc="1" locked="0" layoutInCell="0" allowOverlap="1">
            <wp:simplePos x="0" y="0"/>
            <wp:positionH relativeFrom="column">
              <wp:posOffset>-2440305</wp:posOffset>
            </wp:positionH>
            <wp:positionV relativeFrom="paragraph">
              <wp:posOffset>-479425</wp:posOffset>
            </wp:positionV>
            <wp:extent cx="631190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11900" cy="163195"/>
                    </a:xfrm>
                    <a:prstGeom prst="rect">
                      <a:avLst/>
                    </a:prstGeom>
                    <a:noFill/>
                  </pic:spPr>
                </pic:pic>
              </a:graphicData>
            </a:graphic>
          </wp:anchor>
        </w:drawing>
        <w:drawing>
          <wp:anchor simplePos="0" relativeHeight="251657728" behindDoc="1" locked="0" layoutInCell="0" allowOverlap="1">
            <wp:simplePos x="0" y="0"/>
            <wp:positionH relativeFrom="column">
              <wp:posOffset>-2440305</wp:posOffset>
            </wp:positionH>
            <wp:positionV relativeFrom="paragraph">
              <wp:posOffset>-153670</wp:posOffset>
            </wp:positionV>
            <wp:extent cx="631190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190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4" w:space="720"/>
            <w:col w:w="6920"/>
          </w:cols>
          <w:pgMar w:left="896" w:top="382" w:right="239" w:bottom="1440" w:gutter="0" w:footer="0" w:header="0"/>
          <w:type w:val="continuous"/>
        </w:sectPr>
      </w:pPr>
    </w:p>
    <w:p>
      <w:pPr>
        <w:spacing w:after="0" w:line="223" w:lineRule="exact"/>
        <w:rPr>
          <w:sz w:val="20"/>
          <w:szCs w:val="20"/>
          <w:color w:val="auto"/>
        </w:rPr>
      </w:pPr>
    </w:p>
    <w:p>
      <w:pPr>
        <w:ind w:left="164" w:hanging="164"/>
        <w:spacing w:after="0"/>
        <w:tabs>
          <w:tab w:leader="none" w:pos="164"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Company’s estimated cash dividend yield over the expected term of option grant.</w:t>
      </w:r>
    </w:p>
    <w:p>
      <w:pPr>
        <w:spacing w:after="0" w:line="1" w:lineRule="exact"/>
        <w:rPr>
          <w:rFonts w:ascii="Arial" w:cs="Arial" w:eastAsia="Arial" w:hAnsi="Arial"/>
          <w:sz w:val="14"/>
          <w:szCs w:val="14"/>
          <w:color w:val="auto"/>
        </w:rPr>
      </w:pPr>
    </w:p>
    <w:p>
      <w:pPr>
        <w:ind w:left="644" w:hanging="644"/>
        <w:spacing w:after="0" w:line="241" w:lineRule="auto"/>
        <w:tabs>
          <w:tab w:leader="none" w:pos="155" w:val="left"/>
        </w:tabs>
        <w:numPr>
          <w:ilvl w:val="0"/>
          <w:numId w:val="2"/>
        </w:numPr>
        <w:rPr>
          <w:rFonts w:ascii="Arial" w:cs="Arial" w:eastAsia="Arial" w:hAnsi="Arial"/>
          <w:sz w:val="14"/>
          <w:szCs w:val="14"/>
          <w:color w:val="auto"/>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ind w:left="164" w:hanging="164"/>
        <w:spacing w:after="0"/>
        <w:tabs>
          <w:tab w:leader="none" w:pos="164"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U.S. Treasury yield over the expected term of the option grant.</w:t>
      </w:r>
    </w:p>
    <w:p>
      <w:pPr>
        <w:spacing w:after="0" w:line="1" w:lineRule="exact"/>
        <w:rPr>
          <w:rFonts w:ascii="Arial" w:cs="Arial" w:eastAsia="Arial" w:hAnsi="Arial"/>
          <w:sz w:val="14"/>
          <w:szCs w:val="14"/>
          <w:color w:val="auto"/>
        </w:rPr>
      </w:pPr>
    </w:p>
    <w:p>
      <w:pPr>
        <w:ind w:left="644" w:right="20" w:hanging="644"/>
        <w:spacing w:after="0" w:line="258" w:lineRule="auto"/>
        <w:tabs>
          <w:tab w:leader="none" w:pos="182"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Under the employee stock option plan, the option exercise price equals the stock’s market price on date of grant. The options vest after</w:t>
      </w:r>
    </w:p>
    <w:p>
      <w:pPr>
        <w:spacing w:after="0" w:line="50" w:lineRule="exact"/>
        <w:rPr>
          <w:sz w:val="20"/>
          <w:szCs w:val="20"/>
          <w:color w:val="auto"/>
        </w:rPr>
      </w:pPr>
    </w:p>
    <w:p>
      <w:pPr>
        <w:jc w:val="both"/>
        <w:ind w:left="4"/>
        <w:spacing w:after="0" w:line="262" w:lineRule="auto"/>
        <w:rPr>
          <w:sz w:val="20"/>
          <w:szCs w:val="20"/>
          <w:color w:val="auto"/>
        </w:rPr>
      </w:pPr>
      <w:r>
        <w:rPr>
          <w:rFonts w:ascii="Arial" w:cs="Arial" w:eastAsia="Arial" w:hAnsi="Arial"/>
          <w:sz w:val="18"/>
          <w:szCs w:val="18"/>
          <w:color w:val="auto"/>
        </w:rPr>
        <w:t>one to five years, and expire after five to ten years. As of June 30, 2018, there was $10,140,213 of unrecognized compensation cost related to share-based payments which is expected to be recognized over the remaining vesting periods.</w:t>
      </w:r>
    </w:p>
    <w:p>
      <w:pPr>
        <w:spacing w:after="0" w:line="200" w:lineRule="exact"/>
        <w:rPr>
          <w:sz w:val="20"/>
          <w:szCs w:val="20"/>
          <w:color w:val="auto"/>
        </w:rPr>
      </w:pP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Non-employee Director Stock Option Plan</w:t>
      </w:r>
    </w:p>
    <w:p>
      <w:pPr>
        <w:spacing w:after="0" w:line="266"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The Company has a non-employee director stock option plan covering 1,000,000 shares of common stock. As of June 30, 2018, there was $198,044 of unrecognized compensation cost under the non-employee director plan related to share-based payments. The Company has granted options on 476,000 shares under the non-employee director plan through June 30, 2018. Under the non-employee director plan, the option exercise price equals the stock’s market price on the date of grant. The options vest after six months, and expire after ten years.</w:t>
      </w:r>
    </w:p>
    <w:p>
      <w:pPr>
        <w:spacing w:after="0" w:line="24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Employee Stock Purchase Plan</w:t>
      </w:r>
    </w:p>
    <w:p>
      <w:pPr>
        <w:spacing w:after="0" w:line="266"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color w:val="auto"/>
        </w:rPr>
        <w:t>The Company has an employee stock purchase plan covering 2,000,000 shares of common stock. Under the plan, the Company sells shares at 85% of the stock’s market price at date of purchase. Under ASC 718, the 15% discounted value is recognized as compensation expense. As of June 30, 2018, the Company has granted 863,395 shares under this plan.</w:t>
      </w:r>
    </w:p>
    <w:p>
      <w:pPr>
        <w:spacing w:after="0" w:line="2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Restricted Stock Plan</w:t>
      </w:r>
    </w:p>
    <w:p>
      <w:pPr>
        <w:spacing w:after="0" w:line="266" w:lineRule="exact"/>
        <w:rPr>
          <w:sz w:val="20"/>
          <w:szCs w:val="20"/>
          <w:color w:val="auto"/>
        </w:rPr>
      </w:pPr>
    </w:p>
    <w:p>
      <w:pPr>
        <w:jc w:val="both"/>
        <w:ind w:left="4"/>
        <w:spacing w:after="0" w:line="252" w:lineRule="auto"/>
        <w:rPr>
          <w:sz w:val="20"/>
          <w:szCs w:val="20"/>
          <w:color w:val="auto"/>
        </w:rPr>
      </w:pPr>
      <w:r>
        <w:rPr>
          <w:rFonts w:ascii="Arial" w:cs="Arial" w:eastAsia="Arial" w:hAnsi="Arial"/>
          <w:sz w:val="18"/>
          <w:szCs w:val="18"/>
          <w:color w:val="auto"/>
        </w:rPr>
        <w:t>The Company has a restricted stock plan covering 9,000,000 shares of common stock. The purpose of the restricted stock plan is to permit grants of shares, subject to restrictions, to employees of the Company as a means of retaining and rewarding them for performance and to increase their ownership in the Company. Shares awarded under the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the plan. As of June 30, 2018, the Company had unearned stock-based compensation of $32,362,619 associated with these restricted stock grants. The unearned stock-based compensation related to these grants is being amortized to compensation expense over the applicable restriction periods. Amortization expense from restricted stock</w:t>
      </w:r>
    </w:p>
    <w:p>
      <w:pPr>
        <w:spacing w:after="0" w:line="200" w:lineRule="exact"/>
        <w:rPr>
          <w:sz w:val="20"/>
          <w:szCs w:val="20"/>
          <w:color w:val="auto"/>
        </w:rPr>
      </w:pPr>
    </w:p>
    <w:p>
      <w:pPr>
        <w:spacing w:after="0" w:line="352" w:lineRule="exact"/>
        <w:rPr>
          <w:sz w:val="20"/>
          <w:szCs w:val="20"/>
          <w:color w:val="auto"/>
        </w:rPr>
      </w:pPr>
    </w:p>
    <w:p>
      <w:pPr>
        <w:ind w:left="10524"/>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0764"/>
          </w:cols>
          <w:pgMar w:left="896" w:top="382" w:right="2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grants in the three and six months ended June 30, 2018 was $2,189,938 and $3,832,998, respectively, and for the three and six months ended June 30, 2017 was $1,285,847 and $2,226,658, respectively.</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(8) Comprehensive Income</w:t>
      </w:r>
    </w:p>
    <w:p>
      <w:pPr>
        <w:spacing w:after="0" w:line="26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debt investments, foreign currency translation adjustments, and derivatives.</w:t>
      </w:r>
    </w:p>
    <w:p>
      <w:pPr>
        <w:spacing w:after="0" w:line="243"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The following table presents the net changes in the Company's accumulated other comprehensive income (loss) by component: (All amounts shown are net of tax).</w:t>
      </w:r>
    </w:p>
    <w:p>
      <w:pPr>
        <w:spacing w:after="0" w:line="2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2"/>
        </w:trPr>
        <w:tc>
          <w:tcPr>
            <w:tcW w:w="3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18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2,271,208</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(2,674,409)</w:t>
            </w:r>
          </w:p>
        </w:tc>
        <w:tc>
          <w:tcPr>
            <w:tcW w:w="3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645,030</w:t>
            </w:r>
          </w:p>
        </w:tc>
        <w:tc>
          <w:tcPr>
            <w:tcW w:w="3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(2,862,999)</w:t>
            </w:r>
          </w:p>
        </w:tc>
        <w:tc>
          <w:tcPr>
            <w:tcW w:w="0" w:type="dxa"/>
            <w:vAlign w:val="bottom"/>
          </w:tcPr>
          <w:p>
            <w:pPr>
              <w:spacing w:after="0"/>
              <w:rPr>
                <w:sz w:val="1"/>
                <w:szCs w:val="1"/>
                <w:color w:val="auto"/>
              </w:rPr>
            </w:pPr>
          </w:p>
        </w:tc>
      </w:tr>
      <w:tr>
        <w:trPr>
          <w:trHeight w:val="188"/>
        </w:trPr>
        <w:tc>
          <w:tcPr>
            <w:tcW w:w="35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Other Comprehensive (loss) income</w:t>
            </w:r>
          </w:p>
        </w:tc>
        <w:tc>
          <w:tcPr>
            <w:tcW w:w="3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(2,465,603)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1,495,210</w:t>
            </w: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(839,425)</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1,683,800</w:t>
            </w: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before reclassifications</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Net current-period change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(2,465,603)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1,495,210</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(839,425)</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1,683,800</w:t>
            </w:r>
          </w:p>
        </w:tc>
        <w:tc>
          <w:tcPr>
            <w:tcW w:w="0" w:type="dxa"/>
            <w:vAlign w:val="bottom"/>
          </w:tcPr>
          <w:p>
            <w:pPr>
              <w:spacing w:after="0"/>
              <w:rPr>
                <w:sz w:val="1"/>
                <w:szCs w:val="1"/>
                <w:color w:val="auto"/>
              </w:rPr>
            </w:pPr>
          </w:p>
        </w:tc>
      </w:tr>
      <w:tr>
        <w:trPr>
          <w:trHeight w:val="26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(194,395)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(1,179,199)</w:t>
            </w:r>
          </w:p>
        </w:tc>
        <w:tc>
          <w:tcPr>
            <w:tcW w:w="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(194,395)</w:t>
            </w:r>
          </w:p>
        </w:tc>
        <w:tc>
          <w:tcPr>
            <w:tcW w:w="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(1,179,199)</w:t>
            </w:r>
          </w:p>
        </w:tc>
        <w:tc>
          <w:tcPr>
            <w:tcW w:w="0" w:type="dxa"/>
            <w:vAlign w:val="bottom"/>
          </w:tcPr>
          <w:p>
            <w:pPr>
              <w:spacing w:after="0"/>
              <w:rPr>
                <w:sz w:val="1"/>
                <w:szCs w:val="1"/>
                <w:color w:val="auto"/>
              </w:rPr>
            </w:pPr>
          </w:p>
        </w:tc>
      </w:tr>
      <w:tr>
        <w:trPr>
          <w:trHeight w:val="188"/>
        </w:trPr>
        <w:tc>
          <w:tcPr>
            <w:tcW w:w="3580" w:type="dxa"/>
            <w:vAlign w:val="bottom"/>
          </w:tcPr>
          <w:p>
            <w:pPr>
              <w:ind w:left="20"/>
              <w:spacing w:after="0" w:line="189" w:lineRule="exact"/>
              <w:rPr>
                <w:sz w:val="20"/>
                <w:szCs w:val="20"/>
                <w:color w:val="auto"/>
              </w:rPr>
            </w:pPr>
            <w:r>
              <w:rPr>
                <w:rFonts w:ascii="Arial" w:cs="Arial" w:eastAsia="Arial" w:hAnsi="Arial"/>
                <w:sz w:val="18"/>
                <w:szCs w:val="18"/>
                <w:color w:val="auto"/>
              </w:rPr>
              <w:t>Unrealized gains (losses) on available-for-</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80" w:type="dxa"/>
            <w:vAlign w:val="bottom"/>
          </w:tcPr>
          <w:p>
            <w:pPr>
              <w:ind w:left="20"/>
              <w:spacing w:after="0"/>
              <w:rPr>
                <w:sz w:val="20"/>
                <w:szCs w:val="20"/>
                <w:color w:val="auto"/>
              </w:rPr>
            </w:pPr>
            <w:r>
              <w:rPr>
                <w:rFonts w:ascii="Arial" w:cs="Arial" w:eastAsia="Arial" w:hAnsi="Arial"/>
                <w:sz w:val="18"/>
                <w:szCs w:val="18"/>
                <w:color w:val="auto"/>
              </w:rPr>
              <w:t>sale debt securities: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beginning of period</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4,199,640</w:t>
            </w:r>
          </w:p>
        </w:tc>
        <w:tc>
          <w:tcPr>
            <w:tcW w:w="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(16,349)</w:t>
            </w:r>
          </w:p>
        </w:tc>
        <w:tc>
          <w:tcPr>
            <w:tcW w:w="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2,788,975</w:t>
            </w:r>
          </w:p>
        </w:tc>
        <w:tc>
          <w:tcPr>
            <w:tcW w:w="0" w:type="dxa"/>
            <w:vAlign w:val="bottom"/>
          </w:tcPr>
          <w:p>
            <w:pPr>
              <w:spacing w:after="0"/>
              <w:rPr>
                <w:sz w:val="1"/>
                <w:szCs w:val="1"/>
                <w:color w:val="auto"/>
              </w:rPr>
            </w:pPr>
          </w:p>
        </w:tc>
      </w:tr>
      <w:tr>
        <w:trPr>
          <w:trHeight w:val="188"/>
        </w:trPr>
        <w:tc>
          <w:tcPr>
            <w:tcW w:w="3580" w:type="dxa"/>
            <w:vAlign w:val="bottom"/>
          </w:tcPr>
          <w:p>
            <w:pPr>
              <w:ind w:left="180"/>
              <w:spacing w:after="0" w:line="189" w:lineRule="exact"/>
              <w:rPr>
                <w:sz w:val="20"/>
                <w:szCs w:val="20"/>
                <w:color w:val="auto"/>
              </w:rPr>
            </w:pPr>
            <w:r>
              <w:rPr>
                <w:rFonts w:ascii="Arial" w:cs="Arial" w:eastAsia="Arial" w:hAnsi="Arial"/>
                <w:sz w:val="18"/>
                <w:szCs w:val="18"/>
                <w:color w:val="auto"/>
              </w:rPr>
              <w:t>Other Comprehensive (loss) income</w:t>
            </w:r>
          </w:p>
        </w:tc>
        <w:tc>
          <w:tcPr>
            <w:tcW w:w="30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(238,555)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1,164,243</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309,951</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2,739,626</w:t>
            </w:r>
          </w:p>
        </w:tc>
        <w:tc>
          <w:tcPr>
            <w:tcW w:w="0" w:type="dxa"/>
            <w:vAlign w:val="bottom"/>
          </w:tcPr>
          <w:p>
            <w:pPr>
              <w:spacing w:after="0"/>
              <w:rPr>
                <w:sz w:val="1"/>
                <w:szCs w:val="1"/>
                <w:color w:val="auto"/>
              </w:rPr>
            </w:pPr>
          </w:p>
        </w:tc>
      </w:tr>
      <w:tr>
        <w:trPr>
          <w:trHeight w:val="217"/>
        </w:trPr>
        <w:tc>
          <w:tcPr>
            <w:tcW w:w="3580" w:type="dxa"/>
            <w:vAlign w:val="bottom"/>
          </w:tcPr>
          <w:p>
            <w:pPr>
              <w:ind w:left="180"/>
              <w:spacing w:after="0"/>
              <w:rPr>
                <w:sz w:val="20"/>
                <w:szCs w:val="20"/>
                <w:color w:val="auto"/>
              </w:rPr>
            </w:pPr>
            <w:r>
              <w:rPr>
                <w:rFonts w:ascii="Arial" w:cs="Arial" w:eastAsia="Arial" w:hAnsi="Arial"/>
                <w:sz w:val="18"/>
                <w:szCs w:val="18"/>
                <w:color w:val="auto"/>
              </w:rPr>
              <w:t>before reclassifications</w:t>
            </w:r>
          </w:p>
        </w:tc>
        <w:tc>
          <w:tcPr>
            <w:tcW w:w="3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5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Amounts reclassified from accumulated</w:t>
            </w:r>
          </w:p>
        </w:tc>
        <w:tc>
          <w:tcPr>
            <w:tcW w:w="3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(545,206)</w:t>
            </w: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(565,541)</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(709,924)</w:t>
            </w: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change</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(238,779)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619,037</w:t>
            </w:r>
          </w:p>
        </w:tc>
        <w:tc>
          <w:tcPr>
            <w:tcW w:w="3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(255,590)</w:t>
            </w:r>
          </w:p>
        </w:tc>
        <w:tc>
          <w:tcPr>
            <w:tcW w:w="3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2,029,702</w:t>
            </w:r>
          </w:p>
        </w:tc>
        <w:tc>
          <w:tcPr>
            <w:tcW w:w="0" w:type="dxa"/>
            <w:vAlign w:val="bottom"/>
          </w:tcPr>
          <w:p>
            <w:pPr>
              <w:spacing w:after="0"/>
              <w:rPr>
                <w:sz w:val="1"/>
                <w:szCs w:val="1"/>
                <w:color w:val="auto"/>
              </w:rPr>
            </w:pPr>
          </w:p>
        </w:tc>
      </w:tr>
      <w:tr>
        <w:trPr>
          <w:trHeight w:val="25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(271,939)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4,818,677</w:t>
            </w:r>
          </w:p>
        </w:tc>
        <w:tc>
          <w:tcPr>
            <w:tcW w:w="3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(271,939)</w:t>
            </w:r>
          </w:p>
        </w:tc>
        <w:tc>
          <w:tcPr>
            <w:tcW w:w="3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4,818,677</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Unrealized gains (losses) on derivatives: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beginning of period</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(779,997)</w:t>
            </w:r>
          </w:p>
        </w:tc>
        <w:tc>
          <w:tcPr>
            <w:tcW w:w="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(78,026)</w:t>
            </w:r>
          </w:p>
        </w:tc>
        <w:tc>
          <w:tcPr>
            <w:tcW w:w="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(1,197,281)</w:t>
            </w:r>
          </w:p>
        </w:tc>
        <w:tc>
          <w:tcPr>
            <w:tcW w:w="0" w:type="dxa"/>
            <w:vAlign w:val="bottom"/>
          </w:tcPr>
          <w:p>
            <w:pPr>
              <w:spacing w:after="0"/>
              <w:rPr>
                <w:sz w:val="1"/>
                <w:szCs w:val="1"/>
                <w:color w:val="auto"/>
              </w:rPr>
            </w:pPr>
          </w:p>
        </w:tc>
      </w:tr>
      <w:tr>
        <w:trPr>
          <w:trHeight w:val="188"/>
        </w:trPr>
        <w:tc>
          <w:tcPr>
            <w:tcW w:w="3580" w:type="dxa"/>
            <w:vAlign w:val="bottom"/>
          </w:tcPr>
          <w:p>
            <w:pPr>
              <w:ind w:left="180"/>
              <w:spacing w:after="0" w:line="189" w:lineRule="exact"/>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17,246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(23,617)</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60,419</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123,701</w:t>
            </w:r>
          </w:p>
        </w:tc>
        <w:tc>
          <w:tcPr>
            <w:tcW w:w="0" w:type="dxa"/>
            <w:vAlign w:val="bottom"/>
          </w:tcPr>
          <w:p>
            <w:pPr>
              <w:spacing w:after="0"/>
              <w:rPr>
                <w:sz w:val="1"/>
                <w:szCs w:val="1"/>
                <w:color w:val="auto"/>
              </w:rPr>
            </w:pPr>
          </w:p>
        </w:tc>
      </w:tr>
      <w:tr>
        <w:trPr>
          <w:trHeight w:val="217"/>
        </w:trPr>
        <w:tc>
          <w:tcPr>
            <w:tcW w:w="3580" w:type="dxa"/>
            <w:vAlign w:val="bottom"/>
          </w:tcPr>
          <w:p>
            <w:pPr>
              <w:ind w:left="180"/>
              <w:spacing w:after="0"/>
              <w:rPr>
                <w:sz w:val="20"/>
                <w:szCs w:val="20"/>
                <w:color w:val="auto"/>
              </w:rPr>
            </w:pPr>
            <w:r>
              <w:rPr>
                <w:rFonts w:ascii="Arial" w:cs="Arial" w:eastAsia="Arial" w:hAnsi="Arial"/>
                <w:sz w:val="18"/>
                <w:szCs w:val="18"/>
                <w:color w:val="auto"/>
              </w:rPr>
              <w:t>before reclassifications</w:t>
            </w:r>
          </w:p>
        </w:tc>
        <w:tc>
          <w:tcPr>
            <w:tcW w:w="3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5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Amounts reclassified from accumulated</w:t>
            </w:r>
          </w:p>
        </w:tc>
        <w:tc>
          <w:tcPr>
            <w:tcW w:w="3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345,292</w:t>
            </w: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615,258</w:t>
            </w: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change</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321,675</w:t>
            </w:r>
          </w:p>
        </w:tc>
        <w:tc>
          <w:tcPr>
            <w:tcW w:w="3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65,256</w:t>
            </w:r>
          </w:p>
        </w:tc>
        <w:tc>
          <w:tcPr>
            <w:tcW w:w="3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738,959</w:t>
            </w:r>
          </w:p>
        </w:tc>
        <w:tc>
          <w:tcPr>
            <w:tcW w:w="0" w:type="dxa"/>
            <w:vAlign w:val="bottom"/>
          </w:tcPr>
          <w:p>
            <w:pPr>
              <w:spacing w:after="0"/>
              <w:rPr>
                <w:sz w:val="1"/>
                <w:szCs w:val="1"/>
                <w:color w:val="auto"/>
              </w:rPr>
            </w:pPr>
          </w:p>
        </w:tc>
      </w:tr>
      <w:tr>
        <w:trPr>
          <w:trHeight w:val="25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(12,770)</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(458,322)</w:t>
            </w:r>
          </w:p>
        </w:tc>
        <w:tc>
          <w:tcPr>
            <w:tcW w:w="3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(12,770)</w:t>
            </w:r>
          </w:p>
        </w:tc>
        <w:tc>
          <w:tcPr>
            <w:tcW w:w="3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(458,322)</w:t>
            </w:r>
          </w:p>
        </w:tc>
        <w:tc>
          <w:tcPr>
            <w:tcW w:w="0" w:type="dxa"/>
            <w:vAlign w:val="bottom"/>
          </w:tcPr>
          <w:p>
            <w:pPr>
              <w:spacing w:after="0"/>
              <w:rPr>
                <w:sz w:val="1"/>
                <w:szCs w:val="1"/>
                <w:color w:val="auto"/>
              </w:rPr>
            </w:pPr>
          </w:p>
        </w:tc>
      </w:tr>
      <w:tr>
        <w:trPr>
          <w:trHeight w:val="95"/>
        </w:trPr>
        <w:tc>
          <w:tcPr>
            <w:tcW w:w="3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3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Accumulated other comprehensive (loss)</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(479,104)</w:t>
            </w:r>
          </w:p>
        </w:tc>
        <w:tc>
          <w:tcPr>
            <w:tcW w:w="12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3,181,156</w:t>
            </w:r>
          </w:p>
        </w:tc>
        <w:tc>
          <w:tcPr>
            <w:tcW w:w="3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(479,104)</w:t>
            </w:r>
          </w:p>
        </w:tc>
        <w:tc>
          <w:tcPr>
            <w:tcW w:w="34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3,181,156</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income, end of period</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8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180"/>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420"/>
          </w:cols>
          <w:pgMar w:left="240" w:top="382"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right="40"/>
        <w:spacing w:after="0" w:line="262" w:lineRule="auto"/>
        <w:rPr>
          <w:sz w:val="20"/>
          <w:szCs w:val="20"/>
          <w:color w:val="auto"/>
        </w:rPr>
      </w:pPr>
      <w:r>
        <w:rPr>
          <w:rFonts w:ascii="Arial" w:cs="Arial" w:eastAsia="Arial" w:hAnsi="Arial"/>
          <w:sz w:val="18"/>
          <w:szCs w:val="18"/>
          <w:color w:val="auto"/>
        </w:rPr>
        <w:t>The following table presents details of reclassifications out of accumulated other comprehensive income for the six months ended June 30, 2018 and 2017.</w:t>
      </w:r>
    </w:p>
    <w:p>
      <w:pPr>
        <w:spacing w:after="0" w:line="278"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Details about Accumulated Other</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162"/>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Statement of Consolidated</w:t>
            </w:r>
          </w:p>
        </w:tc>
        <w:tc>
          <w:tcPr>
            <w:tcW w:w="0" w:type="dxa"/>
            <w:vAlign w:val="bottom"/>
          </w:tcPr>
          <w:p>
            <w:pPr>
              <w:spacing w:after="0"/>
              <w:rPr>
                <w:sz w:val="1"/>
                <w:szCs w:val="1"/>
                <w:color w:val="auto"/>
              </w:rPr>
            </w:pPr>
          </w:p>
        </w:tc>
      </w:tr>
      <w:tr>
        <w:trPr>
          <w:trHeight w:val="196"/>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Components</w:t>
            </w:r>
          </w:p>
        </w:tc>
        <w:tc>
          <w:tcPr>
            <w:tcW w:w="180" w:type="dxa"/>
            <w:vAlign w:val="bottom"/>
          </w:tcPr>
          <w:p>
            <w:pPr>
              <w:spacing w:after="0"/>
              <w:rPr>
                <w:sz w:val="17"/>
                <w:szCs w:val="17"/>
                <w:color w:val="auto"/>
              </w:rPr>
            </w:pPr>
          </w:p>
        </w:tc>
        <w:tc>
          <w:tcPr>
            <w:tcW w:w="496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rPr>
              <w:t>Amounts Reclassified from Other Comprehensive Income</w:t>
            </w:r>
          </w:p>
        </w:tc>
        <w:tc>
          <w:tcPr>
            <w:tcW w:w="10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31"/>
        </w:trPr>
        <w:tc>
          <w:tcPr>
            <w:tcW w:w="2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60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Unrealized gains (losses) on</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available-for-sale debt securities</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600" w:type="dxa"/>
            <w:vAlign w:val="bottom"/>
            <w:gridSpan w:val="2"/>
          </w:tcPr>
          <w:p>
            <w:pPr>
              <w:ind w:left="20"/>
              <w:spacing w:after="0"/>
              <w:rPr>
                <w:sz w:val="20"/>
                <w:szCs w:val="20"/>
                <w:color w:val="auto"/>
              </w:rPr>
            </w:pPr>
            <w:r>
              <w:rPr>
                <w:rFonts w:ascii="Arial" w:cs="Arial" w:eastAsia="Arial" w:hAnsi="Arial"/>
                <w:sz w:val="16"/>
                <w:szCs w:val="16"/>
                <w:color w:val="auto"/>
              </w:rPr>
              <w:t>Realized gain on sale of securities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left="160"/>
              <w:spacing w:after="0"/>
              <w:rPr>
                <w:sz w:val="20"/>
                <w:szCs w:val="20"/>
                <w:color w:val="auto"/>
              </w:rPr>
            </w:pPr>
            <w:r>
              <w:rPr>
                <w:rFonts w:ascii="Arial" w:cs="Arial" w:eastAsia="Arial" w:hAnsi="Arial"/>
                <w:sz w:val="16"/>
                <w:szCs w:val="16"/>
                <w:color w:val="auto"/>
              </w:rPr>
              <w:t>838,778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715,875</w:t>
            </w:r>
          </w:p>
        </w:tc>
        <w:tc>
          <w:tcPr>
            <w:tcW w:w="3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1,092,191</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Arial" w:cs="Arial" w:eastAsia="Arial" w:hAnsi="Arial"/>
                <w:sz w:val="16"/>
                <w:szCs w:val="16"/>
                <w:color w:val="auto"/>
              </w:rPr>
              <w:t>Other income (loss), net</w:t>
            </w:r>
          </w:p>
        </w:tc>
        <w:tc>
          <w:tcPr>
            <w:tcW w:w="0" w:type="dxa"/>
            <w:vAlign w:val="bottom"/>
          </w:tcPr>
          <w:p>
            <w:pPr>
              <w:spacing w:after="0"/>
              <w:rPr>
                <w:sz w:val="1"/>
                <w:szCs w:val="1"/>
                <w:color w:val="auto"/>
              </w:rPr>
            </w:pPr>
          </w:p>
        </w:tc>
      </w:tr>
      <w:tr>
        <w:trPr>
          <w:trHeight w:val="246"/>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center"/>
              <w:ind w:left="140"/>
              <w:spacing w:after="0"/>
              <w:rPr>
                <w:sz w:val="20"/>
                <w:szCs w:val="20"/>
                <w:color w:val="auto"/>
              </w:rPr>
            </w:pPr>
            <w:r>
              <w:rPr>
                <w:rFonts w:ascii="Arial" w:cs="Arial" w:eastAsia="Arial" w:hAnsi="Arial"/>
                <w:sz w:val="16"/>
                <w:szCs w:val="16"/>
                <w:color w:val="auto"/>
              </w:rPr>
              <w:t>(293,572)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(150,334)</w:t>
            </w:r>
          </w:p>
        </w:tc>
        <w:tc>
          <w:tcPr>
            <w:tcW w:w="3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(382,267)</w:t>
            </w: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center"/>
              <w:ind w:left="160"/>
              <w:spacing w:after="0"/>
              <w:rPr>
                <w:sz w:val="20"/>
                <w:szCs w:val="20"/>
                <w:color w:val="auto"/>
              </w:rPr>
            </w:pPr>
            <w:r>
              <w:rPr>
                <w:rFonts w:ascii="Arial" w:cs="Arial" w:eastAsia="Arial" w:hAnsi="Arial"/>
                <w:sz w:val="16"/>
                <w:szCs w:val="16"/>
                <w:color w:val="auto"/>
              </w:rPr>
              <w:t>545,206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565,541</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709,924</w:t>
            </w:r>
          </w:p>
        </w:tc>
        <w:tc>
          <w:tcPr>
            <w:tcW w:w="10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00" w:type="dxa"/>
            <w:vAlign w:val="bottom"/>
            <w:gridSpan w:val="2"/>
          </w:tcPr>
          <w:p>
            <w:pPr>
              <w:ind w:left="20"/>
              <w:spacing w:after="0"/>
              <w:rPr>
                <w:sz w:val="20"/>
                <w:szCs w:val="20"/>
                <w:color w:val="auto"/>
              </w:rPr>
            </w:pPr>
            <w:r>
              <w:rPr>
                <w:rFonts w:ascii="Arial" w:cs="Arial" w:eastAsia="Arial" w:hAnsi="Arial"/>
                <w:sz w:val="16"/>
                <w:szCs w:val="16"/>
                <w:color w:val="auto"/>
              </w:rPr>
              <w:t>Unrealized gains (losses) on</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600" w:type="dxa"/>
            <w:vAlign w:val="bottom"/>
            <w:gridSpan w:val="2"/>
          </w:tcPr>
          <w:p>
            <w:pPr>
              <w:ind w:left="20"/>
              <w:spacing w:after="0"/>
              <w:rPr>
                <w:sz w:val="20"/>
                <w:szCs w:val="20"/>
                <w:color w:val="auto"/>
              </w:rPr>
            </w:pPr>
            <w:r>
              <w:rPr>
                <w:rFonts w:ascii="Arial" w:cs="Arial" w:eastAsia="Arial" w:hAnsi="Arial"/>
                <w:sz w:val="16"/>
                <w:szCs w:val="16"/>
                <w:color w:val="auto"/>
              </w:rPr>
              <w:t>derivatives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Realized gain (loss) on interest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6,275</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center"/>
              <w:ind w:left="140"/>
              <w:spacing w:after="0"/>
              <w:rPr>
                <w:sz w:val="20"/>
                <w:szCs w:val="20"/>
                <w:color w:val="auto"/>
              </w:rPr>
            </w:pPr>
            <w:r>
              <w:rPr>
                <w:rFonts w:ascii="Arial" w:cs="Arial" w:eastAsia="Arial" w:hAnsi="Arial"/>
                <w:sz w:val="16"/>
                <w:szCs w:val="16"/>
                <w:color w:val="auto"/>
              </w:rPr>
              <w:t>(531,219)</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(6,123)</w:t>
            </w:r>
          </w:p>
        </w:tc>
        <w:tc>
          <w:tcPr>
            <w:tcW w:w="3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ind w:left="180"/>
              <w:spacing w:after="0"/>
              <w:rPr>
                <w:sz w:val="20"/>
                <w:szCs w:val="20"/>
                <w:color w:val="auto"/>
              </w:rPr>
            </w:pPr>
            <w:r>
              <w:rPr>
                <w:rFonts w:ascii="Arial" w:cs="Arial" w:eastAsia="Arial" w:hAnsi="Arial"/>
                <w:sz w:val="16"/>
                <w:szCs w:val="16"/>
                <w:color w:val="auto"/>
              </w:rPr>
              <w:t>(946,552)</w:t>
            </w:r>
          </w:p>
        </w:tc>
        <w:tc>
          <w:tcPr>
            <w:tcW w:w="100" w:type="dxa"/>
            <w:vAlign w:val="bottom"/>
            <w:shd w:val="clear" w:color="auto" w:fill="CCEEFF"/>
          </w:tcPr>
          <w:p>
            <w:pPr>
              <w:spacing w:after="0"/>
              <w:rPr>
                <w:sz w:val="16"/>
                <w:szCs w:val="16"/>
                <w:color w:val="auto"/>
              </w:rPr>
            </w:pPr>
          </w:p>
        </w:tc>
        <w:tc>
          <w:tcPr>
            <w:tcW w:w="2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Other income (loss), net</w:t>
            </w:r>
          </w:p>
        </w:tc>
        <w:tc>
          <w:tcPr>
            <w:tcW w:w="0" w:type="dxa"/>
            <w:vAlign w:val="bottom"/>
          </w:tcPr>
          <w:p>
            <w:pPr>
              <w:spacing w:after="0"/>
              <w:rPr>
                <w:sz w:val="1"/>
                <w:szCs w:val="1"/>
                <w:color w:val="auto"/>
              </w:rPr>
            </w:pPr>
          </w:p>
        </w:tc>
      </w:tr>
      <w:tr>
        <w:trPr>
          <w:trHeight w:val="201"/>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rate swap</w:t>
            </w:r>
          </w:p>
        </w:tc>
        <w:tc>
          <w:tcPr>
            <w:tcW w:w="18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left="160"/>
              <w:spacing w:after="0"/>
              <w:rPr>
                <w:sz w:val="20"/>
                <w:szCs w:val="20"/>
                <w:color w:val="auto"/>
              </w:rPr>
            </w:pPr>
            <w:r>
              <w:rPr>
                <w:rFonts w:ascii="Arial" w:cs="Arial" w:eastAsia="Arial" w:hAnsi="Arial"/>
                <w:sz w:val="16"/>
                <w:szCs w:val="16"/>
                <w:color w:val="auto"/>
              </w:rPr>
              <w:t>185,927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331,294</w:t>
            </w:r>
          </w:p>
        </w:tc>
        <w:tc>
          <w:tcPr>
            <w:tcW w:w="10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0" w:type="dxa"/>
            <w:vAlign w:val="bottom"/>
          </w:tcPr>
          <w:p>
            <w:pPr>
              <w:spacing w:after="0"/>
              <w:rPr>
                <w:sz w:val="1"/>
                <w:szCs w:val="1"/>
                <w:color w:val="auto"/>
              </w:rPr>
            </w:pPr>
          </w:p>
        </w:tc>
      </w:tr>
      <w:tr>
        <w:trPr>
          <w:trHeight w:val="237"/>
        </w:trPr>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4,957</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center"/>
              <w:ind w:left="140"/>
              <w:spacing w:after="0"/>
              <w:rPr>
                <w:sz w:val="20"/>
                <w:szCs w:val="20"/>
                <w:color w:val="auto"/>
              </w:rPr>
            </w:pPr>
            <w:r>
              <w:rPr>
                <w:rFonts w:ascii="Arial" w:cs="Arial" w:eastAsia="Arial" w:hAnsi="Arial"/>
                <w:sz w:val="16"/>
                <w:szCs w:val="16"/>
                <w:color w:val="auto"/>
              </w:rPr>
              <w:t>(345,292)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(4,837)</w:t>
            </w:r>
          </w:p>
        </w:tc>
        <w:tc>
          <w:tcPr>
            <w:tcW w:w="3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(615,258)</w:t>
            </w: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3"/>
        </w:trPr>
        <w:tc>
          <w:tcPr>
            <w:tcW w:w="2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net reclassifications for the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5,181</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center"/>
              <w:ind w:left="160"/>
              <w:spacing w:after="0"/>
              <w:rPr>
                <w:sz w:val="20"/>
                <w:szCs w:val="20"/>
                <w:color w:val="auto"/>
              </w:rPr>
            </w:pPr>
            <w:r>
              <w:rPr>
                <w:rFonts w:ascii="Arial" w:cs="Arial" w:eastAsia="Arial" w:hAnsi="Arial"/>
                <w:sz w:val="16"/>
                <w:szCs w:val="16"/>
                <w:color w:val="auto"/>
              </w:rPr>
              <w:t>199,914</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560,704</w:t>
            </w:r>
          </w:p>
        </w:tc>
        <w:tc>
          <w:tcPr>
            <w:tcW w:w="3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94,666</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(9) Debt and Financing Arrangements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27, 2013, the Company entered into a Credit Agreement (“Credit Agreement”) with certain banks and agents.</w:t>
      </w:r>
    </w:p>
    <w:p>
      <w:pPr>
        <w:spacing w:after="0" w:line="266"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Pursuant to the Credit Agreement, the Company is the borrower under a $ 150 million senior revolving credit facility (“Revolver”) and a $150 million term loan facility (“Term Loan”). Under the terms of the Credit Agreement, the Company is entitled, to further request an additional aggregate principal amount of up to $75 million, subject to the satisfaction of certain conditions. In addition, the Company is entitled to the benefit of swing loans from amounts otherwise available under the Revolver in the aggregate principal amount of up to $20 million and to request Letters of Credit from amounts otherwise available under the Revolver in the aggregate principle amount up to $20 million, both subject to certain conditions. The obligations of the Company under the Credit Agreement are not secured, but are subject to certain covenants. The Revolver expires and the Term Loan matures on September 27, 2018.</w:t>
      </w:r>
    </w:p>
    <w:p>
      <w:pPr>
        <w:spacing w:after="0" w:line="248"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During the three and six months ended June 30, 2018, the Company made principal repayments of $26.9 million and $54.9 million, respectively, plus accrued interest, on the Term Loan and Revolver. The aforementioned payments include a payment made by the Company of $25.0 million on the Term Loan during the second quarter of 2018, which was in addition to scheduled amounts due. The Company used cash and cash equivalents to fund the payments. As of June 30, 2018, there was no outstanding balance on the Revolver. Under current terms of the Term Loan, the Company is required to make principal repayments of $7.5 million annually. As of June 30, 2018, $23.1 million was outstanding under the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8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2"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As of June 30, 2018, the borrowing rate on both its Term Loan and Revolver are derived from the one month LIBOR, and based on the Company's leverage ratio as of June 30, 2018 the interest rate on its borrowings is equal to 3.10%. Interest expense is netted within the "Other, net" section of the Condensed Consolidated Statements of Income, and interest expense associated with the Term Loan and Revolver was $0.3 million and $ 0.8 million during the three and six months ended June 30, 2018, respectively, and $0.7 million and $1.6 million during the three and six months ended June 30, 2017, respectively.</w:t>
      </w:r>
    </w:p>
    <w:p>
      <w:pPr>
        <w:spacing w:after="0" w:line="24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Credit Agreement contains customary representations and warranties and certain covenants that place certain limitations on the Company.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 the Company was in compliance with its covenants under the Credit Agreement.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(10) Equity</w:t>
      </w:r>
    </w:p>
    <w:p>
      <w:pPr>
        <w:spacing w:after="0" w:line="266"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decrease in common stock during the six months ended June 30, 2018, was primarily due to the repurchases of 15.6 million shares, of which 10.1 million shares were acquired pursuant to the Company's previously announced share repurchase plan. In addition, 5.5 million shares were repurchased from the former CEO and subsequently retired, pursuant to his previously disclosed retirement agreement, at a price of $20.98 per share. As previously announced, these share repurchases were separately approved by the Company's Board of Directors and were not repurchased as part of the Company’s existing share repurchase plan. The share repurchases for the first six months of 2018 were partially offset by the issuance of 4.2 million shares of the Company’s common stock under the Company’s stock-based compensation plans. The total net decrease was 11.4 million shares.</w:t>
      </w:r>
    </w:p>
    <w:p>
      <w:pPr>
        <w:spacing w:after="0" w:line="248"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announced a $0.01 per share increase in its quarterly cash dividend rate during the first quarter of 2018. As such, the Company recorded a cash dividend of $0.11 during the second quarter of 2018 as compared to a cash dividend of $0.10 per share during the second quarter of 2017. The second quarter 2018 dividend of $29.6 million was declared on May 24, 2018, and was paid on July 18, 2018.</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(11) Contingencies</w:t>
      </w:r>
    </w:p>
    <w:p>
      <w:pPr>
        <w:spacing w:after="0" w:line="158"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8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(12) Segment Reporting</w:t>
      </w:r>
    </w:p>
    <w:p>
      <w:pPr>
        <w:spacing w:after="0" w:line="26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Company's automotive segment develops and manufactures electro-optic products and electronics, including: automatic-dimming rearview mirrors with and without electronic features; non-auto dimming rearview mirrors with and without electronic features; and other electronics. The Company also develops and manufactures variably dimming windows for the aerospace industry and fire protection products for the commercial construction industry, which are combined into the "Other" segment shown below.</w:t>
      </w:r>
    </w:p>
    <w:p>
      <w:pPr>
        <w:spacing w:after="0" w:line="286"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306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r>
      <w:tr>
        <w:trPr>
          <w:trHeight w:val="222"/>
        </w:trPr>
        <w:tc>
          <w:tcPr>
            <w:tcW w:w="2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4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0"/>
        </w:trPr>
        <w:tc>
          <w:tcPr>
            <w:tcW w:w="2980" w:type="dxa"/>
            <w:vAlign w:val="bottom"/>
          </w:tcPr>
          <w:p>
            <w:pPr>
              <w:ind w:left="120"/>
              <w:spacing w:after="0"/>
              <w:rPr>
                <w:sz w:val="20"/>
                <w:szCs w:val="20"/>
                <w:color w:val="auto"/>
              </w:rPr>
            </w:pPr>
            <w:r>
              <w:rPr>
                <w:rFonts w:ascii="Arial" w:cs="Arial" w:eastAsia="Arial" w:hAnsi="Arial"/>
                <w:sz w:val="18"/>
                <w:szCs w:val="18"/>
                <w:color w:val="auto"/>
              </w:rPr>
              <w:t>Automotive Products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444,245,425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433,922,260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899,210,798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879,574,835</w:t>
            </w:r>
          </w:p>
        </w:tc>
      </w:tr>
      <w:tr>
        <w:trPr>
          <w:trHeight w:val="263"/>
        </w:trPr>
        <w:tc>
          <w:tcPr>
            <w:tcW w:w="2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10,736,015</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9,216,813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21,190,747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17,099,488</w:t>
            </w:r>
          </w:p>
        </w:tc>
      </w:tr>
      <w:tr>
        <w:trPr>
          <w:trHeight w:val="244"/>
        </w:trPr>
        <w:tc>
          <w:tcPr>
            <w:tcW w:w="298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454,981,440</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443,139,073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920,401,545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896,674,323</w:t>
            </w:r>
          </w:p>
        </w:tc>
      </w:tr>
      <w:tr>
        <w:trPr>
          <w:trHeight w:val="21"/>
        </w:trPr>
        <w:tc>
          <w:tcPr>
            <w:tcW w:w="2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50"/>
        </w:trPr>
        <w:tc>
          <w:tcPr>
            <w:tcW w:w="2980" w:type="dxa"/>
            <w:vAlign w:val="bottom"/>
          </w:tcPr>
          <w:p>
            <w:pPr>
              <w:ind w:left="100"/>
              <w:spacing w:after="0"/>
              <w:rPr>
                <w:sz w:val="20"/>
                <w:szCs w:val="20"/>
                <w:color w:val="auto"/>
              </w:rPr>
            </w:pPr>
            <w:r>
              <w:rPr>
                <w:rFonts w:ascii="Arial" w:cs="Arial" w:eastAsia="Arial" w:hAnsi="Arial"/>
                <w:sz w:val="18"/>
                <w:szCs w:val="18"/>
                <w:color w:val="auto"/>
              </w:rPr>
              <w:t>Automotive Products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123,758,195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123,222,811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248,720,353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255,727,768</w:t>
            </w:r>
          </w:p>
        </w:tc>
      </w:tr>
      <w:tr>
        <w:trPr>
          <w:trHeight w:val="263"/>
        </w:trPr>
        <w:tc>
          <w:tcPr>
            <w:tcW w:w="2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2,924,809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2,641,703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6,477,984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4,563,866</w:t>
            </w:r>
          </w:p>
        </w:tc>
      </w:tr>
      <w:tr>
        <w:trPr>
          <w:trHeight w:val="244"/>
        </w:trPr>
        <w:tc>
          <w:tcPr>
            <w:tcW w:w="298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126,683,004</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125,864,514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255,198,337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260,291,634</w:t>
            </w:r>
          </w:p>
        </w:tc>
      </w:tr>
      <w:tr>
        <w:trPr>
          <w:trHeight w:val="27"/>
        </w:trPr>
        <w:tc>
          <w:tcPr>
            <w:tcW w:w="2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(13) Income Taxes</w:t>
      </w:r>
    </w:p>
    <w:p>
      <w:pPr>
        <w:spacing w:after="0" w:line="158"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effective tax rate was 15.5% in the six months ended June 30, 2018 compared to 29.2% for the same period in 2017. Generally, effective tax rates for these periods differ from statutory federal income tax rates, due to provisions for state and local income taxes, permanent tax differences, and the foreign-derived intangible income tax deduction during the six months ended June 30, 2018. The decrease in the effective tax rate for the six months ended June 30, 2018 compared to the same period of 2017 was due to the reduction of the federal income tax rate from 35% to 21% as a result of the Tax Cuts and Jobs Act ("Act"), as well as R&amp;D tax credits, discrete tax benefits related to equity compensation, and the foreign-derived intangible income tax deduction.</w:t>
      </w:r>
    </w:p>
    <w:p>
      <w:pPr>
        <w:spacing w:after="0" w:line="128"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Pursuant to the guidance within SEC Staff Accounting Bulletin No. 118 (“SAB 118”), as the Company has continued to analyze certain aspects of the Act and refine its application to the Company. The Company has continued to recognize provisional effects of the Act for which measurement could be reasonably estimated. The ultimate impact of the Act may differ from these estimates due to its continued analysis or further regulatory guidance that may be issued pursuant to the Act. Under SAB 118, adjustments to the provisional amounts recorded by the Company as of June 30, 2018, that are identified within a subsequent measurement period of up to one year from the enactment date will be included as an adjustment to tax expense from continuing operations in the period the amounts are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82"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(14) Revenue</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Company’s Automotive and Other Products revenue disaggregated by geographical location for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Automotive Products for the three and six month periods ended June 30, 2018:</w:t>
      </w:r>
    </w:p>
    <w:p>
      <w:pPr>
        <w:spacing w:after="0" w:line="274" w:lineRule="exact"/>
        <w:rPr>
          <w:sz w:val="20"/>
          <w:szCs w:val="20"/>
          <w:color w:val="auto"/>
        </w:rPr>
      </w:pPr>
    </w:p>
    <w:tbl>
      <w:tblPr>
        <w:tblLayout w:type="fixed"/>
        <w:tblInd w:w="670" w:type="dxa"/>
        <w:tblCellMar>
          <w:top w:w="0" w:type="dxa"/>
          <w:left w:w="0" w:type="dxa"/>
          <w:bottom w:w="0" w:type="dxa"/>
          <w:right w:w="0" w:type="dxa"/>
        </w:tblCellMar>
      </w:tblPr>
      <w:tr>
        <w:trPr>
          <w:trHeight w:val="224"/>
        </w:trPr>
        <w:tc>
          <w:tcPr>
            <w:tcW w:w="4760" w:type="dxa"/>
            <w:vAlign w:val="bottom"/>
            <w:tcBorders>
              <w:top w:val="single" w:sz="8" w:color="BFBFBF"/>
              <w:left w:val="single" w:sz="8" w:color="BFBFBF"/>
              <w:bottom w:val="single" w:sz="8" w:color="auto"/>
              <w:right w:val="single" w:sz="8" w:color="BFBFBF"/>
            </w:tcBorders>
          </w:tcPr>
          <w:p>
            <w:pPr>
              <w:ind w:left="20"/>
              <w:spacing w:after="0"/>
              <w:rPr>
                <w:sz w:val="20"/>
                <w:szCs w:val="20"/>
                <w:color w:val="auto"/>
              </w:rPr>
            </w:pPr>
            <w:r>
              <w:rPr>
                <w:rFonts w:ascii="Arial" w:cs="Arial" w:eastAsia="Arial" w:hAnsi="Arial"/>
                <w:sz w:val="14"/>
                <w:szCs w:val="14"/>
                <w:b w:val="1"/>
                <w:bCs w:val="1"/>
                <w:color w:val="auto"/>
              </w:rPr>
              <w:t>Revenue</w:t>
            </w:r>
          </w:p>
        </w:tc>
        <w:tc>
          <w:tcPr>
            <w:tcW w:w="2580" w:type="dxa"/>
            <w:vAlign w:val="bottom"/>
            <w:tcBorders>
              <w:top w:val="single" w:sz="8" w:color="BFBFBF"/>
              <w:bottom w:val="single" w:sz="8" w:color="auto"/>
              <w:right w:val="single" w:sz="8" w:color="BFBFBF"/>
            </w:tcBorders>
            <w:gridSpan w:val="2"/>
          </w:tcPr>
          <w:p>
            <w:pPr>
              <w:jc w:val="right"/>
              <w:ind w:right="10"/>
              <w:spacing w:after="0"/>
              <w:rPr>
                <w:sz w:val="20"/>
                <w:szCs w:val="20"/>
                <w:color w:val="auto"/>
              </w:rPr>
            </w:pPr>
            <w:r>
              <w:rPr>
                <w:rFonts w:ascii="Arial" w:cs="Arial" w:eastAsia="Arial" w:hAnsi="Arial"/>
                <w:sz w:val="14"/>
                <w:szCs w:val="14"/>
                <w:b w:val="1"/>
                <w:bCs w:val="1"/>
                <w:color w:val="auto"/>
              </w:rPr>
              <w:t>Three Months Ended June 30, 2018</w:t>
            </w:r>
          </w:p>
        </w:tc>
        <w:tc>
          <w:tcPr>
            <w:tcW w:w="100" w:type="dxa"/>
            <w:vAlign w:val="bottom"/>
            <w:tcBorders>
              <w:bottom w:val="single" w:sz="8" w:color="CCEEFF"/>
              <w:right w:val="single" w:sz="8" w:color="BFBFBF"/>
            </w:tcBorders>
          </w:tcPr>
          <w:p>
            <w:pPr>
              <w:spacing w:after="0"/>
              <w:rPr>
                <w:sz w:val="19"/>
                <w:szCs w:val="19"/>
                <w:color w:val="auto"/>
              </w:rPr>
            </w:pPr>
          </w:p>
        </w:tc>
        <w:tc>
          <w:tcPr>
            <w:tcW w:w="2320" w:type="dxa"/>
            <w:vAlign w:val="bottom"/>
            <w:tcBorders>
              <w:top w:val="single" w:sz="8" w:color="BFBFBF"/>
              <w:bottom w:val="single" w:sz="8" w:color="auto"/>
              <w:right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Six Months Ended June 30, 2018</w:t>
            </w:r>
          </w:p>
        </w:tc>
      </w:tr>
      <w:tr>
        <w:trPr>
          <w:trHeight w:val="250"/>
        </w:trPr>
        <w:tc>
          <w:tcPr>
            <w:tcW w:w="4760" w:type="dxa"/>
            <w:vAlign w:val="bottom"/>
            <w:tcBorders>
              <w:left w:val="single" w:sz="8" w:color="BFBFBF"/>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800" w:type="dxa"/>
            <w:vAlign w:val="bottom"/>
            <w:tcBorders>
              <w:bottom w:val="single" w:sz="8" w:color="BFBFBF"/>
            </w:tcBorders>
            <w:shd w:val="clear" w:color="auto" w:fill="CCEEFF"/>
          </w:tcPr>
          <w:p>
            <w:pPr>
              <w:spacing w:after="0"/>
              <w:rPr>
                <w:sz w:val="21"/>
                <w:szCs w:val="21"/>
                <w:color w:val="auto"/>
              </w:rPr>
            </w:pPr>
          </w:p>
        </w:tc>
        <w:tc>
          <w:tcPr>
            <w:tcW w:w="1780" w:type="dxa"/>
            <w:vAlign w:val="bottom"/>
            <w:tcBorders>
              <w:bottom w:val="single" w:sz="8" w:color="BFBFBF"/>
              <w:right w:val="single" w:sz="8" w:color="BFBFBF"/>
            </w:tcBorders>
            <w:shd w:val="clear" w:color="auto" w:fill="CCEEFF"/>
          </w:tcPr>
          <w:p>
            <w:pPr>
              <w:spacing w:after="0"/>
              <w:rPr>
                <w:sz w:val="21"/>
                <w:szCs w:val="21"/>
                <w:color w:val="auto"/>
              </w:rPr>
            </w:pPr>
          </w:p>
        </w:tc>
        <w:tc>
          <w:tcPr>
            <w:tcW w:w="100" w:type="dxa"/>
            <w:vAlign w:val="bottom"/>
            <w:tcBorders>
              <w:right w:val="single" w:sz="8" w:color="BFBFBF"/>
            </w:tcBorders>
            <w:shd w:val="clear" w:color="auto" w:fill="CCEEFF"/>
          </w:tcPr>
          <w:p>
            <w:pPr>
              <w:spacing w:after="0"/>
              <w:rPr>
                <w:sz w:val="21"/>
                <w:szCs w:val="21"/>
                <w:color w:val="auto"/>
              </w:rPr>
            </w:pPr>
          </w:p>
        </w:tc>
        <w:tc>
          <w:tcPr>
            <w:tcW w:w="680" w:type="dxa"/>
            <w:vAlign w:val="bottom"/>
            <w:tcBorders>
              <w:bottom w:val="single" w:sz="8" w:color="BFBFBF"/>
            </w:tcBorders>
            <w:shd w:val="clear" w:color="auto" w:fill="CCEEFF"/>
          </w:tcPr>
          <w:p>
            <w:pPr>
              <w:spacing w:after="0"/>
              <w:rPr>
                <w:sz w:val="21"/>
                <w:szCs w:val="21"/>
                <w:color w:val="auto"/>
              </w:rPr>
            </w:pPr>
          </w:p>
        </w:tc>
        <w:tc>
          <w:tcPr>
            <w:tcW w:w="1640" w:type="dxa"/>
            <w:vAlign w:val="bottom"/>
            <w:tcBorders>
              <w:bottom w:val="single" w:sz="8" w:color="BFBFBF"/>
              <w:right w:val="single" w:sz="8" w:color="BFBFBF"/>
            </w:tcBorders>
            <w:shd w:val="clear" w:color="auto" w:fill="CCEEFF"/>
          </w:tcPr>
          <w:p>
            <w:pPr>
              <w:spacing w:after="0"/>
              <w:rPr>
                <w:sz w:val="21"/>
                <w:szCs w:val="21"/>
                <w:color w:val="auto"/>
              </w:rPr>
            </w:pPr>
          </w:p>
        </w:tc>
      </w:tr>
      <w:tr>
        <w:trPr>
          <w:trHeight w:val="257"/>
        </w:trPr>
        <w:tc>
          <w:tcPr>
            <w:tcW w:w="4760" w:type="dxa"/>
            <w:vAlign w:val="bottom"/>
            <w:tcBorders>
              <w:left w:val="single" w:sz="8" w:color="BFBFBF"/>
              <w:bottom w:val="single" w:sz="8" w:color="BFBFBF"/>
              <w:right w:val="single" w:sz="8" w:color="BFBFBF"/>
            </w:tcBorders>
          </w:tcPr>
          <w:p>
            <w:pPr>
              <w:ind w:left="180"/>
              <w:spacing w:after="0"/>
              <w:rPr>
                <w:sz w:val="20"/>
                <w:szCs w:val="20"/>
                <w:color w:val="auto"/>
              </w:rPr>
            </w:pPr>
            <w:r>
              <w:rPr>
                <w:rFonts w:ascii="Arial" w:cs="Arial" w:eastAsia="Arial" w:hAnsi="Arial"/>
                <w:sz w:val="18"/>
                <w:szCs w:val="18"/>
                <w:color w:val="auto"/>
              </w:rPr>
              <w:t>U.S.</w:t>
            </w:r>
          </w:p>
        </w:tc>
        <w:tc>
          <w:tcPr>
            <w:tcW w:w="800" w:type="dxa"/>
            <w:vAlign w:val="bottom"/>
            <w:tcBorders>
              <w:bottom w:val="single" w:sz="8" w:color="BFBFBF"/>
            </w:tcBorders>
          </w:tcPr>
          <w:p>
            <w:pPr>
              <w:jc w:val="right"/>
              <w:ind w:right="614"/>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BFBFBF"/>
              <w:right w:val="single" w:sz="8" w:color="BFBFBF"/>
            </w:tcBorders>
          </w:tcPr>
          <w:p>
            <w:pPr>
              <w:jc w:val="right"/>
              <w:spacing w:after="0"/>
              <w:rPr>
                <w:sz w:val="20"/>
                <w:szCs w:val="20"/>
                <w:color w:val="auto"/>
              </w:rPr>
            </w:pPr>
            <w:r>
              <w:rPr>
                <w:rFonts w:ascii="Arial" w:cs="Arial" w:eastAsia="Arial" w:hAnsi="Arial"/>
                <w:sz w:val="18"/>
                <w:szCs w:val="18"/>
                <w:color w:val="auto"/>
              </w:rPr>
              <w:t>142,896,639</w:t>
            </w:r>
          </w:p>
        </w:tc>
        <w:tc>
          <w:tcPr>
            <w:tcW w:w="100" w:type="dxa"/>
            <w:vAlign w:val="bottom"/>
            <w:tcBorders>
              <w:bottom w:val="single" w:sz="8" w:color="CCEEFF"/>
              <w:right w:val="single" w:sz="8" w:color="BFBFBF"/>
            </w:tcBorders>
          </w:tcPr>
          <w:p>
            <w:pPr>
              <w:spacing w:after="0"/>
              <w:rPr>
                <w:sz w:val="22"/>
                <w:szCs w:val="22"/>
                <w:color w:val="auto"/>
              </w:rPr>
            </w:pPr>
          </w:p>
        </w:tc>
        <w:tc>
          <w:tcPr>
            <w:tcW w:w="680" w:type="dxa"/>
            <w:vAlign w:val="bottom"/>
            <w:tcBorders>
              <w:bottom w:val="single" w:sz="8" w:color="BFBFBF"/>
            </w:tcBorders>
          </w:tcPr>
          <w:p>
            <w:pPr>
              <w:jc w:val="right"/>
              <w:ind w:right="474"/>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BFBFBF"/>
              <w:right w:val="single" w:sz="8" w:color="BFBFBF"/>
            </w:tcBorders>
          </w:tcPr>
          <w:p>
            <w:pPr>
              <w:jc w:val="right"/>
              <w:spacing w:after="0"/>
              <w:rPr>
                <w:sz w:val="20"/>
                <w:szCs w:val="20"/>
                <w:color w:val="auto"/>
              </w:rPr>
            </w:pPr>
            <w:r>
              <w:rPr>
                <w:rFonts w:ascii="Arial" w:cs="Arial" w:eastAsia="Arial" w:hAnsi="Arial"/>
                <w:sz w:val="18"/>
                <w:szCs w:val="18"/>
                <w:color w:val="auto"/>
              </w:rPr>
              <w:t>283,209,626</w:t>
            </w:r>
          </w:p>
        </w:tc>
      </w:tr>
      <w:tr>
        <w:trPr>
          <w:trHeight w:val="250"/>
        </w:trPr>
        <w:tc>
          <w:tcPr>
            <w:tcW w:w="4760" w:type="dxa"/>
            <w:vAlign w:val="bottom"/>
            <w:tcBorders>
              <w:left w:val="single" w:sz="8" w:color="BFBFBF"/>
              <w:bottom w:val="single" w:sz="8" w:color="BFBFBF"/>
              <w:right w:val="single" w:sz="8" w:color="BFBFBF"/>
            </w:tcBorders>
            <w:shd w:val="clear" w:color="auto" w:fill="CCEEFF"/>
          </w:tcPr>
          <w:p>
            <w:pPr>
              <w:ind w:left="180"/>
              <w:spacing w:after="0"/>
              <w:rPr>
                <w:sz w:val="20"/>
                <w:szCs w:val="20"/>
                <w:color w:val="auto"/>
              </w:rPr>
            </w:pPr>
            <w:r>
              <w:rPr>
                <w:rFonts w:ascii="Arial" w:cs="Arial" w:eastAsia="Arial" w:hAnsi="Arial"/>
                <w:sz w:val="18"/>
                <w:szCs w:val="18"/>
                <w:color w:val="auto"/>
              </w:rPr>
              <w:t>Germany</w:t>
            </w:r>
          </w:p>
        </w:tc>
        <w:tc>
          <w:tcPr>
            <w:tcW w:w="800" w:type="dxa"/>
            <w:vAlign w:val="bottom"/>
            <w:tcBorders>
              <w:bottom w:val="single" w:sz="8" w:color="BFBFBF"/>
            </w:tcBorders>
            <w:shd w:val="clear" w:color="auto" w:fill="CCEEFF"/>
          </w:tcPr>
          <w:p>
            <w:pPr>
              <w:spacing w:after="0"/>
              <w:rPr>
                <w:sz w:val="21"/>
                <w:szCs w:val="21"/>
                <w:color w:val="auto"/>
              </w:rPr>
            </w:pPr>
          </w:p>
        </w:tc>
        <w:tc>
          <w:tcPr>
            <w:tcW w:w="1780" w:type="dxa"/>
            <w:vAlign w:val="bottom"/>
            <w:tcBorders>
              <w:bottom w:val="single" w:sz="8" w:color="BFBFBF"/>
              <w:right w:val="single" w:sz="8" w:color="BFBFBF"/>
            </w:tcBorders>
            <w:shd w:val="clear" w:color="auto" w:fill="CCEEFF"/>
          </w:tcPr>
          <w:p>
            <w:pPr>
              <w:jc w:val="right"/>
              <w:spacing w:after="0"/>
              <w:rPr>
                <w:sz w:val="20"/>
                <w:szCs w:val="20"/>
                <w:color w:val="auto"/>
              </w:rPr>
            </w:pPr>
            <w:r>
              <w:rPr>
                <w:rFonts w:ascii="Arial" w:cs="Arial" w:eastAsia="Arial" w:hAnsi="Arial"/>
                <w:sz w:val="18"/>
                <w:szCs w:val="18"/>
                <w:color w:val="auto"/>
              </w:rPr>
              <w:t>85,642,205</w:t>
            </w:r>
          </w:p>
        </w:tc>
        <w:tc>
          <w:tcPr>
            <w:tcW w:w="100" w:type="dxa"/>
            <w:vAlign w:val="bottom"/>
            <w:tcBorders>
              <w:right w:val="single" w:sz="8" w:color="BFBFBF"/>
            </w:tcBorders>
            <w:shd w:val="clear" w:color="auto" w:fill="CCEEFF"/>
          </w:tcPr>
          <w:p>
            <w:pPr>
              <w:spacing w:after="0"/>
              <w:rPr>
                <w:sz w:val="21"/>
                <w:szCs w:val="21"/>
                <w:color w:val="auto"/>
              </w:rPr>
            </w:pPr>
          </w:p>
        </w:tc>
        <w:tc>
          <w:tcPr>
            <w:tcW w:w="680" w:type="dxa"/>
            <w:vAlign w:val="bottom"/>
            <w:tcBorders>
              <w:bottom w:val="single" w:sz="8" w:color="BFBFBF"/>
            </w:tcBorders>
            <w:shd w:val="clear" w:color="auto" w:fill="CCEEFF"/>
          </w:tcPr>
          <w:p>
            <w:pPr>
              <w:spacing w:after="0"/>
              <w:rPr>
                <w:sz w:val="21"/>
                <w:szCs w:val="21"/>
                <w:color w:val="auto"/>
              </w:rPr>
            </w:pPr>
          </w:p>
        </w:tc>
        <w:tc>
          <w:tcPr>
            <w:tcW w:w="1640" w:type="dxa"/>
            <w:vAlign w:val="bottom"/>
            <w:tcBorders>
              <w:bottom w:val="single" w:sz="8" w:color="BFBFBF"/>
              <w:right w:val="single" w:sz="8" w:color="BFBFBF"/>
            </w:tcBorders>
            <w:shd w:val="clear" w:color="auto" w:fill="CCEEFF"/>
          </w:tcPr>
          <w:p>
            <w:pPr>
              <w:jc w:val="right"/>
              <w:spacing w:after="0"/>
              <w:rPr>
                <w:sz w:val="20"/>
                <w:szCs w:val="20"/>
                <w:color w:val="auto"/>
              </w:rPr>
            </w:pPr>
            <w:r>
              <w:rPr>
                <w:rFonts w:ascii="Arial" w:cs="Arial" w:eastAsia="Arial" w:hAnsi="Arial"/>
                <w:sz w:val="18"/>
                <w:szCs w:val="18"/>
                <w:color w:val="auto"/>
              </w:rPr>
              <w:t>177,435,746</w:t>
            </w:r>
          </w:p>
        </w:tc>
      </w:tr>
      <w:tr>
        <w:trPr>
          <w:trHeight w:val="250"/>
        </w:trPr>
        <w:tc>
          <w:tcPr>
            <w:tcW w:w="4760" w:type="dxa"/>
            <w:vAlign w:val="bottom"/>
            <w:tcBorders>
              <w:left w:val="single" w:sz="8" w:color="BFBFBF"/>
              <w:bottom w:val="single" w:sz="8" w:color="BFBFBF"/>
              <w:right w:val="single" w:sz="8" w:color="BFBFBF"/>
            </w:tcBorders>
          </w:tcPr>
          <w:p>
            <w:pPr>
              <w:ind w:left="180"/>
              <w:spacing w:after="0"/>
              <w:rPr>
                <w:sz w:val="20"/>
                <w:szCs w:val="20"/>
                <w:color w:val="auto"/>
              </w:rPr>
            </w:pPr>
            <w:r>
              <w:rPr>
                <w:rFonts w:ascii="Arial" w:cs="Arial" w:eastAsia="Arial" w:hAnsi="Arial"/>
                <w:sz w:val="18"/>
                <w:szCs w:val="18"/>
                <w:color w:val="auto"/>
              </w:rPr>
              <w:t>Japan</w:t>
            </w:r>
          </w:p>
        </w:tc>
        <w:tc>
          <w:tcPr>
            <w:tcW w:w="800" w:type="dxa"/>
            <w:vAlign w:val="bottom"/>
            <w:tcBorders>
              <w:bottom w:val="single" w:sz="8" w:color="BFBFBF"/>
            </w:tcBorders>
          </w:tcPr>
          <w:p>
            <w:pPr>
              <w:spacing w:after="0"/>
              <w:rPr>
                <w:sz w:val="21"/>
                <w:szCs w:val="21"/>
                <w:color w:val="auto"/>
              </w:rPr>
            </w:pPr>
          </w:p>
        </w:tc>
        <w:tc>
          <w:tcPr>
            <w:tcW w:w="1780" w:type="dxa"/>
            <w:vAlign w:val="bottom"/>
            <w:tcBorders>
              <w:bottom w:val="single" w:sz="8" w:color="BFBFBF"/>
              <w:right w:val="single" w:sz="8" w:color="BFBFBF"/>
            </w:tcBorders>
          </w:tcPr>
          <w:p>
            <w:pPr>
              <w:jc w:val="right"/>
              <w:spacing w:after="0"/>
              <w:rPr>
                <w:sz w:val="20"/>
                <w:szCs w:val="20"/>
                <w:color w:val="auto"/>
              </w:rPr>
            </w:pPr>
            <w:r>
              <w:rPr>
                <w:rFonts w:ascii="Arial" w:cs="Arial" w:eastAsia="Arial" w:hAnsi="Arial"/>
                <w:sz w:val="18"/>
                <w:szCs w:val="18"/>
                <w:color w:val="auto"/>
              </w:rPr>
              <w:t>48,647,082</w:t>
            </w:r>
          </w:p>
        </w:tc>
        <w:tc>
          <w:tcPr>
            <w:tcW w:w="100" w:type="dxa"/>
            <w:vAlign w:val="bottom"/>
            <w:tcBorders>
              <w:bottom w:val="single" w:sz="8" w:color="CCEEFF"/>
              <w:right w:val="single" w:sz="8" w:color="BFBFBF"/>
            </w:tcBorders>
          </w:tcPr>
          <w:p>
            <w:pPr>
              <w:spacing w:after="0"/>
              <w:rPr>
                <w:sz w:val="21"/>
                <w:szCs w:val="21"/>
                <w:color w:val="auto"/>
              </w:rPr>
            </w:pPr>
          </w:p>
        </w:tc>
        <w:tc>
          <w:tcPr>
            <w:tcW w:w="680" w:type="dxa"/>
            <w:vAlign w:val="bottom"/>
            <w:tcBorders>
              <w:bottom w:val="single" w:sz="8" w:color="BFBFBF"/>
            </w:tcBorders>
          </w:tcPr>
          <w:p>
            <w:pPr>
              <w:spacing w:after="0"/>
              <w:rPr>
                <w:sz w:val="21"/>
                <w:szCs w:val="21"/>
                <w:color w:val="auto"/>
              </w:rPr>
            </w:pPr>
          </w:p>
        </w:tc>
        <w:tc>
          <w:tcPr>
            <w:tcW w:w="1640" w:type="dxa"/>
            <w:vAlign w:val="bottom"/>
            <w:tcBorders>
              <w:bottom w:val="single" w:sz="8" w:color="BFBFBF"/>
              <w:right w:val="single" w:sz="8" w:color="BFBFBF"/>
            </w:tcBorders>
          </w:tcPr>
          <w:p>
            <w:pPr>
              <w:jc w:val="right"/>
              <w:spacing w:after="0"/>
              <w:rPr>
                <w:sz w:val="20"/>
                <w:szCs w:val="20"/>
                <w:color w:val="auto"/>
              </w:rPr>
            </w:pPr>
            <w:r>
              <w:rPr>
                <w:rFonts w:ascii="Arial" w:cs="Arial" w:eastAsia="Arial" w:hAnsi="Arial"/>
                <w:sz w:val="18"/>
                <w:szCs w:val="18"/>
                <w:color w:val="auto"/>
              </w:rPr>
              <w:t>98,480,079</w:t>
            </w:r>
          </w:p>
        </w:tc>
      </w:tr>
      <w:tr>
        <w:trPr>
          <w:trHeight w:val="250"/>
        </w:trPr>
        <w:tc>
          <w:tcPr>
            <w:tcW w:w="4760" w:type="dxa"/>
            <w:vAlign w:val="bottom"/>
            <w:tcBorders>
              <w:left w:val="single" w:sz="8" w:color="BFBFBF"/>
              <w:bottom w:val="single" w:sz="8" w:color="BFBFBF"/>
              <w:right w:val="single" w:sz="8" w:color="BFBFB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right w:val="single" w:sz="8" w:color="BFBFBF"/>
            </w:tcBorders>
            <w:shd w:val="clear" w:color="auto" w:fill="CCEEFF"/>
          </w:tcPr>
          <w:p>
            <w:pPr>
              <w:jc w:val="right"/>
              <w:spacing w:after="0"/>
              <w:rPr>
                <w:sz w:val="20"/>
                <w:szCs w:val="20"/>
                <w:color w:val="auto"/>
              </w:rPr>
            </w:pPr>
            <w:r>
              <w:rPr>
                <w:rFonts w:ascii="Arial" w:cs="Arial" w:eastAsia="Arial" w:hAnsi="Arial"/>
                <w:sz w:val="18"/>
                <w:szCs w:val="18"/>
                <w:color w:val="auto"/>
              </w:rPr>
              <w:t>167,059,499</w:t>
            </w:r>
          </w:p>
        </w:tc>
        <w:tc>
          <w:tcPr>
            <w:tcW w:w="100" w:type="dxa"/>
            <w:vAlign w:val="bottom"/>
            <w:tcBorders>
              <w:bottom w:val="single" w:sz="8" w:color="CCEEFF"/>
              <w:right w:val="single" w:sz="8" w:color="BFBFB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right w:val="single" w:sz="8" w:color="BFBFBF"/>
            </w:tcBorders>
            <w:shd w:val="clear" w:color="auto" w:fill="CCEEFF"/>
          </w:tcPr>
          <w:p>
            <w:pPr>
              <w:jc w:val="right"/>
              <w:spacing w:after="0"/>
              <w:rPr>
                <w:sz w:val="20"/>
                <w:szCs w:val="20"/>
                <w:color w:val="auto"/>
              </w:rPr>
            </w:pPr>
            <w:r>
              <w:rPr>
                <w:rFonts w:ascii="Arial" w:cs="Arial" w:eastAsia="Arial" w:hAnsi="Arial"/>
                <w:sz w:val="18"/>
                <w:szCs w:val="18"/>
                <w:color w:val="auto"/>
              </w:rPr>
              <w:t>340,085,348</w:t>
            </w:r>
          </w:p>
        </w:tc>
      </w:tr>
      <w:tr>
        <w:trPr>
          <w:trHeight w:val="244"/>
        </w:trPr>
        <w:tc>
          <w:tcPr>
            <w:tcW w:w="476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Total Automotive Products</w:t>
            </w:r>
          </w:p>
        </w:tc>
        <w:tc>
          <w:tcPr>
            <w:tcW w:w="800" w:type="dxa"/>
            <w:vAlign w:val="bottom"/>
            <w:tcBorders>
              <w:bottom w:val="single" w:sz="8" w:color="BFBFBF"/>
            </w:tcBorders>
          </w:tcPr>
          <w:p>
            <w:pPr>
              <w:jc w:val="right"/>
              <w:ind w:right="614"/>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BFBFBF"/>
              <w:right w:val="single" w:sz="8" w:color="BFBFBF"/>
            </w:tcBorders>
          </w:tcPr>
          <w:p>
            <w:pPr>
              <w:jc w:val="right"/>
              <w:spacing w:after="0"/>
              <w:rPr>
                <w:sz w:val="20"/>
                <w:szCs w:val="20"/>
                <w:color w:val="auto"/>
              </w:rPr>
            </w:pPr>
            <w:r>
              <w:rPr>
                <w:rFonts w:ascii="Arial" w:cs="Arial" w:eastAsia="Arial" w:hAnsi="Arial"/>
                <w:sz w:val="18"/>
                <w:szCs w:val="18"/>
                <w:color w:val="auto"/>
              </w:rPr>
              <w:t>444,245,425</w:t>
            </w:r>
          </w:p>
        </w:tc>
        <w:tc>
          <w:tcPr>
            <w:tcW w:w="100" w:type="dxa"/>
            <w:vAlign w:val="bottom"/>
            <w:tcBorders>
              <w:bottom w:val="single" w:sz="8" w:color="CCEEFF"/>
              <w:right w:val="single" w:sz="8" w:color="BFBFBF"/>
            </w:tcBorders>
          </w:tcPr>
          <w:p>
            <w:pPr>
              <w:spacing w:after="0"/>
              <w:rPr>
                <w:sz w:val="21"/>
                <w:szCs w:val="21"/>
                <w:color w:val="auto"/>
              </w:rPr>
            </w:pPr>
          </w:p>
        </w:tc>
        <w:tc>
          <w:tcPr>
            <w:tcW w:w="680" w:type="dxa"/>
            <w:vAlign w:val="bottom"/>
            <w:tcBorders>
              <w:bottom w:val="single" w:sz="8" w:color="BFBFBF"/>
            </w:tcBorders>
          </w:tcPr>
          <w:p>
            <w:pPr>
              <w:jc w:val="right"/>
              <w:ind w:right="474"/>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BFBFBF"/>
              <w:right w:val="single" w:sz="8" w:color="BFBFBF"/>
            </w:tcBorders>
          </w:tcPr>
          <w:p>
            <w:pPr>
              <w:jc w:val="right"/>
              <w:spacing w:after="0"/>
              <w:rPr>
                <w:sz w:val="20"/>
                <w:szCs w:val="20"/>
                <w:color w:val="auto"/>
              </w:rPr>
            </w:pPr>
            <w:r>
              <w:rPr>
                <w:rFonts w:ascii="Arial" w:cs="Arial" w:eastAsia="Arial" w:hAnsi="Arial"/>
                <w:sz w:val="18"/>
                <w:szCs w:val="18"/>
                <w:color w:val="auto"/>
              </w:rPr>
              <w:t>899,210,799</w:t>
            </w:r>
          </w:p>
        </w:tc>
      </w:tr>
      <w:tr>
        <w:trPr>
          <w:trHeight w:val="250"/>
        </w:trPr>
        <w:tc>
          <w:tcPr>
            <w:tcW w:w="4760" w:type="dxa"/>
            <w:vAlign w:val="bottom"/>
            <w:tcBorders>
              <w:left w:val="single" w:sz="8" w:color="BFBFBF"/>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Other Products (U.S.)</w:t>
            </w:r>
          </w:p>
        </w:tc>
        <w:tc>
          <w:tcPr>
            <w:tcW w:w="8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right w:val="single" w:sz="8" w:color="BFBFBF"/>
            </w:tcBorders>
            <w:shd w:val="clear" w:color="auto" w:fill="CCEEFF"/>
          </w:tcPr>
          <w:p>
            <w:pPr>
              <w:jc w:val="right"/>
              <w:spacing w:after="0"/>
              <w:rPr>
                <w:sz w:val="20"/>
                <w:szCs w:val="20"/>
                <w:color w:val="auto"/>
              </w:rPr>
            </w:pPr>
            <w:r>
              <w:rPr>
                <w:rFonts w:ascii="Arial" w:cs="Arial" w:eastAsia="Arial" w:hAnsi="Arial"/>
                <w:sz w:val="18"/>
                <w:szCs w:val="18"/>
                <w:color w:val="auto"/>
              </w:rPr>
              <w:t>10,736,015</w:t>
            </w:r>
          </w:p>
        </w:tc>
        <w:tc>
          <w:tcPr>
            <w:tcW w:w="100" w:type="dxa"/>
            <w:vAlign w:val="bottom"/>
            <w:tcBorders>
              <w:right w:val="single" w:sz="8" w:color="BFBFB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right w:val="single" w:sz="8" w:color="BFBFBF"/>
            </w:tcBorders>
            <w:shd w:val="clear" w:color="auto" w:fill="CCEEFF"/>
          </w:tcPr>
          <w:p>
            <w:pPr>
              <w:jc w:val="right"/>
              <w:spacing w:after="0"/>
              <w:rPr>
                <w:sz w:val="20"/>
                <w:szCs w:val="20"/>
                <w:color w:val="auto"/>
              </w:rPr>
            </w:pPr>
            <w:r>
              <w:rPr>
                <w:rFonts w:ascii="Arial" w:cs="Arial" w:eastAsia="Arial" w:hAnsi="Arial"/>
                <w:sz w:val="18"/>
                <w:szCs w:val="18"/>
                <w:color w:val="auto"/>
              </w:rPr>
              <w:t>21,190,746</w:t>
            </w:r>
          </w:p>
        </w:tc>
      </w:tr>
      <w:tr>
        <w:trPr>
          <w:trHeight w:val="257"/>
        </w:trPr>
        <w:tc>
          <w:tcPr>
            <w:tcW w:w="4760" w:type="dxa"/>
            <w:vAlign w:val="bottom"/>
            <w:tcBorders>
              <w:left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Total Revenue</w:t>
            </w:r>
          </w:p>
        </w:tc>
        <w:tc>
          <w:tcPr>
            <w:tcW w:w="80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right w:val="single" w:sz="8" w:color="BFBFBF"/>
            </w:tcBorders>
          </w:tcPr>
          <w:p>
            <w:pPr>
              <w:jc w:val="right"/>
              <w:spacing w:after="0"/>
              <w:rPr>
                <w:sz w:val="20"/>
                <w:szCs w:val="20"/>
                <w:color w:val="auto"/>
              </w:rPr>
            </w:pPr>
            <w:r>
              <w:rPr>
                <w:rFonts w:ascii="Arial" w:cs="Arial" w:eastAsia="Arial" w:hAnsi="Arial"/>
                <w:sz w:val="18"/>
                <w:szCs w:val="18"/>
                <w:color w:val="auto"/>
              </w:rPr>
              <w:t>454,981,440</w:t>
            </w:r>
          </w:p>
        </w:tc>
        <w:tc>
          <w:tcPr>
            <w:tcW w:w="100" w:type="dxa"/>
            <w:vAlign w:val="bottom"/>
            <w:tcBorders>
              <w:right w:val="single" w:sz="8" w:color="BFBFBF"/>
            </w:tcBorders>
          </w:tcPr>
          <w:p>
            <w:pPr>
              <w:spacing w:after="0"/>
              <w:rPr>
                <w:sz w:val="22"/>
                <w:szCs w:val="22"/>
                <w:color w:val="auto"/>
              </w:rPr>
            </w:pPr>
          </w:p>
        </w:tc>
        <w:tc>
          <w:tcPr>
            <w:tcW w:w="68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right w:val="single" w:sz="8" w:color="BFBFBF"/>
            </w:tcBorders>
          </w:tcPr>
          <w:p>
            <w:pPr>
              <w:jc w:val="right"/>
              <w:spacing w:after="0"/>
              <w:rPr>
                <w:sz w:val="20"/>
                <w:szCs w:val="20"/>
                <w:color w:val="auto"/>
              </w:rPr>
            </w:pPr>
            <w:r>
              <w:rPr>
                <w:rFonts w:ascii="Arial" w:cs="Arial" w:eastAsia="Arial" w:hAnsi="Arial"/>
                <w:sz w:val="18"/>
                <w:szCs w:val="18"/>
                <w:color w:val="auto"/>
              </w:rPr>
              <w:t>920,401,545</w:t>
            </w:r>
          </w:p>
        </w:tc>
      </w:tr>
      <w:tr>
        <w:trPr>
          <w:trHeight w:val="20"/>
        </w:trPr>
        <w:tc>
          <w:tcPr>
            <w:tcW w:w="4760" w:type="dxa"/>
            <w:vAlign w:val="bottom"/>
            <w:tcBorders>
              <w:left w:val="single" w:sz="8" w:color="BFBFBF"/>
              <w:bottom w:val="single" w:sz="8" w:color="BFBFB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24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following table disaggregates the Company’s Automotive and Other revenue by major source for the three and six month periods ended June 30, 2018:</w:t>
      </w:r>
    </w:p>
    <w:p>
      <w:pPr>
        <w:spacing w:after="0" w:line="137" w:lineRule="exact"/>
        <w:rPr>
          <w:sz w:val="20"/>
          <w:szCs w:val="20"/>
          <w:color w:val="auto"/>
        </w:rPr>
      </w:pPr>
    </w:p>
    <w:tbl>
      <w:tblPr>
        <w:tblLayout w:type="fixed"/>
        <w:tblInd w:w="670" w:type="dxa"/>
        <w:tblCellMar>
          <w:top w:w="0" w:type="dxa"/>
          <w:left w:w="0" w:type="dxa"/>
          <w:bottom w:w="0" w:type="dxa"/>
          <w:right w:w="0" w:type="dxa"/>
        </w:tblCellMar>
      </w:tblPr>
      <w:tr>
        <w:trPr>
          <w:trHeight w:val="189"/>
        </w:trPr>
        <w:tc>
          <w:tcPr>
            <w:tcW w:w="5360" w:type="dxa"/>
            <w:vAlign w:val="bottom"/>
            <w:tcBorders>
              <w:top w:val="single" w:sz="8" w:color="BFBFBF"/>
              <w:left w:val="single" w:sz="8" w:color="BFBFBF"/>
              <w:right w:val="single" w:sz="8" w:color="BFBFBF"/>
            </w:tcBorders>
          </w:tcPr>
          <w:p>
            <w:pPr>
              <w:spacing w:after="0"/>
              <w:rPr>
                <w:sz w:val="16"/>
                <w:szCs w:val="16"/>
                <w:color w:val="auto"/>
              </w:rPr>
            </w:pPr>
          </w:p>
        </w:tc>
        <w:tc>
          <w:tcPr>
            <w:tcW w:w="120" w:type="dxa"/>
            <w:vAlign w:val="bottom"/>
            <w:tcBorders>
              <w:top w:val="single" w:sz="8" w:color="BFBFBF"/>
            </w:tcBorders>
          </w:tcPr>
          <w:p>
            <w:pPr>
              <w:spacing w:after="0"/>
              <w:rPr>
                <w:sz w:val="16"/>
                <w:szCs w:val="16"/>
                <w:color w:val="auto"/>
              </w:rPr>
            </w:pPr>
          </w:p>
        </w:tc>
        <w:tc>
          <w:tcPr>
            <w:tcW w:w="2280" w:type="dxa"/>
            <w:vAlign w:val="bottom"/>
            <w:tcBorders>
              <w:top w:val="single" w:sz="8" w:color="BFBFBF"/>
              <w:right w:val="single" w:sz="8" w:color="BFBFBF"/>
            </w:tcBorders>
          </w:tcPr>
          <w:p>
            <w:pPr>
              <w:jc w:val="right"/>
              <w:ind w:right="154"/>
              <w:spacing w:after="0"/>
              <w:rPr>
                <w:sz w:val="20"/>
                <w:szCs w:val="20"/>
                <w:color w:val="auto"/>
              </w:rPr>
            </w:pPr>
            <w:r>
              <w:rPr>
                <w:rFonts w:ascii="Arial" w:cs="Arial" w:eastAsia="Arial" w:hAnsi="Arial"/>
                <w:sz w:val="14"/>
                <w:szCs w:val="14"/>
                <w:b w:val="1"/>
                <w:bCs w:val="1"/>
                <w:color w:val="auto"/>
              </w:rPr>
              <w:t>Three Months Ended June 30,</w:t>
            </w:r>
          </w:p>
        </w:tc>
        <w:tc>
          <w:tcPr>
            <w:tcW w:w="680" w:type="dxa"/>
            <w:vAlign w:val="bottom"/>
            <w:tcBorders>
              <w:top w:val="single" w:sz="8" w:color="BFBFBF"/>
            </w:tcBorders>
          </w:tcPr>
          <w:p>
            <w:pPr>
              <w:spacing w:after="0"/>
              <w:rPr>
                <w:sz w:val="16"/>
                <w:szCs w:val="16"/>
                <w:color w:val="auto"/>
              </w:rPr>
            </w:pPr>
          </w:p>
        </w:tc>
        <w:tc>
          <w:tcPr>
            <w:tcW w:w="1660" w:type="dxa"/>
            <w:vAlign w:val="bottom"/>
            <w:tcBorders>
              <w:top w:val="single" w:sz="8" w:color="BFBFBF"/>
              <w:right w:val="single" w:sz="8" w:color="BFBFBF"/>
            </w:tcBorders>
          </w:tcPr>
          <w:p>
            <w:pPr>
              <w:spacing w:after="0"/>
              <w:rPr>
                <w:sz w:val="16"/>
                <w:szCs w:val="16"/>
                <w:color w:val="auto"/>
              </w:rPr>
            </w:pPr>
          </w:p>
        </w:tc>
      </w:tr>
      <w:tr>
        <w:trPr>
          <w:trHeight w:val="196"/>
        </w:trPr>
        <w:tc>
          <w:tcPr>
            <w:tcW w:w="5360" w:type="dxa"/>
            <w:vAlign w:val="bottom"/>
            <w:tcBorders>
              <w:left w:val="single" w:sz="8" w:color="BFBFBF"/>
              <w:bottom w:val="single" w:sz="8" w:color="auto"/>
              <w:right w:val="single" w:sz="8" w:color="BFBFBF"/>
            </w:tcBorders>
          </w:tcPr>
          <w:p>
            <w:pPr>
              <w:ind w:left="20"/>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right w:val="single" w:sz="8" w:color="BFBFBF"/>
            </w:tcBorders>
          </w:tcPr>
          <w:p>
            <w:pPr>
              <w:jc w:val="right"/>
              <w:ind w:right="1014"/>
              <w:spacing w:after="0"/>
              <w:rPr>
                <w:sz w:val="20"/>
                <w:szCs w:val="20"/>
                <w:color w:val="auto"/>
              </w:rPr>
            </w:pPr>
            <w:r>
              <w:rPr>
                <w:rFonts w:ascii="Arial" w:cs="Arial" w:eastAsia="Arial" w:hAnsi="Arial"/>
                <w:sz w:val="14"/>
                <w:szCs w:val="14"/>
                <w:b w:val="1"/>
                <w:bCs w:val="1"/>
                <w:color w:val="auto"/>
              </w:rPr>
              <w:t>2018</w:t>
            </w:r>
          </w:p>
        </w:tc>
        <w:tc>
          <w:tcPr>
            <w:tcW w:w="2340" w:type="dxa"/>
            <w:vAlign w:val="bottom"/>
            <w:tcBorders>
              <w:bottom w:val="single" w:sz="8" w:color="auto"/>
              <w:right w:val="single" w:sz="8" w:color="BFBFBF"/>
            </w:tcBorders>
            <w:gridSpan w:val="2"/>
          </w:tcPr>
          <w:p>
            <w:pPr>
              <w:jc w:val="right"/>
              <w:spacing w:after="0"/>
              <w:rPr>
                <w:sz w:val="20"/>
                <w:szCs w:val="20"/>
                <w:color w:val="auto"/>
              </w:rPr>
            </w:pPr>
            <w:r>
              <w:rPr>
                <w:rFonts w:ascii="Arial" w:cs="Arial" w:eastAsia="Arial" w:hAnsi="Arial"/>
                <w:sz w:val="14"/>
                <w:szCs w:val="14"/>
                <w:b w:val="1"/>
                <w:bCs w:val="1"/>
                <w:color w:val="auto"/>
              </w:rPr>
              <w:t>Six Months Ended June 30, 2018</w:t>
            </w:r>
          </w:p>
        </w:tc>
      </w:tr>
      <w:tr>
        <w:trPr>
          <w:trHeight w:val="250"/>
        </w:trPr>
        <w:tc>
          <w:tcPr>
            <w:tcW w:w="5360" w:type="dxa"/>
            <w:vAlign w:val="bottom"/>
            <w:tcBorders>
              <w:left w:val="single" w:sz="8" w:color="BFBFBF"/>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Automotive Segment</w:t>
            </w:r>
          </w:p>
        </w:tc>
        <w:tc>
          <w:tcPr>
            <w:tcW w:w="120" w:type="dxa"/>
            <w:vAlign w:val="bottom"/>
            <w:tcBorders>
              <w:bottom w:val="single" w:sz="8" w:color="BFBFBF"/>
            </w:tcBorders>
          </w:tcPr>
          <w:p>
            <w:pPr>
              <w:spacing w:after="0"/>
              <w:rPr>
                <w:sz w:val="21"/>
                <w:szCs w:val="21"/>
                <w:color w:val="auto"/>
              </w:rPr>
            </w:pPr>
          </w:p>
        </w:tc>
        <w:tc>
          <w:tcPr>
            <w:tcW w:w="2280" w:type="dxa"/>
            <w:vAlign w:val="bottom"/>
            <w:tcBorders>
              <w:bottom w:val="single" w:sz="8" w:color="BFBFBF"/>
              <w:right w:val="single" w:sz="8" w:color="BFBFBF"/>
            </w:tcBorders>
          </w:tcPr>
          <w:p>
            <w:pPr>
              <w:spacing w:after="0"/>
              <w:rPr>
                <w:sz w:val="21"/>
                <w:szCs w:val="21"/>
                <w:color w:val="auto"/>
              </w:rPr>
            </w:pPr>
          </w:p>
        </w:tc>
        <w:tc>
          <w:tcPr>
            <w:tcW w:w="680" w:type="dxa"/>
            <w:vAlign w:val="bottom"/>
            <w:tcBorders>
              <w:bottom w:val="single" w:sz="8" w:color="BFBFBF"/>
            </w:tcBorders>
          </w:tcPr>
          <w:p>
            <w:pPr>
              <w:spacing w:after="0"/>
              <w:rPr>
                <w:sz w:val="21"/>
                <w:szCs w:val="21"/>
                <w:color w:val="auto"/>
              </w:rPr>
            </w:pPr>
          </w:p>
        </w:tc>
        <w:tc>
          <w:tcPr>
            <w:tcW w:w="1660" w:type="dxa"/>
            <w:vAlign w:val="bottom"/>
            <w:tcBorders>
              <w:bottom w:val="single" w:sz="8" w:color="BFBFBF"/>
              <w:right w:val="single" w:sz="8" w:color="BFBFBF"/>
            </w:tcBorders>
          </w:tcPr>
          <w:p>
            <w:pPr>
              <w:spacing w:after="0"/>
              <w:rPr>
                <w:sz w:val="21"/>
                <w:szCs w:val="21"/>
                <w:color w:val="auto"/>
              </w:rPr>
            </w:pPr>
          </w:p>
        </w:tc>
      </w:tr>
      <w:tr>
        <w:trPr>
          <w:trHeight w:val="257"/>
        </w:trPr>
        <w:tc>
          <w:tcPr>
            <w:tcW w:w="5360" w:type="dxa"/>
            <w:vAlign w:val="bottom"/>
            <w:tcBorders>
              <w:left w:val="single" w:sz="8" w:color="BFBFBF"/>
              <w:bottom w:val="single" w:sz="8" w:color="BFBFBF"/>
              <w:right w:val="single" w:sz="8" w:color="BFBFBF"/>
            </w:tcBorders>
            <w:shd w:val="clear" w:color="auto" w:fill="CCEEFF"/>
          </w:tcPr>
          <w:p>
            <w:pPr>
              <w:ind w:left="180"/>
              <w:spacing w:after="0"/>
              <w:rPr>
                <w:sz w:val="20"/>
                <w:szCs w:val="20"/>
                <w:color w:val="auto"/>
              </w:rPr>
            </w:pPr>
            <w:r>
              <w:rPr>
                <w:rFonts w:ascii="Arial" w:cs="Arial" w:eastAsia="Arial" w:hAnsi="Arial"/>
                <w:sz w:val="18"/>
                <w:szCs w:val="18"/>
                <w:color w:val="auto"/>
              </w:rPr>
              <w:t>Automotive Mirrors &amp; Electronics</w:t>
            </w:r>
          </w:p>
        </w:tc>
        <w:tc>
          <w:tcPr>
            <w:tcW w:w="120" w:type="dxa"/>
            <w:vAlign w:val="bottom"/>
            <w:tcBorders>
              <w:bottom w:val="single" w:sz="8" w:color="BFBFB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80" w:type="dxa"/>
            <w:vAlign w:val="bottom"/>
            <w:tcBorders>
              <w:bottom w:val="single" w:sz="8" w:color="BFBFBF"/>
              <w:right w:val="single" w:sz="8" w:color="BFBFBF"/>
            </w:tcBorders>
            <w:shd w:val="clear" w:color="auto" w:fill="CCEEFF"/>
          </w:tcPr>
          <w:p>
            <w:pPr>
              <w:jc w:val="right"/>
              <w:ind w:right="94"/>
              <w:spacing w:after="0"/>
              <w:rPr>
                <w:sz w:val="20"/>
                <w:szCs w:val="20"/>
                <w:color w:val="auto"/>
              </w:rPr>
            </w:pPr>
            <w:r>
              <w:rPr>
                <w:rFonts w:ascii="Arial" w:cs="Arial" w:eastAsia="Arial" w:hAnsi="Arial"/>
                <w:sz w:val="18"/>
                <w:szCs w:val="18"/>
                <w:color w:val="auto"/>
              </w:rPr>
              <w:t>396,547,385</w:t>
            </w:r>
          </w:p>
        </w:tc>
        <w:tc>
          <w:tcPr>
            <w:tcW w:w="680" w:type="dxa"/>
            <w:vAlign w:val="bottom"/>
            <w:tcBorders>
              <w:bottom w:val="single" w:sz="8" w:color="BFBFBF"/>
            </w:tcBorders>
            <w:shd w:val="clear" w:color="auto" w:fill="CCEEFF"/>
          </w:tcPr>
          <w:p>
            <w:pPr>
              <w:jc w:val="right"/>
              <w:ind w:right="474"/>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BFBFBF"/>
              <w:right w:val="single" w:sz="8" w:color="BFBFBF"/>
            </w:tcBorders>
            <w:shd w:val="clear" w:color="auto" w:fill="CCEEFF"/>
          </w:tcPr>
          <w:p>
            <w:pPr>
              <w:jc w:val="right"/>
              <w:ind w:right="10"/>
              <w:spacing w:after="0"/>
              <w:rPr>
                <w:sz w:val="20"/>
                <w:szCs w:val="20"/>
                <w:color w:val="auto"/>
              </w:rPr>
            </w:pPr>
            <w:r>
              <w:rPr>
                <w:rFonts w:ascii="Arial" w:cs="Arial" w:eastAsia="Arial" w:hAnsi="Arial"/>
                <w:sz w:val="18"/>
                <w:szCs w:val="18"/>
                <w:color w:val="auto"/>
              </w:rPr>
              <w:t>800,789,013</w:t>
            </w:r>
          </w:p>
        </w:tc>
      </w:tr>
      <w:tr>
        <w:trPr>
          <w:trHeight w:val="250"/>
        </w:trPr>
        <w:tc>
          <w:tcPr>
            <w:tcW w:w="5360" w:type="dxa"/>
            <w:vAlign w:val="bottom"/>
            <w:tcBorders>
              <w:left w:val="single" w:sz="8" w:color="BFBFBF"/>
              <w:bottom w:val="single" w:sz="8" w:color="BFBFBF"/>
              <w:right w:val="single" w:sz="8" w:color="BFBFBF"/>
            </w:tcBorders>
          </w:tcPr>
          <w:p>
            <w:pPr>
              <w:ind w:left="180"/>
              <w:spacing w:after="0"/>
              <w:rPr>
                <w:sz w:val="20"/>
                <w:szCs w:val="20"/>
                <w:color w:val="auto"/>
              </w:rPr>
            </w:pPr>
            <w:r>
              <w:rPr>
                <w:rFonts w:ascii="Arial" w:cs="Arial" w:eastAsia="Arial" w:hAnsi="Arial"/>
                <w:sz w:val="18"/>
                <w:szCs w:val="18"/>
                <w:color w:val="auto"/>
              </w:rPr>
              <w:t>HomeLink Modules*</w:t>
            </w:r>
          </w:p>
        </w:tc>
        <w:tc>
          <w:tcPr>
            <w:tcW w:w="120" w:type="dxa"/>
            <w:vAlign w:val="bottom"/>
            <w:tcBorders>
              <w:bottom w:val="single" w:sz="8" w:color="auto"/>
            </w:tcBorders>
          </w:tcPr>
          <w:p>
            <w:pPr>
              <w:spacing w:after="0"/>
              <w:rPr>
                <w:sz w:val="21"/>
                <w:szCs w:val="21"/>
                <w:color w:val="auto"/>
              </w:rPr>
            </w:pPr>
          </w:p>
        </w:tc>
        <w:tc>
          <w:tcPr>
            <w:tcW w:w="2280" w:type="dxa"/>
            <w:vAlign w:val="bottom"/>
            <w:tcBorders>
              <w:bottom w:val="single" w:sz="8" w:color="auto"/>
              <w:right w:val="single" w:sz="8" w:color="BFBFBF"/>
            </w:tcBorders>
          </w:tcPr>
          <w:p>
            <w:pPr>
              <w:jc w:val="right"/>
              <w:ind w:right="94"/>
              <w:spacing w:after="0"/>
              <w:rPr>
                <w:sz w:val="20"/>
                <w:szCs w:val="20"/>
                <w:color w:val="auto"/>
              </w:rPr>
            </w:pPr>
            <w:r>
              <w:rPr>
                <w:rFonts w:ascii="Arial" w:cs="Arial" w:eastAsia="Arial" w:hAnsi="Arial"/>
                <w:sz w:val="18"/>
                <w:szCs w:val="18"/>
                <w:color w:val="auto"/>
              </w:rPr>
              <w:t>47,698,040</w:t>
            </w:r>
          </w:p>
        </w:tc>
        <w:tc>
          <w:tcPr>
            <w:tcW w:w="68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BFBFBF"/>
            </w:tcBorders>
          </w:tcPr>
          <w:p>
            <w:pPr>
              <w:jc w:val="right"/>
              <w:ind w:right="10"/>
              <w:spacing w:after="0"/>
              <w:rPr>
                <w:sz w:val="20"/>
                <w:szCs w:val="20"/>
                <w:color w:val="auto"/>
              </w:rPr>
            </w:pPr>
            <w:r>
              <w:rPr>
                <w:rFonts w:ascii="Arial" w:cs="Arial" w:eastAsia="Arial" w:hAnsi="Arial"/>
                <w:sz w:val="18"/>
                <w:szCs w:val="18"/>
                <w:color w:val="auto"/>
              </w:rPr>
              <w:t>98,421,786</w:t>
            </w:r>
          </w:p>
        </w:tc>
      </w:tr>
      <w:tr>
        <w:trPr>
          <w:trHeight w:val="244"/>
        </w:trPr>
        <w:tc>
          <w:tcPr>
            <w:tcW w:w="5360" w:type="dxa"/>
            <w:vAlign w:val="bottom"/>
            <w:tcBorders>
              <w:left w:val="single" w:sz="8" w:color="BFBFBF"/>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120" w:type="dxa"/>
            <w:vAlign w:val="bottom"/>
            <w:tcBorders>
              <w:bottom w:val="single" w:sz="8" w:color="BFBFB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80" w:type="dxa"/>
            <w:vAlign w:val="bottom"/>
            <w:tcBorders>
              <w:bottom w:val="single" w:sz="8" w:color="BFBFBF"/>
              <w:right w:val="single" w:sz="8" w:color="BFBFBF"/>
            </w:tcBorders>
            <w:shd w:val="clear" w:color="auto" w:fill="CCEEFF"/>
          </w:tcPr>
          <w:p>
            <w:pPr>
              <w:jc w:val="right"/>
              <w:ind w:right="94"/>
              <w:spacing w:after="0"/>
              <w:rPr>
                <w:sz w:val="20"/>
                <w:szCs w:val="20"/>
                <w:color w:val="auto"/>
              </w:rPr>
            </w:pPr>
            <w:r>
              <w:rPr>
                <w:rFonts w:ascii="Arial" w:cs="Arial" w:eastAsia="Arial" w:hAnsi="Arial"/>
                <w:sz w:val="18"/>
                <w:szCs w:val="18"/>
                <w:color w:val="auto"/>
              </w:rPr>
              <w:t>444,245,425</w:t>
            </w:r>
          </w:p>
        </w:tc>
        <w:tc>
          <w:tcPr>
            <w:tcW w:w="680" w:type="dxa"/>
            <w:vAlign w:val="bottom"/>
            <w:tcBorders>
              <w:bottom w:val="single" w:sz="8" w:color="BFBFBF"/>
            </w:tcBorders>
            <w:shd w:val="clear" w:color="auto" w:fill="CCEEFF"/>
          </w:tcPr>
          <w:p>
            <w:pPr>
              <w:jc w:val="right"/>
              <w:ind w:right="474"/>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BFBFBF"/>
              <w:right w:val="single" w:sz="8" w:color="BFBFBF"/>
            </w:tcBorders>
            <w:shd w:val="clear" w:color="auto" w:fill="CCEEFF"/>
          </w:tcPr>
          <w:p>
            <w:pPr>
              <w:jc w:val="right"/>
              <w:ind w:right="10"/>
              <w:spacing w:after="0"/>
              <w:rPr>
                <w:sz w:val="20"/>
                <w:szCs w:val="20"/>
                <w:color w:val="auto"/>
              </w:rPr>
            </w:pPr>
            <w:r>
              <w:rPr>
                <w:rFonts w:ascii="Arial" w:cs="Arial" w:eastAsia="Arial" w:hAnsi="Arial"/>
                <w:sz w:val="18"/>
                <w:szCs w:val="18"/>
                <w:color w:val="auto"/>
              </w:rPr>
              <w:t>899,210,799</w:t>
            </w:r>
          </w:p>
        </w:tc>
      </w:tr>
      <w:tr>
        <w:trPr>
          <w:trHeight w:val="203"/>
        </w:trPr>
        <w:tc>
          <w:tcPr>
            <w:tcW w:w="5360" w:type="dxa"/>
            <w:vAlign w:val="bottom"/>
            <w:tcBorders>
              <w:left w:val="single" w:sz="8" w:color="BFBFBF"/>
              <w:bottom w:val="single" w:sz="8" w:color="BFBFBF"/>
              <w:right w:val="single" w:sz="8" w:color="BFBFBF"/>
            </w:tcBorders>
          </w:tcPr>
          <w:p>
            <w:pPr>
              <w:spacing w:after="0"/>
              <w:rPr>
                <w:sz w:val="17"/>
                <w:szCs w:val="17"/>
                <w:color w:val="auto"/>
              </w:rPr>
            </w:pPr>
          </w:p>
        </w:tc>
        <w:tc>
          <w:tcPr>
            <w:tcW w:w="120" w:type="dxa"/>
            <w:vAlign w:val="bottom"/>
            <w:tcBorders>
              <w:bottom w:val="single" w:sz="8" w:color="BFBFBF"/>
            </w:tcBorders>
          </w:tcPr>
          <w:p>
            <w:pPr>
              <w:spacing w:after="0"/>
              <w:rPr>
                <w:sz w:val="17"/>
                <w:szCs w:val="17"/>
                <w:color w:val="auto"/>
              </w:rPr>
            </w:pPr>
          </w:p>
        </w:tc>
        <w:tc>
          <w:tcPr>
            <w:tcW w:w="2280" w:type="dxa"/>
            <w:vAlign w:val="bottom"/>
            <w:tcBorders>
              <w:bottom w:val="single" w:sz="8" w:color="BFBFBF"/>
              <w:right w:val="single" w:sz="8" w:color="BFBFBF"/>
            </w:tcBorders>
          </w:tcPr>
          <w:p>
            <w:pPr>
              <w:spacing w:after="0"/>
              <w:rPr>
                <w:sz w:val="17"/>
                <w:szCs w:val="17"/>
                <w:color w:val="auto"/>
              </w:rPr>
            </w:pPr>
          </w:p>
        </w:tc>
        <w:tc>
          <w:tcPr>
            <w:tcW w:w="680" w:type="dxa"/>
            <w:vAlign w:val="bottom"/>
            <w:tcBorders>
              <w:bottom w:val="single" w:sz="8" w:color="BFBFBF"/>
            </w:tcBorders>
          </w:tcPr>
          <w:p>
            <w:pPr>
              <w:spacing w:after="0"/>
              <w:rPr>
                <w:sz w:val="17"/>
                <w:szCs w:val="17"/>
                <w:color w:val="auto"/>
              </w:rPr>
            </w:pPr>
          </w:p>
        </w:tc>
        <w:tc>
          <w:tcPr>
            <w:tcW w:w="1660" w:type="dxa"/>
            <w:vAlign w:val="bottom"/>
            <w:tcBorders>
              <w:bottom w:val="single" w:sz="8" w:color="BFBFBF"/>
              <w:right w:val="single" w:sz="8" w:color="BFBFBF"/>
            </w:tcBorders>
          </w:tcPr>
          <w:p>
            <w:pPr>
              <w:spacing w:after="0"/>
              <w:rPr>
                <w:sz w:val="17"/>
                <w:szCs w:val="17"/>
                <w:color w:val="auto"/>
              </w:rPr>
            </w:pPr>
          </w:p>
        </w:tc>
      </w:tr>
      <w:tr>
        <w:trPr>
          <w:trHeight w:val="244"/>
        </w:trPr>
        <w:tc>
          <w:tcPr>
            <w:tcW w:w="5360" w:type="dxa"/>
            <w:vAlign w:val="bottom"/>
            <w:tcBorders>
              <w:left w:val="single" w:sz="8" w:color="BFBFBF"/>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Other Segment</w:t>
            </w:r>
          </w:p>
        </w:tc>
        <w:tc>
          <w:tcPr>
            <w:tcW w:w="120" w:type="dxa"/>
            <w:vAlign w:val="bottom"/>
            <w:tcBorders>
              <w:bottom w:val="single" w:sz="8" w:color="BFBFBF"/>
            </w:tcBorders>
            <w:shd w:val="clear" w:color="auto" w:fill="CCEEFF"/>
          </w:tcPr>
          <w:p>
            <w:pPr>
              <w:spacing w:after="0"/>
              <w:rPr>
                <w:sz w:val="21"/>
                <w:szCs w:val="21"/>
                <w:color w:val="auto"/>
              </w:rPr>
            </w:pPr>
          </w:p>
        </w:tc>
        <w:tc>
          <w:tcPr>
            <w:tcW w:w="2280" w:type="dxa"/>
            <w:vAlign w:val="bottom"/>
            <w:tcBorders>
              <w:bottom w:val="single" w:sz="8" w:color="BFBFBF"/>
              <w:right w:val="single" w:sz="8" w:color="BFBFBF"/>
            </w:tcBorders>
            <w:shd w:val="clear" w:color="auto" w:fill="CCEEFF"/>
          </w:tcPr>
          <w:p>
            <w:pPr>
              <w:spacing w:after="0"/>
              <w:rPr>
                <w:sz w:val="21"/>
                <w:szCs w:val="21"/>
                <w:color w:val="auto"/>
              </w:rPr>
            </w:pPr>
          </w:p>
        </w:tc>
        <w:tc>
          <w:tcPr>
            <w:tcW w:w="680" w:type="dxa"/>
            <w:vAlign w:val="bottom"/>
            <w:tcBorders>
              <w:bottom w:val="single" w:sz="8" w:color="BFBFBF"/>
            </w:tcBorders>
            <w:shd w:val="clear" w:color="auto" w:fill="CCEEFF"/>
          </w:tcPr>
          <w:p>
            <w:pPr>
              <w:spacing w:after="0"/>
              <w:rPr>
                <w:sz w:val="21"/>
                <w:szCs w:val="21"/>
                <w:color w:val="auto"/>
              </w:rPr>
            </w:pPr>
          </w:p>
        </w:tc>
        <w:tc>
          <w:tcPr>
            <w:tcW w:w="1660" w:type="dxa"/>
            <w:vAlign w:val="bottom"/>
            <w:tcBorders>
              <w:bottom w:val="single" w:sz="8" w:color="BFBFBF"/>
              <w:right w:val="single" w:sz="8" w:color="BFBFBF"/>
            </w:tcBorders>
            <w:shd w:val="clear" w:color="auto" w:fill="CCEEFF"/>
          </w:tcPr>
          <w:p>
            <w:pPr>
              <w:spacing w:after="0"/>
              <w:rPr>
                <w:sz w:val="21"/>
                <w:szCs w:val="21"/>
                <w:color w:val="auto"/>
              </w:rPr>
            </w:pPr>
          </w:p>
        </w:tc>
      </w:tr>
      <w:tr>
        <w:trPr>
          <w:trHeight w:val="257"/>
        </w:trPr>
        <w:tc>
          <w:tcPr>
            <w:tcW w:w="5360" w:type="dxa"/>
            <w:vAlign w:val="bottom"/>
            <w:tcBorders>
              <w:left w:val="single" w:sz="8" w:color="BFBFBF"/>
              <w:bottom w:val="single" w:sz="8" w:color="BFBFBF"/>
              <w:right w:val="single" w:sz="8" w:color="BFBFBF"/>
            </w:tcBorders>
          </w:tcPr>
          <w:p>
            <w:pPr>
              <w:ind w:left="180"/>
              <w:spacing w:after="0"/>
              <w:rPr>
                <w:sz w:val="20"/>
                <w:szCs w:val="20"/>
                <w:color w:val="auto"/>
              </w:rPr>
            </w:pPr>
            <w:r>
              <w:rPr>
                <w:rFonts w:ascii="Arial" w:cs="Arial" w:eastAsia="Arial" w:hAnsi="Arial"/>
                <w:sz w:val="18"/>
                <w:szCs w:val="18"/>
                <w:color w:val="auto"/>
              </w:rPr>
              <w:t>Fire Protection Products</w:t>
            </w:r>
          </w:p>
        </w:tc>
        <w:tc>
          <w:tcPr>
            <w:tcW w:w="120" w:type="dxa"/>
            <w:vAlign w:val="bottom"/>
            <w:tcBorders>
              <w:bottom w:val="single" w:sz="8" w:color="BFBFBF"/>
            </w:tcBorders>
          </w:tcPr>
          <w:p>
            <w:pPr>
              <w:spacing w:after="0"/>
              <w:rPr>
                <w:sz w:val="22"/>
                <w:szCs w:val="22"/>
                <w:color w:val="auto"/>
              </w:rPr>
            </w:pPr>
          </w:p>
        </w:tc>
        <w:tc>
          <w:tcPr>
            <w:tcW w:w="2280" w:type="dxa"/>
            <w:vAlign w:val="bottom"/>
            <w:tcBorders>
              <w:bottom w:val="single" w:sz="8" w:color="BFBFBF"/>
              <w:right w:val="single" w:sz="8" w:color="BFBFBF"/>
            </w:tcBorders>
          </w:tcPr>
          <w:p>
            <w:pPr>
              <w:jc w:val="right"/>
              <w:ind w:right="94"/>
              <w:spacing w:after="0"/>
              <w:rPr>
                <w:sz w:val="20"/>
                <w:szCs w:val="20"/>
                <w:color w:val="auto"/>
              </w:rPr>
            </w:pPr>
            <w:r>
              <w:rPr>
                <w:rFonts w:ascii="Arial" w:cs="Arial" w:eastAsia="Arial" w:hAnsi="Arial"/>
                <w:sz w:val="18"/>
                <w:szCs w:val="18"/>
                <w:color w:val="auto"/>
              </w:rPr>
              <w:t>5,813,210</w:t>
            </w:r>
          </w:p>
        </w:tc>
        <w:tc>
          <w:tcPr>
            <w:tcW w:w="680" w:type="dxa"/>
            <w:vAlign w:val="bottom"/>
            <w:tcBorders>
              <w:bottom w:val="single" w:sz="8" w:color="BFBFBF"/>
            </w:tcBorders>
          </w:tcPr>
          <w:p>
            <w:pPr>
              <w:spacing w:after="0"/>
              <w:rPr>
                <w:sz w:val="22"/>
                <w:szCs w:val="22"/>
                <w:color w:val="auto"/>
              </w:rPr>
            </w:pPr>
          </w:p>
        </w:tc>
        <w:tc>
          <w:tcPr>
            <w:tcW w:w="1660" w:type="dxa"/>
            <w:vAlign w:val="bottom"/>
            <w:tcBorders>
              <w:bottom w:val="single" w:sz="8" w:color="BFBFBF"/>
              <w:right w:val="single" w:sz="8" w:color="BFBFBF"/>
            </w:tcBorders>
          </w:tcPr>
          <w:p>
            <w:pPr>
              <w:jc w:val="right"/>
              <w:ind w:right="10"/>
              <w:spacing w:after="0"/>
              <w:rPr>
                <w:sz w:val="20"/>
                <w:szCs w:val="20"/>
                <w:color w:val="auto"/>
              </w:rPr>
            </w:pPr>
            <w:r>
              <w:rPr>
                <w:rFonts w:ascii="Arial" w:cs="Arial" w:eastAsia="Arial" w:hAnsi="Arial"/>
                <w:sz w:val="18"/>
                <w:szCs w:val="18"/>
                <w:color w:val="auto"/>
              </w:rPr>
              <w:t>11,092,868</w:t>
            </w:r>
          </w:p>
        </w:tc>
      </w:tr>
      <w:tr>
        <w:trPr>
          <w:trHeight w:val="270"/>
        </w:trPr>
        <w:tc>
          <w:tcPr>
            <w:tcW w:w="5360" w:type="dxa"/>
            <w:vAlign w:val="bottom"/>
            <w:tcBorders>
              <w:left w:val="single" w:sz="8" w:color="BFBFBF"/>
              <w:bottom w:val="single" w:sz="8" w:color="BFBFBF"/>
              <w:right w:val="single" w:sz="8" w:color="BFBFBF"/>
            </w:tcBorders>
            <w:shd w:val="clear" w:color="auto" w:fill="CCEEFF"/>
          </w:tcPr>
          <w:p>
            <w:pPr>
              <w:ind w:left="180"/>
              <w:spacing w:after="0"/>
              <w:rPr>
                <w:sz w:val="20"/>
                <w:szCs w:val="20"/>
                <w:color w:val="auto"/>
              </w:rPr>
            </w:pPr>
            <w:r>
              <w:rPr>
                <w:rFonts w:ascii="Arial" w:cs="Arial" w:eastAsia="Arial" w:hAnsi="Arial"/>
                <w:sz w:val="18"/>
                <w:szCs w:val="18"/>
                <w:color w:val="auto"/>
              </w:rPr>
              <w:t>Windows Products</w:t>
            </w:r>
          </w:p>
        </w:tc>
        <w:tc>
          <w:tcPr>
            <w:tcW w:w="120" w:type="dxa"/>
            <w:vAlign w:val="bottom"/>
            <w:tcBorders>
              <w:bottom w:val="single" w:sz="8" w:color="auto"/>
            </w:tcBorders>
            <w:shd w:val="clear" w:color="auto" w:fill="CCEEFF"/>
          </w:tcPr>
          <w:p>
            <w:pPr>
              <w:spacing w:after="0"/>
              <w:rPr>
                <w:sz w:val="23"/>
                <w:szCs w:val="23"/>
                <w:color w:val="auto"/>
              </w:rPr>
            </w:pPr>
          </w:p>
        </w:tc>
        <w:tc>
          <w:tcPr>
            <w:tcW w:w="2280" w:type="dxa"/>
            <w:vAlign w:val="bottom"/>
            <w:tcBorders>
              <w:bottom w:val="single" w:sz="8" w:color="auto"/>
              <w:right w:val="single" w:sz="8" w:color="BFBFBF"/>
            </w:tcBorders>
            <w:shd w:val="clear" w:color="auto" w:fill="CCEEFF"/>
          </w:tcPr>
          <w:p>
            <w:pPr>
              <w:jc w:val="right"/>
              <w:ind w:right="94"/>
              <w:spacing w:after="0"/>
              <w:rPr>
                <w:sz w:val="20"/>
                <w:szCs w:val="20"/>
                <w:color w:val="auto"/>
              </w:rPr>
            </w:pPr>
            <w:r>
              <w:rPr>
                <w:rFonts w:ascii="Arial" w:cs="Arial" w:eastAsia="Arial" w:hAnsi="Arial"/>
                <w:sz w:val="18"/>
                <w:szCs w:val="18"/>
                <w:color w:val="auto"/>
              </w:rPr>
              <w:t>4,922,805</w:t>
            </w:r>
          </w:p>
        </w:tc>
        <w:tc>
          <w:tcPr>
            <w:tcW w:w="6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right w:val="single" w:sz="8" w:color="BFBFB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10,097,877</w:t>
            </w:r>
          </w:p>
        </w:tc>
      </w:tr>
      <w:tr>
        <w:trPr>
          <w:trHeight w:val="230"/>
        </w:trPr>
        <w:tc>
          <w:tcPr>
            <w:tcW w:w="5360" w:type="dxa"/>
            <w:vAlign w:val="bottom"/>
            <w:tcBorders>
              <w:left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Total Other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80" w:type="dxa"/>
            <w:vAlign w:val="bottom"/>
            <w:tcBorders>
              <w:bottom w:val="single" w:sz="8" w:color="auto"/>
              <w:right w:val="single" w:sz="8" w:color="BFBFBF"/>
            </w:tcBorders>
          </w:tcPr>
          <w:p>
            <w:pPr>
              <w:jc w:val="right"/>
              <w:ind w:right="94"/>
              <w:spacing w:after="0"/>
              <w:rPr>
                <w:sz w:val="20"/>
                <w:szCs w:val="20"/>
                <w:color w:val="auto"/>
              </w:rPr>
            </w:pPr>
            <w:r>
              <w:rPr>
                <w:rFonts w:ascii="Arial" w:cs="Arial" w:eastAsia="Arial" w:hAnsi="Arial"/>
                <w:sz w:val="18"/>
                <w:szCs w:val="18"/>
                <w:color w:val="auto"/>
              </w:rPr>
              <w:t>10,736,015</w:t>
            </w:r>
          </w:p>
        </w:tc>
        <w:tc>
          <w:tcPr>
            <w:tcW w:w="68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right w:val="single" w:sz="8" w:color="BFBFBF"/>
            </w:tcBorders>
          </w:tcPr>
          <w:p>
            <w:pPr>
              <w:jc w:val="right"/>
              <w:ind w:right="10"/>
              <w:spacing w:after="0"/>
              <w:rPr>
                <w:sz w:val="20"/>
                <w:szCs w:val="20"/>
                <w:color w:val="auto"/>
              </w:rPr>
            </w:pPr>
            <w:r>
              <w:rPr>
                <w:rFonts w:ascii="Arial" w:cs="Arial" w:eastAsia="Arial" w:hAnsi="Arial"/>
                <w:sz w:val="18"/>
                <w:szCs w:val="18"/>
                <w:color w:val="auto"/>
              </w:rPr>
              <w:t>21,190,745</w:t>
            </w:r>
          </w:p>
        </w:tc>
      </w:tr>
      <w:tr>
        <w:trPr>
          <w:trHeight w:val="20"/>
        </w:trPr>
        <w:tc>
          <w:tcPr>
            <w:tcW w:w="5360" w:type="dxa"/>
            <w:vAlign w:val="bottom"/>
            <w:tcBorders>
              <w:left w:val="single" w:sz="8" w:color="BFBFBF"/>
              <w:bottom w:val="single" w:sz="8" w:color="BFBFB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*Excludes HomeLink revenue related to HomeLink modules integrated into automotive mirrors</w:t>
      </w:r>
    </w:p>
    <w:p>
      <w:pPr>
        <w:spacing w:after="0" w:line="158"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Revenue is recognized when obligations under the terms of a contract with the customer are satisfied. Such recognition generally occurs with the transfer of control of the products at a point in time. OEM contracts generally include Long Term Supply Agreements ("LTSA") and Purchase Orders ("PO") whereby the LTSA sometimes stipulates the pricing and delivery terms and is evaluated together with a PO, which identifies the quantity, timing, and the type of product to be transferred. Certain customer contracts do not always have an LTSA, in which case, the contracts are governed by the PO from the customer in conjunction with other mutually agreed upon terms and conditions.</w:t>
      </w:r>
    </w:p>
    <w:p>
      <w:pPr>
        <w:spacing w:after="0" w:line="141"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Company does not generate revenue from arrangements with multiple deliverables. Revenue is measured as the amount of consideration the Company expects to receive in exchange for transferring goods and excludes from revenue amounts which are transferred to third parties, such as sales, value add, and other taxes the Company collects concurrently with revenue-producing activities. The Company does not incur any incremental cost to obtain contracts. Costs are incurred to fulfill contracts with the OEM. However, such costs are accounted for under ASC 340-10, and are not treated as fulfillment costs under ASC 340-40.</w:t>
      </w:r>
    </w:p>
    <w:p>
      <w:pPr>
        <w:sectPr>
          <w:pgSz w:w="11900" w:h="16838" w:orient="portrait"/>
          <w:cols w:equalWidth="0" w:num="1">
            <w:col w:w="11420"/>
          </w:cols>
          <w:pgMar w:left="240" w:top="38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180"/>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420"/>
          </w:cols>
          <w:pgMar w:left="240" w:top="382" w:right="239" w:bottom="1440" w:gutter="0" w:footer="0" w:header="0"/>
          <w:type w:val="continuous"/>
        </w:sectPr>
      </w:pPr>
    </w:p>
    <w:bookmarkStart w:id="19" w:name="page20"/>
    <w:bookmarkEnd w:id="19"/>
    <w:p>
      <w:pPr>
        <w:jc w:val="center"/>
        <w:ind w:right="640"/>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23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NOTES TO UNAUDITED CONDENSED CONSOLIDATED FINANCIAL STATEMENTS</w:t>
      </w:r>
    </w:p>
    <w:p>
      <w:pPr>
        <w:jc w:val="center"/>
        <w:ind w:right="64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Automotive Products Segment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Rearview Mirrors and Electronics</w:t>
      </w:r>
    </w:p>
    <w:p>
      <w:pPr>
        <w:spacing w:after="0" w:line="16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The Company manufactures interior electrochromic automatic-dimming rearview mirrors that darken to reduce glare and improve visibility for the driver. These electronic interior mirrors can also include additional electronic features such as compass, microphones, HomeLink</w:t>
      </w:r>
      <w:r>
        <w:rPr>
          <w:rFonts w:ascii="Arial" w:cs="Arial" w:eastAsia="Arial" w:hAnsi="Arial"/>
          <w:sz w:val="23"/>
          <w:szCs w:val="23"/>
          <w:color w:val="auto"/>
          <w:vertAlign w:val="superscript"/>
        </w:rPr>
        <w:t>®</w:t>
      </w:r>
      <w:r>
        <w:rPr>
          <w:rFonts w:ascii="Arial" w:cs="Arial" w:eastAsia="Arial" w:hAnsi="Arial"/>
          <w:sz w:val="18"/>
          <w:szCs w:val="18"/>
          <w:color w:val="auto"/>
        </w:rPr>
        <w:t>, lighting assist and driver assist forward safety camera systems, various lighting systems, various telematics systems,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systems, and a wide variety of displays. The Company also ships interior non-automatic-dimming rearview mirrors with features. 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also include additional features such as turn signal indicators, side blind zone indicators, and courtesy lighting. The Company also ships exterior non-automatic-dimming rearview mirrors with similar electronic features as what is available in its automatic-dimming applications. The Company manufactures other automotive electronics products both inside and outside of the rearview mirror through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in the vehicle including the rearview mirror, interior visor, overhead console, or center console.</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majority of automotive products, transfer of control and revenue recognition occurs when the Company ships the product from the manufacturing facility to the customer. The Company receives cash equal to the invoice price for most automotive product sales at time of invoice.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approach is to consider these adjustments to the contract price as variable consideration which is estimated based on the then most likely price amount. Payment terms on automotive part sales to customers range from 15 days to 90 days. Estimated revenue is adjusted at the earlier of when the most likely amount of consideration expected to be received changes or when the consideration becomes fixed.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HomeLink</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Modules</w:t>
      </w:r>
    </w:p>
    <w:p>
      <w:pPr>
        <w:spacing w:after="0" w:line="10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Company manufactures and sells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Modules individually, as well as in combination with the automotive mirrors and other advanced features, as described above. For the majority of automotive products, transfer of control and revenue recognition occurs when the Company ships the product from the manufacturing facility to the customer.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Segment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Dimmable Aircraft Windows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supplies variable dimmable windows for the passenger compartment on the Boeing 787 Dreamliner Series of Aircraft. For dimmable aircraft windows, transfer of control and revenue recognition occurs when the Company ships the product from the manufacturing facility to the customer. Payment terms on dimmable aircraft window sales range from 30 days to 45 days.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Fire Protection Products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manufactures photoelectric smoke detectors and alarms, visual signaling alarms, electrochemical carbon monoxide detectors and alarms, audible and visual signaling alarms, and bells and speakers for use in fire detection systems in office buildings, hotels, and other commercial and residential buildings. For fire protection parts, transfer of control and revenue recognition occurs when the Company ships the product from the manufacturing facility to the customer. Payment terms on fire protection part sales to customers range from 30 days to 75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520"/>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0760"/>
          </w:cols>
          <w:pgMar w:left="900" w:top="38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SECOND QUARTER 2018 VERSUS SECOND QUARTER 2017</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second quarter of 2018 increased by $11.8 million or 3% when compared with the second quarter of 2017.</w:t>
      </w:r>
    </w:p>
    <w:p>
      <w:pPr>
        <w:spacing w:after="0" w:line="16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Automotive net sales for the second quarter of 2018 increased 2% to $444.2 million, compared with automotive net sales of $433.9 million in the second quarter of 2017, driven primarily by an 8% quarter over quarter increase in automotive mirror unit shipments. This increase in automotive mirror unit shipments in the second quarter of 2018 of 8% to 10.6 million units compared with the second quarter of 2017, was primarily due to increased international shipments of the Company's interior and exterior auto-dimming mirrors on a quarter over quarter basis, as opposed to North American mirror unit shipments, which were essentially flat on a quarter over quarter basis.</w:t>
      </w:r>
    </w:p>
    <w:p>
      <w:pPr>
        <w:spacing w:after="0" w:line="249"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and six months ended June 30, 2018, and 2017 </w:t>
      </w:r>
      <w:r>
        <w:rPr>
          <w:rFonts w:ascii="Arial" w:cs="Arial" w:eastAsia="Arial" w:hAnsi="Arial"/>
          <w:sz w:val="18"/>
          <w:szCs w:val="18"/>
          <w:i w:val="1"/>
          <w:iCs w:val="1"/>
          <w:color w:val="auto"/>
        </w:rPr>
        <w:t>(in thousands).</w:t>
      </w:r>
    </w:p>
    <w:p>
      <w:pPr>
        <w:spacing w:after="0" w:line="278"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2880" w:type="dxa"/>
            <w:vAlign w:val="bottom"/>
          </w:tcPr>
          <w:p>
            <w:pPr>
              <w:spacing w:after="0"/>
              <w:rPr>
                <w:sz w:val="17"/>
                <w:szCs w:val="17"/>
                <w:color w:val="auto"/>
              </w:rPr>
            </w:pPr>
          </w:p>
        </w:tc>
        <w:tc>
          <w:tcPr>
            <w:tcW w:w="3460" w:type="dxa"/>
            <w:vAlign w:val="bottom"/>
            <w:tcBorders>
              <w:bottom w:val="single" w:sz="8" w:color="auto"/>
            </w:tcBorders>
            <w:gridSpan w:val="5"/>
          </w:tcPr>
          <w:p>
            <w:pPr>
              <w:jc w:val="right"/>
              <w:ind w:right="532"/>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175"/>
        </w:trPr>
        <w:tc>
          <w:tcPr>
            <w:tcW w:w="2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r>
      <w:tr>
        <w:trPr>
          <w:trHeight w:val="202"/>
        </w:trPr>
        <w:tc>
          <w:tcPr>
            <w:tcW w:w="2880" w:type="dxa"/>
            <w:vAlign w:val="bottom"/>
          </w:tcPr>
          <w:p>
            <w:pPr>
              <w:spacing w:after="0"/>
              <w:rPr>
                <w:sz w:val="17"/>
                <w:szCs w:val="17"/>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7"/>
                <w:szCs w:val="17"/>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7"/>
                <w:szCs w:val="17"/>
                <w:color w:val="auto"/>
              </w:rPr>
            </w:pPr>
          </w:p>
        </w:tc>
        <w:tc>
          <w:tcPr>
            <w:tcW w:w="1160" w:type="dxa"/>
            <w:vAlign w:val="bottom"/>
            <w:gridSpan w:val="3"/>
          </w:tcPr>
          <w:p>
            <w:pPr>
              <w:ind w:left="180"/>
              <w:spacing w:after="0"/>
              <w:rPr>
                <w:sz w:val="20"/>
                <w:szCs w:val="20"/>
                <w:color w:val="auto"/>
              </w:rPr>
            </w:pPr>
            <w:r>
              <w:rPr>
                <w:rFonts w:ascii="Arial" w:cs="Arial" w:eastAsia="Arial" w:hAnsi="Arial"/>
                <w:sz w:val="14"/>
                <w:szCs w:val="14"/>
                <w:b w:val="1"/>
                <w:bCs w:val="1"/>
                <w:color w:val="auto"/>
              </w:rPr>
              <w:t>% Change</w:t>
            </w: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7"/>
                <w:szCs w:val="17"/>
                <w:color w:val="auto"/>
              </w:rPr>
            </w:pPr>
          </w:p>
        </w:tc>
        <w:tc>
          <w:tcPr>
            <w:tcW w:w="10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r>
      <w:tr>
        <w:trPr>
          <w:trHeight w:val="250"/>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30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30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32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3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50"/>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3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3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3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3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 %</w:t>
            </w:r>
          </w:p>
        </w:tc>
      </w:tr>
      <w:tr>
        <w:trPr>
          <w:trHeight w:val="25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North American Mirror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50"/>
        </w:trPr>
        <w:tc>
          <w:tcPr>
            <w:tcW w:w="2880" w:type="dxa"/>
            <w:vAlign w:val="bottom"/>
          </w:tcPr>
          <w:p>
            <w:pPr>
              <w:ind w:left="20"/>
              <w:spacing w:after="0"/>
              <w:rPr>
                <w:sz w:val="20"/>
                <w:szCs w:val="20"/>
                <w:color w:val="auto"/>
              </w:rPr>
            </w:pPr>
            <w:r>
              <w:rPr>
                <w:rFonts w:ascii="Arial" w:cs="Arial" w:eastAsia="Arial" w:hAnsi="Arial"/>
                <w:sz w:val="18"/>
                <w:szCs w:val="18"/>
                <w:color w:val="auto"/>
              </w:rPr>
              <w:t>International Interior Mirrors</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5,299</w:t>
            </w:r>
          </w:p>
        </w:tc>
        <w:tc>
          <w:tcPr>
            <w:tcW w:w="30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300" w:type="dxa"/>
            <w:vAlign w:val="bottom"/>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10,647</w:t>
            </w:r>
          </w:p>
        </w:tc>
        <w:tc>
          <w:tcPr>
            <w:tcW w:w="320" w:type="dxa"/>
            <w:vAlign w:val="bottom"/>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9,644</w:t>
            </w:r>
          </w:p>
        </w:tc>
        <w:tc>
          <w:tcPr>
            <w:tcW w:w="300" w:type="dxa"/>
            <w:vAlign w:val="bottom"/>
          </w:tcPr>
          <w:p>
            <w:pPr>
              <w:spacing w:after="0"/>
              <w:rPr>
                <w:sz w:val="21"/>
                <w:szCs w:val="2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Exterior Mirrors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3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300" w:type="dxa"/>
            <w:vAlign w:val="bottom"/>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32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3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International Mirror Units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7,415</w:t>
            </w:r>
          </w:p>
        </w:tc>
        <w:tc>
          <w:tcPr>
            <w:tcW w:w="3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6,642</w:t>
            </w:r>
          </w:p>
        </w:tc>
        <w:tc>
          <w:tcPr>
            <w:tcW w:w="3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14,874</w:t>
            </w:r>
          </w:p>
        </w:tc>
        <w:tc>
          <w:tcPr>
            <w:tcW w:w="3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13,286</w:t>
            </w:r>
          </w:p>
        </w:tc>
        <w:tc>
          <w:tcPr>
            <w:tcW w:w="3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15,175</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14,235</w:t>
            </w:r>
          </w:p>
        </w:tc>
        <w:tc>
          <w:tcPr>
            <w:tcW w:w="3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w:t>
            </w:r>
          </w:p>
        </w:tc>
        <w:tc>
          <w:tcPr>
            <w:tcW w:w="3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3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w:t>
            </w:r>
          </w:p>
        </w:tc>
        <w:tc>
          <w:tcPr>
            <w:tcW w:w="3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w:t>
            </w:r>
          </w:p>
        </w:tc>
        <w:tc>
          <w:tcPr>
            <w:tcW w:w="3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82"/>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Auto-Dimming Mirror Units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10,567</w:t>
            </w:r>
          </w:p>
        </w:tc>
        <w:tc>
          <w:tcPr>
            <w:tcW w:w="3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21,170</w:t>
            </w:r>
          </w:p>
        </w:tc>
        <w:tc>
          <w:tcPr>
            <w:tcW w:w="3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19,707</w:t>
            </w:r>
          </w:p>
        </w:tc>
        <w:tc>
          <w:tcPr>
            <w:tcW w:w="3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Note: Percent change and amounts may not total due to rounding.</w:t>
      </w:r>
    </w:p>
    <w:p>
      <w:pPr>
        <w:spacing w:after="0" w:line="26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Other net sales were $10.7 million in the second quarter of 2018, an increase of 16%, compared to $9.2 million in the second quarter of 2017. This was a result of fire protection sales of $5.8 million in the second quarter of 2018 increasing by 23% compared to $4.7 million of fire protection sales in the second quarter of 2017. Additionally, automatic dimmable windows increased to $4.9 million, an increase of 9%, in the second quarter of 2018 compared to $4.5 million in the second quarter of 2017.</w:t>
      </w:r>
    </w:p>
    <w:p>
      <w:pPr>
        <w:spacing w:after="0" w:line="22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decreased to 62.0% in the second quarter of 2018 versus 62.3%</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2017. The quarter over quarter net increase in the gross profit margin was primarily the result of product mix and purchasing cost reductions, which increase was partially offset by the inability to leverage fixed overhead costs and annual customer price reductions. On a quarter over quarter basis, annual customer price reductions had a negative impact of approximately 150 - 200 basis points and the inability to leverage fixed overhead had a negative impact of approximately 50 - 100 basis points. Purchasing cost reductions and product mix each had a positive impact of approximately 50 - 150 basis points on a quarter over quarter basis.</w:t>
      </w:r>
    </w:p>
    <w:p>
      <w:pPr>
        <w:spacing w:after="0" w:line="230"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 R &amp; D") expenses for the second quarter of 2018 increased 8% or</w:t>
      </w:r>
      <w:r>
        <w:rPr>
          <w:rFonts w:ascii="Arial" w:cs="Arial" w:eastAsia="Arial" w:hAnsi="Arial"/>
          <w:sz w:val="18"/>
          <w:szCs w:val="18"/>
          <w:i w:val="1"/>
          <w:iCs w:val="1"/>
          <w:color w:val="auto"/>
        </w:rPr>
        <w:t xml:space="preserve"> </w:t>
      </w:r>
      <w:r>
        <w:rPr>
          <w:rFonts w:ascii="Arial" w:cs="Arial" w:eastAsia="Arial" w:hAnsi="Arial"/>
          <w:sz w:val="18"/>
          <w:szCs w:val="18"/>
          <w:color w:val="auto"/>
        </w:rPr>
        <w:t>$2.0 million when compared with the second quarter of 2017, primarily due to increased staffing levels and benefits, which continue to support growth and the development of new business and technology advances.</w:t>
      </w:r>
    </w:p>
    <w:p>
      <w:pPr>
        <w:sectPr>
          <w:pgSz w:w="11900" w:h="16838" w:orient="portrait"/>
          <w:cols w:equalWidth="0" w:num="1">
            <w:col w:w="11420"/>
          </w:cols>
          <w:pgMar w:left="240" w:top="9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1180"/>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420"/>
          </w:cols>
          <w:pgMar w:left="240" w:top="927" w:right="239" w:bottom="1440" w:gutter="0" w:footer="0" w:header="0"/>
          <w:type w:val="continuous"/>
        </w:sectPr>
      </w:pPr>
    </w:p>
    <w:bookmarkStart w:id="21" w:name="page22"/>
    <w:bookmarkEnd w:id="21"/>
    <w:p>
      <w:pPr>
        <w:jc w:val="both"/>
        <w:spacing w:after="0" w:line="254" w:lineRule="auto"/>
        <w:rPr>
          <w:sz w:val="20"/>
          <w:szCs w:val="20"/>
          <w:color w:val="auto"/>
        </w:rPr>
      </w:pPr>
      <w:r>
        <w:rPr>
          <w:rFonts w:ascii="Arial" w:cs="Arial" w:eastAsia="Arial" w:hAnsi="Arial"/>
          <w:sz w:val="18"/>
          <w:szCs w:val="18"/>
          <w:color w:val="auto"/>
        </w:rPr>
        <w:t>Selling, general and administrative ("S, G &amp; A") expenses increased by 18% or $2.8 million for the second quarter of 2018 compared to the second quarter of 2017. S, G &amp; A expenses, notwithstanding the quarter over quarter increase, were at approximately 4% of net sales in the second quarter of 2018 and in the second quarter of 2017. S, G, &amp; A expenses increased on a dollar basis primarily due to increased staffing levels and benefits.</w:t>
      </w:r>
    </w:p>
    <w:p>
      <w:pPr>
        <w:spacing w:after="0" w:line="24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Total operating expenses were $46.1 million in the second quarter of 2018, which increased 12% or $4.8 million, from $41.3 million in the second quarter of 2017.</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second quarter of 2018 increased by $ 0.2 million when compared with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2017, primarily due to increased interest income, net of lowered quarter over quarter interest expense, during the second quarter of 2018 versus the same quarter in the prior year, as the Company increased its investment in fixed-income securities during the current quarter, as well as paid down additional debt.</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15.5% in the second quarter of 2018 compared to 30.8% for same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Generally, effective tax rates for these periods differ from statutory federal income tax rates, due to provisions for state and local income taxes, permanent tax differences, and the foreign-derived intangible income tax deduction during the three month period ended June 30, 2018. The decrease in the effective tax rate for the second quarter of 2018 compared to the same period of 2017 was due to the reduction of the federal income tax rate from 35% to 21% as a result of the Act, as well as R&amp;D tax credits, certain discrete tax benefits related to equity compensation, and the foreign derived intangibles income tax deduction..</w:t>
      </w:r>
    </w:p>
    <w:p>
      <w:pPr>
        <w:spacing w:after="0" w:line="1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second quarter of 2018 increased by $20.5 million or 23% when compared with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due to increases in sales, other income, and the decrease in tax expense described above.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JUNE 30, 2018 VERSUS SIX MONTHS ENDED JUNE 30, 2017</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six months ended June 30, 2018 increased by $23.7 million or 2.6% when compared with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2017.</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Automotive net sales for the first six months of 2018 were $899.2 million, up 2% compared with automotive net sales of $879.6 million for the first six months of 2017, driven by a 7% period over period increase in automotive mirror unit shipments. North American automotive mirror unit shipments in the six months ended June 30, 2018 decreased 2% to 6.3 million units compared with same period in 2017, primarily due to the decline in North American light vehicle production. International automotive mirror unit shipments in the six months ended June 30, 2018, increased 12.0% to 14.9 million units compared with the same period in 2017, primarily due to increased penetration of the Company's interior and exterior auto-dimming mirrors.</w:t>
      </w:r>
    </w:p>
    <w:p>
      <w:pPr>
        <w:spacing w:after="0" w:line="1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62.5% for the first six months of 2018, versus 61.7%</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period last year. The period over period decrease in gross margin on a year to date basis was primarily due to annual customer price reductions that were not fully offset by purchasing cost reductions and the Company's ability to leverage fixed overhead costs. Annual customer price reductions and inability to leverage fixed overhead each had a negative impact of approximately 100 - 150 basis points, while purchasing cost reductions had a positive impact of approximately 50 - 100 basis points.</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 R &amp; D expenses for the six months ended June 30, 2018, increased 5.7% or $2.9 million when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last year, primarily due to increased staffing levels related to development and launch of new business.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 G &amp; A expenses for the first six months of 2018 increased 14.4% or $4.7 million when compared with the same period last year, primarily due to increases in staffing levels and benefits.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six months ended June 30, 2018 increased by $3.0 million when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last year, primarily due to an increase in investment income and realized gains on the sale of equity investments during the first quarter of 2018, as well as increased interest income, net of lower period over period interest expense, compared to the first six months of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760"/>
          </w:cols>
          <w:pgMar w:left="900" w:top="949" w:right="239" w:bottom="1440" w:gutter="0" w:footer="0" w:header="0"/>
        </w:sectPr>
      </w:pPr>
    </w:p>
    <w:bookmarkStart w:id="22" w:name="page23"/>
    <w:bookmarkEnd w:id="22"/>
    <w:p>
      <w:pPr>
        <w:jc w:val="both"/>
        <w:ind w:left="660"/>
        <w:spacing w:after="0" w:line="261" w:lineRule="auto"/>
        <w:rPr>
          <w:sz w:val="20"/>
          <w:szCs w:val="20"/>
          <w:color w:val="auto"/>
        </w:rPr>
      </w:pPr>
      <w:r>
        <w:rPr>
          <w:rFonts w:ascii="Arial" w:cs="Arial" w:eastAsia="Arial" w:hAnsi="Arial"/>
          <w:sz w:val="18"/>
          <w:szCs w:val="18"/>
          <w:i w:val="1"/>
          <w:iCs w:val="1"/>
          <w:u w:val="single" w:color="auto"/>
          <w:color w:val="auto"/>
        </w:rPr>
        <w:t>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15.5% for the six months ended June 30, 2018 compared to 29.2% for same period of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the effective tax rate for the six months ended June 30, 2018 compared to the same period of 2017 is primarily due to the reduction of the federal income tax rate from 35% to 21% as a result of the Act, as well as R&amp;D tax credits, discrete tax benefits related to equity compensation, and the foreign-derived intangible income tax deduction.</w:t>
      </w:r>
    </w:p>
    <w:p>
      <w:pPr>
        <w:spacing w:after="0" w:line="99"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six months ended June 30, 2018 increased by $34.2 million or 18.4% to $220 million versus $186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same period last year, due to increases in sales, other income, and the decrease in tax expense described above.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8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Company's cash and cash equivalents as of June 30, 2018 was $296.7 million, which decreased approximately $273.0 million compared to $569.7 million as of December 31, 2017. The decrease was primarily due to share repurchases, investment purchases, dividend payments, the accelerated repayment of debt, and capital expenditures, which was partially offset by the positive cash flows from operations and the proceeds from investment sales during the six months ended June 30, 2018.</w:t>
      </w:r>
    </w:p>
    <w:p>
      <w:pPr>
        <w:spacing w:after="0" w:line="123"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Short-term investments as of June 30, 2018 were $171.0 million, up from $ 152.5 million as of December 31, 2017. Long-term investments were $141.3 million as of June 30, 2018, compared to $57.8 million as of December 31, 2017, as a result of purchases of investments that occurred during the quarter, as the Company increased its holdings in fixed-income securities investments as part of its previously announced capital allocation strategy.</w:t>
      </w:r>
    </w:p>
    <w:p>
      <w:pPr>
        <w:spacing w:after="0" w:line="137"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Accounts receivable as of June 30, 2018 increased approximately $8.3 million compared to December 31, 2017, primarily due to the higher sales level, as well as timing of sales within the quarters.</w:t>
      </w:r>
    </w:p>
    <w:p>
      <w:pPr>
        <w:spacing w:after="0" w:line="129"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Inventories as of June 30, 2018, decreased approximately $4.4 million when compared to December 31, 2017, primarily due to decreases in raw materials.</w:t>
      </w:r>
    </w:p>
    <w:p>
      <w:pPr>
        <w:spacing w:after="0" w:line="11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Accounts payable as of June 30, 2018 increased approximately $16.9 million when compared to December 31, 2017, primarily due to timing of payments and capital expenditures.</w:t>
      </w:r>
    </w:p>
    <w:p>
      <w:pPr>
        <w:spacing w:after="0" w:line="129"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Accrued liabilities and the current portion of long-term debt as of June 30, 2018 decreased approximately $46.1 million compared to December 31, 2017, primarily due to the Company's debt repayment of $54.9 million during the first six months of 2018, which was partially offset by an increase in accrued salaries and wages.</w:t>
      </w:r>
    </w:p>
    <w:p>
      <w:pPr>
        <w:spacing w:after="0" w:line="134"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Cash flow from operating activities for the six months ended June 30, 2018 increased $ 28.8 million to $292.4 million, compared with $263.6 million during the same six month period last year, primarily due to the increase in net income.</w:t>
      </w:r>
    </w:p>
    <w:p>
      <w:pPr>
        <w:spacing w:after="0" w:line="11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Capital expenditures for the six months ended June 30, 2018 were approximately $51.9 million, compared with approximately $56.2 million for the same six month period last year.</w:t>
      </w:r>
    </w:p>
    <w:p>
      <w:pPr>
        <w:spacing w:after="0" w:line="129"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facilities needs. In the first quarter of 2018, as previously announced, the Company acquired a 25,000 square-foot, one-story building that was previously leased by the Company since 1978, as part of the former CEO's retirement agreement. Additionally, in the current year the Company began construction on a 250,000 square-foot distribution facility located at a 140 acre site in Zeeland, Michigan, where the Company previously performed master planning and completed land infrastructure improvements. The total cost of the building project is expected to be approximately $25 - 30 million and will be funded with cash and cash equivalents on hand. The facility is expected to be operational in early 2019.</w:t>
      </w:r>
    </w:p>
    <w:p>
      <w:pPr>
        <w:spacing w:after="0" w:line="139"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estimates that it currently has building capacity to manufacture approximately 30 - 33 million interior mirror units annually and approximately 13 - 15 million exterior mirror units annually, based on current product mix (excluding the impact of the on-going construction of the aforementioned distribution center). The Company evaluates equipment capacity on an ongoing basis and adds equipment as needed.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1079" w:right="239" w:bottom="1440" w:gutter="0" w:footer="0" w:header="0"/>
        </w:sectPr>
      </w:pPr>
    </w:p>
    <w:bookmarkStart w:id="23" w:name="page24"/>
    <w:bookmarkEnd w:id="23"/>
    <w:p>
      <w:pPr>
        <w:jc w:val="both"/>
        <w:spacing w:after="0" w:line="256"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and credit worthiness, to be sufficient to cover anticipated cash needs for the foreseeable future considering its contractual obligations and commitments. The following is a summary of working capital and long-term investments: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728,642,715</w:t>
            </w:r>
          </w:p>
        </w:tc>
        <w:tc>
          <w:tcPr>
            <w:tcW w:w="3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940,916,816</w:t>
            </w:r>
          </w:p>
        </w:tc>
      </w:tr>
      <w:tr>
        <w:trPr>
          <w:trHeight w:val="25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 Term Investments</w:t>
            </w: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141,305,695</w:t>
            </w:r>
          </w:p>
        </w:tc>
        <w:tc>
          <w:tcPr>
            <w:tcW w:w="3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57,782,418</w:t>
            </w:r>
          </w:p>
        </w:tc>
      </w:tr>
      <w:tr>
        <w:trPr>
          <w:trHeight w:val="282"/>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869,948,410</w:t>
            </w: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998,699,234</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decrease in working capital as of June 30, 2018 is primarily due to share repurchases made during the six month period ended June 30, 2018, as well as capital expenditures.</w:t>
      </w:r>
    </w:p>
    <w:p>
      <w:pPr>
        <w:spacing w:after="0" w:line="237" w:lineRule="exact"/>
        <w:rPr>
          <w:sz w:val="20"/>
          <w:szCs w:val="20"/>
          <w:color w:val="auto"/>
        </w:rPr>
      </w:pPr>
    </w:p>
    <w:p>
      <w:pPr>
        <w:jc w:val="both"/>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The Company intends to continue to repurchase additional shares of common stock in the future in support of the capital allocation strategy, but share repurchases may vary from time to time and will take into account macroeconomic events, market trends, and other factors the Company deems appropriate (including the market price of the stock, anti-dilutive effect of repurchases, and available cash). During the three and six months ended June 30, 2018, the Company repurchased 6,284,817 and 15,616,316 shares, respectively. Of the 15,616,316 shares, 5,499,728 shares were repurchased from the former CEO in the first quarter of 2018, pursuant to the previously disclosed retirement agreement. The shares repurchased from the former CEO were separately approved by the Company's Board of Director's and were not a part of the Company's existing publicly announced share repurchase plan. The company has 19,674,308 shares remaining under the plan as of June 30, 2018, as is further detailed in </w:t>
      </w:r>
      <w:hyperlink w:anchor="page32">
        <w:r>
          <w:rPr>
            <w:rFonts w:ascii="Arial" w:cs="Arial" w:eastAsia="Arial" w:hAnsi="Arial"/>
            <w:sz w:val="18"/>
            <w:szCs w:val="18"/>
            <w:u w:val="single" w:color="auto"/>
            <w:color w:val="0000FF"/>
          </w:rPr>
          <w:t>Part II, Item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10-Q.</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overall unit growth continues to out-pace vehicle production growth in large part due to the many different product launches that have been executed in 2017 and year to date in 2018. The Company's unit and revenue growth continue to be driven by the Company's electrochromic technology, including a number of vehicles that are new launches, as well as certain other advanced features.</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Interior and exterior auto-dimming mirrors and advanced electronic features were launched on a net new 10 vehicle models during the first quarter of 2018 and on a net new 17 vehicle models during the second quarter of 2018. Of these product launches in the second quarter, approximately 60% of the launches represent advanced feature launches.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Historically, the Company has been able to deliver higher than average margins when it has added electronic content faster than unit growth when combined with growth in unit penetration. These net additional vehicle models offering the Company's interior, exterior, and advanced feature products, as well as further penetration of its products on exiting models, helped drive a 6% quarter over quarter organic growth rate for interior mirror units and a 12% quarter over quarter organic growth rate for exterior mirror units compared to the second quarter of 2017, driven by an increase of 12% in international auto-dimming mirror unit shipments. The overall production levels in the North American market were down 3% quarter over quarter, and the luxury segments, defined as D and E segment vehicles, were down over 3% quarter over quarter in the North America, Europe, and Japan/Korea markets, which represent the Company's primary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8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the fourth quarter of 2015. Current automotive design trends are yielding vehicles with small rear windows that are often further obstructed by headrests, passengers, and roof support pillars which can significantly hinder the mirror’s rearward view. The Company's Full</w:t>
      </w:r>
    </w:p>
    <w:p>
      <w:pPr>
        <w:spacing w:after="0" w:line="200" w:lineRule="exact"/>
        <w:rPr>
          <w:sz w:val="20"/>
          <w:szCs w:val="20"/>
          <w:color w:val="auto"/>
        </w:rPr>
      </w:pPr>
    </w:p>
    <w:p>
      <w:pPr>
        <w:spacing w:after="0" w:line="362" w:lineRule="exact"/>
        <w:rPr>
          <w:sz w:val="20"/>
          <w:szCs w:val="20"/>
          <w:color w:val="auto"/>
        </w:rPr>
      </w:pPr>
    </w:p>
    <w:p>
      <w:pPr>
        <w:ind w:left="10520"/>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0760"/>
          </w:cols>
          <w:pgMar w:left="900" w:top="1098" w:right="239" w:bottom="1440" w:gutter="0" w:footer="0" w:header="0"/>
        </w:sectPr>
      </w:pPr>
    </w:p>
    <w:bookmarkStart w:id="24" w:name="page25"/>
    <w:bookmarkEnd w:id="24"/>
    <w:p>
      <w:pPr>
        <w:jc w:val="both"/>
        <w:spacing w:after="0" w:line="229" w:lineRule="auto"/>
        <w:rPr>
          <w:sz w:val="20"/>
          <w:szCs w:val="20"/>
          <w:color w:val="auto"/>
        </w:rPr>
      </w:pPr>
      <w:r>
        <w:rPr>
          <w:rFonts w:ascii="Arial" w:cs="Arial" w:eastAsia="Arial" w:hAnsi="Arial"/>
          <w:sz w:val="18"/>
          <w:szCs w:val="18"/>
          <w:color w:val="auto"/>
        </w:rPr>
        <w:t>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standard mirror, which is a long-standing safety requirement in the automotive industry. In addition, the driver has the ability to switch between modes to accommodate usage preferences for various weather conditions, lighting conditions, and driving tasks.</w:t>
      </w:r>
    </w:p>
    <w:p>
      <w:pPr>
        <w:spacing w:after="0" w:line="259"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The Company continues to work on the development and launch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seven customers. As of the second quarter of 2018,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four OEMs, which are General Motors, Subaru, Toyota, and Nissan. During the first quarter of 2018, the Company announced that Jaguar Land Rover will be the fifth overall customer to launch with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and the first European customer to adopt the feature, and also announced that the Company had a sixth OEM that would launch with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Additionally, the Company announced that during the second quarter of 2018 it was sourced a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program with its seventh OEM customer. The Company continues to see interest from other automotive OEMs as well and is negotiating with other OEMs on an on-going basis. The Company hopes on-going discussions with certain other OEMs may, in the future, cause such OEM's to consider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w:t>
      </w:r>
    </w:p>
    <w:p>
      <w:pPr>
        <w:spacing w:after="0" w:line="2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first quarter of 2017, the Company introduced a new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as a camera monitoring system ("CMS"), uses three cameras to provide a comprehensive view of the sides and rear of the vehicle. The side-view cameras are discretely housed in downsized, automatic-dimming exterior mirrors. Their video feeds are combined with that of a roof-mounted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all while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31, 2014, the Alliance of Automobile Manufacturers petitioned NHTSA to allow automakers to use cameras as an option to replace conventional rearview mirrors within the United States, however, no final rule or legislation has been made in response to this petition.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In the second half of 2017, NHTSA published its Fiscal Year 2018 Budget Estimate that references rear visibility as an area for deregulation consideration. The Unified Agenda of Regulatory and Deregulatory Actions, published by the Trump Administration after the NHTSA Fiscal Year 2018 Budget Estimate, does not reference rule making for new or changed requirements of the rear visibility standard.</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CMS to replace mirrors in Japan and European countries. As of January 2017, CMS are also permitted as an alternative to replace mirrors in the Korean market. Notwithstanding the foregoing, the Company continues to believe rearview mirrors provide a robust, simple and cost effective means to view the surrounding areas of a vehicle and remain the primary safety function for rear vision today.</w:t>
      </w:r>
    </w:p>
    <w:p>
      <w:pPr>
        <w:spacing w:after="0" w:line="200" w:lineRule="exact"/>
        <w:rPr>
          <w:sz w:val="20"/>
          <w:szCs w:val="20"/>
          <w:color w:val="auto"/>
        </w:rPr>
      </w:pPr>
    </w:p>
    <w:p>
      <w:pPr>
        <w:spacing w:after="0" w:line="350" w:lineRule="exact"/>
        <w:rPr>
          <w:sz w:val="20"/>
          <w:szCs w:val="20"/>
          <w:color w:val="auto"/>
        </w:rPr>
      </w:pPr>
    </w:p>
    <w:p>
      <w:pPr>
        <w:ind w:left="10520"/>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0760"/>
          </w:cols>
          <w:pgMar w:left="900" w:top="949" w:right="239" w:bottom="1440" w:gutter="0" w:footer="0" w:header="0"/>
        </w:sectPr>
      </w:pPr>
    </w:p>
    <w:bookmarkStart w:id="25" w:name="page26"/>
    <w:bookmarkEnd w:id="25"/>
    <w:p>
      <w:pPr>
        <w:jc w:val="both"/>
        <w:spacing w:after="0" w:line="244" w:lineRule="auto"/>
        <w:rPr>
          <w:sz w:val="20"/>
          <w:szCs w:val="20"/>
          <w:color w:val="auto"/>
        </w:rPr>
      </w:pPr>
      <w:r>
        <w:rPr>
          <w:rFonts w:ascii="Arial" w:cs="Arial" w:eastAsia="Arial" w:hAnsi="Arial"/>
          <w:sz w:val="18"/>
          <w:szCs w:val="18"/>
          <w:color w:val="auto"/>
        </w:rPr>
        <w:t>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has launched a rear vision camera system that streams rear video to a rearview-mirror-integrated display using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Company's CMS solution uses three cameras to provide a comprehensive view of the sides and rear of the vehicle. The Company also continues to develop in the areas of imager performance, camera dynamic range, lens design, image processing from the camera to the display, and camera lens cleaning. The Company acknowledges that as such technology evolves over time, such as cameras replacing mirrors and/or autonomous driving, there could be increased competition.</w:t>
      </w:r>
    </w:p>
    <w:p>
      <w:pPr>
        <w:spacing w:after="0" w:line="255"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auto industry's most widely used and trusted car-to-home communication system system, with an estimated 50 million units on the road. The system consists of two or three in-vehicle buttons that can be programmed to operate garage doors, security gates, home lighting, and other radio-frequency-controlled devices. During the first quarter of 2017, the Company demonstrated the next generation of HomeLink</w:t>
      </w:r>
      <w:r>
        <w:rPr>
          <w:rFonts w:ascii="Arial" w:cs="Arial" w:eastAsia="Arial" w:hAnsi="Arial"/>
          <w:sz w:val="23"/>
          <w:szCs w:val="23"/>
          <w:color w:val="auto"/>
          <w:vertAlign w:val="superscript"/>
        </w:rPr>
        <w:t>®</w:t>
      </w:r>
      <w:r>
        <w:rPr>
          <w:rFonts w:ascii="Arial" w:cs="Arial" w:eastAsia="Arial" w:hAnsi="Arial"/>
          <w:sz w:val="18"/>
          <w:szCs w:val="18"/>
          <w:color w:val="auto"/>
        </w:rPr>
        <w:t>, which uses both RF and wireless cloud-based connectivity to deliver complete vehicle-to-home automation. With the next-generation HomeLink</w:t>
      </w:r>
      <w:r>
        <w:rPr>
          <w:rFonts w:ascii="Arial" w:cs="Arial" w:eastAsia="Arial" w:hAnsi="Arial"/>
          <w:sz w:val="23"/>
          <w:szCs w:val="23"/>
          <w:color w:val="auto"/>
          <w:vertAlign w:val="superscript"/>
        </w:rPr>
        <w:t>®</w:t>
      </w:r>
      <w:r>
        <w:rPr>
          <w:rFonts w:ascii="Arial" w:cs="Arial" w:eastAsia="Arial" w:hAnsi="Arial"/>
          <w:sz w:val="18"/>
          <w:szCs w:val="18"/>
          <w:color w:val="auto"/>
        </w:rPr>
        <w:t>, a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 press communicates with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on the user’s smartphone via Bluetooth Low Energy. The app contains predefined, user-programmed actions, from single device operations to entire home automation scenes. The app, in turn, communicates to the home’s smart hub over the cloud server network and activates the appropriate devices, including security systems, door locks, thermostats, lighting, and other home automation devices, providing comprehensive vehicle-to-home automation. The ability to prepare the home for arrival or departure can occur with one button press. For the automaker, it allows them to offer a customizable, yet proven solution without the engineering effort or security concerns associated with integrating the software into the vehicle’s computer network. The Company also continues to work on providing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for alternative automobile and vehicle types which include but are not limited to motorcycles, mopeds, snowmobiles, tractors, combines, lawn mowers, loaders, bulldozers, road-graders, backhoes and golf carts. The Company further continues to work with compatibility partners for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in new markets like China. The unique attributes of the China market allow for potential new use cases of these products and offer what the Company believes to be a real opportunity for growth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and products. In 2017, the Company began its first volume production shipments of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units on vehicles for the China market.</w:t>
      </w:r>
    </w:p>
    <w:p>
      <w:pPr>
        <w:spacing w:after="0" w:line="26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 January 2016, the Company announced a partnership with TransCore to provide automobile manufacturers with a vehicle-integrated tolling solution that enables motorists to drive on all U.S. toll roads without a traditional toll tag on the windshield. Currently more than 75 percent of new car registrations are in states with toll roads with over 50 million drivers accessing these roads each year. The Company signed an exclusive agreement, in the ordinary course of business, to integrate TransCore's toll module technology into the Company's rearview mirrors. In January 2017, the Company signed an extension of its agreement in the ordinary course of business, which enables the Company to offer the Integrated Toll Module system in Canada and Mexico.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the country. The Company believes that this product could potentially represent another growth opportunity over the next several years. The Company has its first OEM award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Audi. Initial production deliveries are currently anticipated for the end of calendar year 2018, which may vary based on automaker vehicle launch timing. During the second quarter of 2018, the Company officially signed agreements, in the ordinary course of business, with two additional OEMs to launch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Both of these OEM launches are targeted to begin production shipments in the 2020 or 2021 time periods.</w:t>
      </w:r>
    </w:p>
    <w:p>
      <w:pPr>
        <w:spacing w:after="0" w:line="26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During the first quarter of 2017, the Company announced an embedded biometric solution for vehicles that leverages iris scanning technology to create a secure environment in the vehicle. There are many use</w:t>
      </w:r>
    </w:p>
    <w:p>
      <w:pPr>
        <w:spacing w:after="0" w:line="200" w:lineRule="exact"/>
        <w:rPr>
          <w:sz w:val="20"/>
          <w:szCs w:val="20"/>
          <w:color w:val="auto"/>
        </w:rPr>
      </w:pPr>
    </w:p>
    <w:p>
      <w:pPr>
        <w:spacing w:after="0" w:line="342" w:lineRule="exact"/>
        <w:rPr>
          <w:sz w:val="20"/>
          <w:szCs w:val="20"/>
          <w:color w:val="auto"/>
        </w:rPr>
      </w:pPr>
    </w:p>
    <w:p>
      <w:pPr>
        <w:ind w:left="10520"/>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0760"/>
          </w:cols>
          <w:pgMar w:left="900" w:top="1098" w:right="239" w:bottom="1440" w:gutter="0" w:footer="0" w:header="0"/>
        </w:sectPr>
      </w:pPr>
    </w:p>
    <w:bookmarkStart w:id="26" w:name="page27"/>
    <w:bookmarkEnd w:id="26"/>
    <w:p>
      <w:pPr>
        <w:jc w:val="both"/>
        <w:spacing w:after="0" w:line="238" w:lineRule="auto"/>
        <w:rPr>
          <w:sz w:val="20"/>
          <w:szCs w:val="20"/>
          <w:color w:val="auto"/>
        </w:rPr>
      </w:pPr>
      <w:r>
        <w:rPr>
          <w:rFonts w:ascii="Arial" w:cs="Arial" w:eastAsia="Arial" w:hAnsi="Arial"/>
          <w:sz w:val="18"/>
          <w:szCs w:val="18"/>
          <w:color w:val="auto"/>
        </w:rPr>
        <w:t>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which is far superior to facial, voice, and other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January 2018 that it completed an exclusive licensing 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172"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In January 2018, the Company also announced that an agreement had been signed, in the ordinary course of business, to participate in a round of financing with Yonomi, the Company's partner in home automation technology. The Company is working with Yonomi as a home automation aggregation partner and the Company has developed an app and cloud infrastructure called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is an all new home automation app that pairs with the vehicle and allows drivers to operate home automation devices from the vehicle's center console display. Drivers of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compatible vehicles will be able to download and configure the app to control many available home automation devices and create entire home automation settings. The Company also announced that Jaguar Land Rover will be the first OEM to deploy this new technology in their vehicles.</w:t>
      </w:r>
    </w:p>
    <w:p>
      <w:pPr>
        <w:spacing w:after="0" w:line="25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Company's proprietary high beam control system integrated into its auto-dimming mirror.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Generation 4, which was developed using the fourth generation of the Company's custom designed CMOS imager, has an advanced feature set made possible by the high dynamic range of the imager including: high beam assist; dynamic forward lighting with high beams constantly on; LED matrix beam; and a variety of specific detection applications including tunnel, fog and road type as well as certain lane tracking features to assist with lighting control. The Company has the ability to package the control electronics inside of its interior rearview mirrors with a self-calibrating camera attached to the mirror mount with optimal mechanical packaging which also provides for ease of service. In addition, the Company has long been integrating its camera products to optimize performance by fusing with other systems on the vehicle, including radar, navigation, steering and related modules provided by other suppliers. This enables the Company to provide its customers with a highly customizable solution that meets their unique needs and specifications.</w:t>
      </w:r>
    </w:p>
    <w:p>
      <w:pPr>
        <w:spacing w:after="0" w:line="2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December 8, 2015 the National Highway Traffic Safety Administration ("NHTSA") proposed changes to the NHTSA's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initially intended to implement the enhancements in NCAP in 2018 beginning with model year 2019 vehicles. In January 2017, NHTSA published a notice on SafeCar.gov stating the new goal for implementation was calendar year 2019 for model year 2020. The notice has, however, been removed from the aforementioned website after the January 20, 2017 Regulatory Freeze Pending Review Memorandum from the Trump Administration. In addition, the aforementioned NHTSA Fiscal Year 2018 Budget Estimate allocated a portion of the budget for NCAP, including the possibility of a new comment period and that NHTSA will consider modernizing portions of the lighting standard to permit innovation in the area of adaptive driving-beam headlights. The Company believes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 The Company's SmartBeam application has and will continue to be affected by increased competition suppliers of multi-function driver assist camera products, which are able to achieve some of the same functionality as SmartBeam but at a lower cost, due to other suppliers leveraging similar hardware costs, but offering products with multiple software features.</w:t>
      </w:r>
    </w:p>
    <w:p>
      <w:pPr>
        <w:spacing w:after="0" w:line="2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2014, the NHTSA issued a final rule requiring rearview video systems in U.S. light vehicles by May 1, 2018, with a phase-in schedule requirement of 10% of vehicles after May 2016, 40% of vehicles after May 2017, and 100% of vehicles after May 2018. In this release, NHTSA estimated that 57% of model year 2014 vehicles already have a rear video system, and that even without a final rule, 73% of the vehicles</w:t>
      </w:r>
    </w:p>
    <w:p>
      <w:pPr>
        <w:spacing w:after="0" w:line="200" w:lineRule="exact"/>
        <w:rPr>
          <w:sz w:val="20"/>
          <w:szCs w:val="20"/>
          <w:color w:val="auto"/>
        </w:rPr>
      </w:pPr>
    </w:p>
    <w:p>
      <w:pPr>
        <w:spacing w:after="0" w:line="350" w:lineRule="exact"/>
        <w:rPr>
          <w:sz w:val="20"/>
          <w:szCs w:val="20"/>
          <w:color w:val="auto"/>
        </w:rPr>
      </w:pPr>
    </w:p>
    <w:p>
      <w:pPr>
        <w:ind w:left="10520"/>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0760"/>
          </w:cols>
          <w:pgMar w:left="900" w:top="949" w:right="239" w:bottom="1440" w:gutter="0" w:footer="0" w:header="0"/>
        </w:sectPr>
      </w:pPr>
    </w:p>
    <w:bookmarkStart w:id="27" w:name="page28"/>
    <w:bookmarkEnd w:id="27"/>
    <w:p>
      <w:pPr>
        <w:ind w:right="100"/>
        <w:spacing w:after="0" w:line="252" w:lineRule="auto"/>
        <w:rPr>
          <w:sz w:val="20"/>
          <w:szCs w:val="20"/>
          <w:color w:val="auto"/>
        </w:rPr>
      </w:pPr>
      <w:r>
        <w:rPr>
          <w:rFonts w:ascii="Arial" w:cs="Arial" w:eastAsia="Arial" w:hAnsi="Arial"/>
          <w:sz w:val="18"/>
          <w:szCs w:val="18"/>
          <w:color w:val="auto"/>
        </w:rPr>
        <w:t>sold into North America would have already included a rearview video system by 2018. This NHTSA rule, as is indicated from the percentage of U.S. vehicles already having a solution, does not currently indicate an immediate opportunity for new Rear Camera Display (RCD) mirror applications for the Company. Customer opportunities for RCD mirror applications may exist by the time the 100% requirement is in place, but there is no certainty that is the case at this time. The Company’s RCD mirror application meets all the technical requirements of the NHTSA rule when installed in a vehicle and appropriately paired with an OEM specified camera. The NHTSA rule that rearview video systems are required has increased competition for systems capable of rear video in a variety of locations in the vehicle. The Company's RCD mirror application has and will continue to be affected by this increased competition.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8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Automotive revenues represent approximately 98% of the Company's total revenue, consisting of interior and exterior electrochromic automatic-dimming rearview mirrors and automotive electronics.</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does continue to experience pricing pressure from its automotive customers and competitors, which will continue to cause downward pressure on its sales and profit margins. The Company works continuously to offset these price reductions with engineering and purchasing cost reductions, productivity improvements, and increases in unit sales volume, but there is no assurance the Company will be able to do so in the future.</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 can reduce demand for its products.</w:t>
      </w:r>
    </w:p>
    <w:p>
      <w:pPr>
        <w:spacing w:after="0" w:line="2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aircraft manufacturers that have an interest in this technology regarding potential additional programs.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automotive rearview mirrors and other electronic features that it offers in vehicles and aerospace windows.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forecasts for light vehicle production for the third quarter and full year of 2018 are based on IHS Markit's mid-July 2018 forecasts for light vehicle production in North America, Europe, Japan and Korea. Using the mid-July 2018 light vehicle production forecasts indicated in the table below, the Company has provided certain guidance for calendar year 2018.</w:t>
      </w:r>
    </w:p>
    <w:p>
      <w:pPr>
        <w:spacing w:after="0" w:line="200" w:lineRule="exact"/>
        <w:rPr>
          <w:sz w:val="20"/>
          <w:szCs w:val="20"/>
          <w:color w:val="auto"/>
        </w:rPr>
      </w:pPr>
    </w:p>
    <w:p>
      <w:pPr>
        <w:spacing w:after="0" w:line="353" w:lineRule="exact"/>
        <w:rPr>
          <w:sz w:val="20"/>
          <w:szCs w:val="20"/>
          <w:color w:val="auto"/>
        </w:rPr>
      </w:pPr>
    </w:p>
    <w:p>
      <w:pPr>
        <w:jc w:val="center"/>
        <w:ind w:right="760"/>
        <w:spacing w:after="0"/>
        <w:rPr>
          <w:sz w:val="20"/>
          <w:szCs w:val="20"/>
          <w:color w:val="auto"/>
        </w:rPr>
      </w:pPr>
      <w:r>
        <w:rPr>
          <w:rFonts w:ascii="Arial" w:cs="Arial" w:eastAsia="Arial" w:hAnsi="Arial"/>
          <w:sz w:val="20"/>
          <w:szCs w:val="20"/>
          <w:b w:val="1"/>
          <w:bCs w:val="1"/>
          <w:color w:val="auto"/>
        </w:rPr>
        <w:t>Light Vehicle Production (per IHS Markit Automotive mid-July light vehicle production forecast)</w:t>
      </w:r>
    </w:p>
    <w:p>
      <w:pPr>
        <w:spacing w:after="0" w:line="31" w:lineRule="exact"/>
        <w:rPr>
          <w:sz w:val="20"/>
          <w:szCs w:val="20"/>
          <w:color w:val="auto"/>
        </w:rPr>
      </w:pPr>
    </w:p>
    <w:p>
      <w:pPr>
        <w:jc w:val="center"/>
        <w:ind w:right="760"/>
        <w:spacing w:after="0"/>
        <w:rPr>
          <w:sz w:val="20"/>
          <w:szCs w:val="20"/>
          <w:color w:val="auto"/>
        </w:rPr>
      </w:pPr>
      <w:r>
        <w:rPr>
          <w:rFonts w:ascii="Arial" w:cs="Arial" w:eastAsia="Arial" w:hAnsi="Arial"/>
          <w:sz w:val="20"/>
          <w:szCs w:val="20"/>
          <w:b w:val="1"/>
          <w:bCs w:val="1"/>
          <w:i w:val="1"/>
          <w:iCs w:val="1"/>
          <w:color w:val="auto"/>
        </w:rPr>
        <w:t>(in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16"/>
              <w:spacing w:after="0"/>
              <w:rPr>
                <w:sz w:val="20"/>
                <w:szCs w:val="20"/>
                <w:color w:val="auto"/>
              </w:rPr>
            </w:pPr>
            <w:r>
              <w:rPr>
                <w:rFonts w:ascii="Arial" w:cs="Arial" w:eastAsia="Arial" w:hAnsi="Arial"/>
                <w:sz w:val="14"/>
                <w:szCs w:val="14"/>
                <w:b w:val="1"/>
                <w:bCs w:val="1"/>
                <w:color w:val="auto"/>
              </w:rPr>
              <w:t>Calendar</w:t>
            </w:r>
          </w:p>
        </w:tc>
        <w:tc>
          <w:tcPr>
            <w:tcW w:w="940" w:type="dxa"/>
            <w:vAlign w:val="bottom"/>
          </w:tcPr>
          <w:p>
            <w:pPr>
              <w:jc w:val="right"/>
              <w:ind w:right="116"/>
              <w:spacing w:after="0"/>
              <w:rPr>
                <w:sz w:val="20"/>
                <w:szCs w:val="20"/>
                <w:color w:val="auto"/>
              </w:rPr>
            </w:pPr>
            <w:r>
              <w:rPr>
                <w:rFonts w:ascii="Arial" w:cs="Arial" w:eastAsia="Arial" w:hAnsi="Arial"/>
                <w:sz w:val="14"/>
                <w:szCs w:val="14"/>
                <w:b w:val="1"/>
                <w:bCs w:val="1"/>
                <w:color w:val="auto"/>
              </w:rPr>
              <w:t>Calendar</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96"/>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Region</w:t>
            </w:r>
          </w:p>
        </w:tc>
        <w:tc>
          <w:tcPr>
            <w:tcW w:w="980" w:type="dxa"/>
            <w:vAlign w:val="bottom"/>
          </w:tcPr>
          <w:p>
            <w:pPr>
              <w:jc w:val="right"/>
              <w:ind w:right="154"/>
              <w:spacing w:after="0"/>
              <w:rPr>
                <w:sz w:val="20"/>
                <w:szCs w:val="20"/>
                <w:color w:val="auto"/>
              </w:rPr>
            </w:pPr>
            <w:r>
              <w:rPr>
                <w:rFonts w:ascii="Arial" w:cs="Arial" w:eastAsia="Arial" w:hAnsi="Arial"/>
                <w:sz w:val="14"/>
                <w:szCs w:val="14"/>
                <w:b w:val="1"/>
                <w:bCs w:val="1"/>
                <w:color w:val="auto"/>
              </w:rPr>
              <w:t>3Q 2018</w:t>
            </w:r>
          </w:p>
        </w:tc>
        <w:tc>
          <w:tcPr>
            <w:tcW w:w="920" w:type="dxa"/>
            <w:vAlign w:val="bottom"/>
          </w:tcPr>
          <w:p>
            <w:pPr>
              <w:jc w:val="right"/>
              <w:ind w:right="154"/>
              <w:spacing w:after="0"/>
              <w:rPr>
                <w:sz w:val="20"/>
                <w:szCs w:val="20"/>
                <w:color w:val="auto"/>
              </w:rPr>
            </w:pPr>
            <w:r>
              <w:rPr>
                <w:rFonts w:ascii="Arial" w:cs="Arial" w:eastAsia="Arial" w:hAnsi="Arial"/>
                <w:sz w:val="14"/>
                <w:szCs w:val="14"/>
                <w:b w:val="1"/>
                <w:bCs w:val="1"/>
                <w:color w:val="auto"/>
              </w:rPr>
              <w:t>3Q 2017</w:t>
            </w: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 Change</w:t>
            </w:r>
          </w:p>
        </w:tc>
        <w:tc>
          <w:tcPr>
            <w:tcW w:w="960" w:type="dxa"/>
            <w:vAlign w:val="bottom"/>
          </w:tcPr>
          <w:p>
            <w:pPr>
              <w:jc w:val="right"/>
              <w:ind w:right="76"/>
              <w:spacing w:after="0"/>
              <w:rPr>
                <w:sz w:val="20"/>
                <w:szCs w:val="20"/>
                <w:color w:val="auto"/>
              </w:rPr>
            </w:pPr>
            <w:r>
              <w:rPr>
                <w:rFonts w:ascii="Arial" w:cs="Arial" w:eastAsia="Arial" w:hAnsi="Arial"/>
                <w:sz w:val="14"/>
                <w:szCs w:val="14"/>
                <w:b w:val="1"/>
                <w:bCs w:val="1"/>
                <w:color w:val="auto"/>
              </w:rPr>
              <w:t>Year 2018</w:t>
            </w:r>
          </w:p>
        </w:tc>
        <w:tc>
          <w:tcPr>
            <w:tcW w:w="940" w:type="dxa"/>
            <w:vAlign w:val="bottom"/>
          </w:tcPr>
          <w:p>
            <w:pPr>
              <w:jc w:val="right"/>
              <w:ind w:right="96"/>
              <w:spacing w:after="0"/>
              <w:rPr>
                <w:sz w:val="20"/>
                <w:szCs w:val="20"/>
                <w:color w:val="auto"/>
              </w:rPr>
            </w:pPr>
            <w:r>
              <w:rPr>
                <w:rFonts w:ascii="Arial" w:cs="Arial" w:eastAsia="Arial" w:hAnsi="Arial"/>
                <w:sz w:val="14"/>
                <w:szCs w:val="14"/>
                <w:b w:val="1"/>
                <w:bCs w:val="1"/>
                <w:color w:val="auto"/>
              </w:rPr>
              <w:t>Year 2017</w:t>
            </w:r>
          </w:p>
        </w:tc>
        <w:tc>
          <w:tcPr>
            <w:tcW w:w="9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 Change</w:t>
            </w:r>
          </w:p>
        </w:tc>
      </w:tr>
      <w:tr>
        <w:trPr>
          <w:trHeight w:val="256"/>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9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4.24</w:t>
            </w:r>
          </w:p>
        </w:tc>
        <w:tc>
          <w:tcPr>
            <w:tcW w:w="9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3.97</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17.18</w:t>
            </w:r>
          </w:p>
        </w:tc>
        <w:tc>
          <w:tcPr>
            <w:tcW w:w="9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17.06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880" w:type="dxa"/>
            <w:vAlign w:val="bottom"/>
          </w:tcPr>
          <w:p>
            <w:pPr>
              <w:ind w:left="20"/>
              <w:spacing w:after="0"/>
              <w:rPr>
                <w:sz w:val="20"/>
                <w:szCs w:val="20"/>
                <w:color w:val="auto"/>
              </w:rPr>
            </w:pPr>
            <w:r>
              <w:rPr>
                <w:rFonts w:ascii="Arial" w:cs="Arial" w:eastAsia="Arial" w:hAnsi="Arial"/>
                <w:sz w:val="18"/>
                <w:szCs w:val="18"/>
                <w:color w:val="auto"/>
              </w:rPr>
              <w:t>Europe</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4.95</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4.92</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22.58</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22.21</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 and Korea</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3.23</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3.24</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13.20</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13.26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3880" w:type="dxa"/>
            <w:vAlign w:val="bottom"/>
          </w:tcPr>
          <w:p>
            <w:pPr>
              <w:ind w:left="20"/>
              <w:spacing w:after="0"/>
              <w:rPr>
                <w:sz w:val="20"/>
                <w:szCs w:val="20"/>
                <w:color w:val="auto"/>
              </w:rPr>
            </w:pPr>
            <w:r>
              <w:rPr>
                <w:rFonts w:ascii="Arial" w:cs="Arial" w:eastAsia="Arial" w:hAnsi="Arial"/>
                <w:sz w:val="18"/>
                <w:szCs w:val="18"/>
                <w:color w:val="auto"/>
              </w:rPr>
              <w:t>Total Light Vehicle Production</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12.42</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12.13</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52.96</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52.53</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3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900" w:top="9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520"/>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0760"/>
          </w:cols>
          <w:pgMar w:left="900" w:top="949" w:right="239" w:bottom="1440" w:gutter="0" w:footer="0" w:header="0"/>
          <w:type w:val="continuous"/>
        </w:sectPr>
      </w:pPr>
    </w:p>
    <w:bookmarkStart w:id="28" w:name="page29"/>
    <w:bookmarkEnd w:id="28"/>
    <w:p>
      <w:pPr>
        <w:jc w:val="both"/>
        <w:spacing w:after="0" w:line="254" w:lineRule="auto"/>
        <w:rPr>
          <w:sz w:val="20"/>
          <w:szCs w:val="20"/>
          <w:color w:val="auto"/>
        </w:rPr>
      </w:pPr>
      <w:r>
        <w:rPr>
          <w:rFonts w:ascii="Arial" w:cs="Arial" w:eastAsia="Arial" w:hAnsi="Arial"/>
          <w:sz w:val="18"/>
          <w:szCs w:val="18"/>
          <w:color w:val="auto"/>
        </w:rPr>
        <w:t>Based on the aforementioned light vehicle product forecasts, the Company currently estimates that top line revenue for calendar year 2018 will be between $1.88 and $1.91 billion. All estimates are based on light vehicle production forecasts in the regions to which the Company ships product, as well as the estimated option rates for its mirrors on prospective vehicle models and anticipated product mix.</w:t>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continues to see order rates and booked business that allow for these estimates despite relatively modest vehicle production increases (and in some measures even decreases) in its primary markets. Nevertheless, ongoing uncertainties remain including: light vehicle production levels; impacts of foreign tariffs; automotive plant shutdowns; supplier part shortages; sales rates in Europe, Asia and North America; OEM strategies and cost pressures; customer inventory management and the impact of potential automotive customer (including their Tier 1 suppliers) and supplier bankruptcies; work stoppages, strikes, etc., all of which could disrupt shipments to these customers and make forecasting difficult.</w:t>
      </w:r>
    </w:p>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recently enacted tariffs by the Office of the United States Trade Representative that became effective on July 6, 2018 related to imports from China, the Company currently expects cost increases of between $5 and $8 million for the second half of 2018, based on its planned purchases of imported raw materials from China. Based on actual results for the first half of 2018, currently forecasted sales and anticipated product mix, and the aforementioned increased tariff costs, the Company now estimates that the gross profit margin will be between 37.5% and 38.5% for calendar year 2018.</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now estimates that its operating expenses, which include engineering, research and development expenses and selling, general and administrative expenses are expected to be approximately $180 - $185 million for calendar year 2018, primarily to staffing costs, professional fees and travel expenses, which continue to support growth and the development of new business, technology advances or, in the case of professional fees, provides support with respect to the new income tax legislation passed in 2017.</w:t>
      </w:r>
    </w:p>
    <w:p>
      <w:pPr>
        <w:spacing w:after="0" w:line="13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light of on-going demand for the Company's auto-dimming mirrors and electronics, the Company currently anticipates that 2018 capital expenditures will be approximately $110 - $120 million. Capital expenditures in the calendar year 2018 are currently anticipated to be financed from current cash and cash equivalents on hand and cash flows from operating activities.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continues to estimate that depreciation and amortization expense for calendar year 2018 will be approximately $105 - $115 million.</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also continues to estimate its estimated effective annual tax rate for calendar year 2018 to be in the range of 15.0% to 18.0%.</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intends to continue to repurchase additional shares of its common stock in 2018 and into the future depending on a number of factors, including: market, economic, and industry conditions; the market price of the Company's common stock; anti-dilutive effect on earnings; available cash; and other factors that the Company deems appropriate, commensurate with its previously announced capital allocation strategy.</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Finally, based on 2018 light vehicle production forecasts and current forecasted product mix, the Company is making no changes to its previously announced revenue estimates for calendar year 2019, which continues to be estimated to be over and above the foregoing 2018 revenue estimates in the range of 5% to 10%.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520"/>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0760"/>
          </w:cols>
          <w:pgMar w:left="900" w:top="1098" w:right="2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66"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40"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8"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Historically, volatile equity markets could negatively impact the Company's financial performance due to realized losses on the sale of equity investments and/or recognized losses due to other-than-temporary impairment adjustment on available for sale securities (mark-to-market adjustments). During the quarter ended June 30, 2018, there are no material changes in the risk factors previously disclosed in the Company's report on Form 10-K for the fiscal year ended December 31, 2017, except as set forth in Item 2.</w:t>
      </w:r>
    </w:p>
    <w:p>
      <w:pPr>
        <w:spacing w:after="0" w:line="138"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accounts, which currently are not significant overall to the Company as a whole. Because the Company sells its automotive mirrors throughout the world, and automotive manufacturing is highly dependent on general economic conditions, the Company could be affected by uncertain economic conditions in foreign markets that can reduce demand for its products.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66" w:lineRule="exact"/>
        <w:rPr>
          <w:sz w:val="20"/>
          <w:szCs w:val="20"/>
          <w:color w:val="auto"/>
        </w:rPr>
      </w:pPr>
    </w:p>
    <w:p>
      <w:pPr>
        <w:jc w:val="both"/>
        <w:ind w:left="660" w:right="20"/>
        <w:spacing w:after="0" w:line="254"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June 30, 2018, and have concluded that as of that date, the Company's disclosure controls and procedures are effective.</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6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June 30, 2018 that materially affected, or are reasonably likely to materially affect, the Company's internal control over financial reporting.</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88"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This Quarterly Report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“goal”, “hope”, “may”, “plan”, “project”, “will”,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changes in consumer and customer preferences for our products (such as cameras replacing mirrors and/or autonomous driving); our ability to be awarded new business; continued uncertainty in pricing negotiations</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1184" w:right="239" w:bottom="1440" w:gutter="0" w:footer="0" w:header="0"/>
        </w:sectPr>
      </w:pPr>
    </w:p>
    <w:bookmarkStart w:id="30" w:name="page31"/>
    <w:bookmarkEnd w:id="30"/>
    <w:p>
      <w:pPr>
        <w:jc w:val="both"/>
        <w:spacing w:after="0" w:line="251" w:lineRule="auto"/>
        <w:rPr>
          <w:sz w:val="20"/>
          <w:szCs w:val="20"/>
          <w:color w:val="auto"/>
        </w:rPr>
      </w:pPr>
      <w:r>
        <w:rPr>
          <w:rFonts w:ascii="Arial" w:cs="Arial" w:eastAsia="Arial" w:hAnsi="Arial"/>
          <w:sz w:val="18"/>
          <w:szCs w:val="18"/>
          <w:color w:val="auto"/>
        </w:rPr>
        <w:t>with customers; loss of business from increased competition; changes in strategic relationships; customer bankruptcies or divestiture of customer brands; fluctuation in vehicle production schedules; changes in product mix; raw material shortages;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and negative impact of any governmental investigations and associated litigations including securities litigations relating to the conduct of our business. Readers are cautioned not to place undue reliance on these forward-looking statements, which speak only as of the date they are made. The Company undertakes no obligation to publicly update or revise any forward-looking statement, whether as a result of new information, future events or otherwise, except as required by law or the rules of the NASDAQ Global Select Market. Includes content supplied by IHS Markit Light Vehicle Production Forecast (July, 2018) (http://www.gentex.com/forecast-disclaimer).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760"/>
          </w:cols>
          <w:pgMar w:left="900" w:top="949"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2017. There have been no material changes from the risk factors previously disclosed in the Company’s report on Form 10-K for the year ended December 31, 2017, except to the extent described in Part I – Item 2 and Item 3 of this Form 10-Q.</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 of Equity Securities</w:t>
      </w:r>
    </w:p>
    <w:p>
      <w:pPr>
        <w:spacing w:after="0" w:line="288"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On October 8, 2002, the Company announced a share repurchase plan, under which it may purchase up to 16,000,000 shares (post-split) based on a number of factors. On July 20, 2005, the Company announced that it had raised the price at which the Company may repurchase shares under the existing plan. On May 16, 2006, the Company announced that the Company's Board of Directors had authorized the repurchase of an additional 16,000,000 shares (post-split) under the plan. On August 14, 2006, the Company announced that the Company's Board of Directors had authorized the repurchase of an additional 16,000,000 shares (post -split) under the plan. On February 26, 2008, the Company announced that the Company's Board of Directors had authorized the repurchase of an additional 8,000,000 shares (post-split) under the plan. On October 23, 2012, the Company announced that the Company's Board of Directors had authorized the repurchase of an additional 8,000,000 shares (post - split) under the plan. On October 21, 2015, the Company announced that the Company's Board of Directors had authorized the repurchase of an additional 5,000,000 shares (post - split) under the plan. On February 23, 2016, the Company's Board of Directors authorized the repurchase of an additional 5,000,000 shares (post-split) under the plan. On October 20, 2016, the Company announced that the Company's Board of Directors had authorized the repurchase of an additional 7,500,000 shares (post - split) under the plan. On August 23, 2017, the Company announced that the Company's Board of Directors had authorized the repurchase of an additional 15,000,000 shares (post - split) under the plan. On January 16, 2018, the Company repurchased approximately 5.5 million shares of common stock from the former CEO pursuant to his retirement agreement, as previously announced. These share repurchases were approved by the Company's Board of Directors and were not repurchased as part of the Company's existing share repurchase plan. On March 9, 2018, the Company announced that the Company's Board of Directors had authorized the repurchase of an additional 20,000,000 shares (post - split) under the plan. The Company may purchase authorized shares of its common stock under the plan based on a number of factors, including: market, economic, and industry conditions; the market price of the Company's common stock; anti-dilutive effect on earnings; available cash; and other factors that the Company deems appropriate, including the Company's previously announced capital allocation strategy. The plan does not have an expiration date, but the Board of Directors reviews such plan periodically.</w:t>
      </w:r>
    </w:p>
    <w:p>
      <w:pPr>
        <w:sectPr>
          <w:pgSz w:w="11900" w:h="16838" w:orient="portrait"/>
          <w:cols w:equalWidth="0" w:num="1">
            <w:col w:w="11420"/>
          </w:cols>
          <w:pgMar w:left="240" w:top="9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1180"/>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420"/>
          </w:cols>
          <w:pgMar w:left="240" w:top="927"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color w:val="auto"/>
        </w:rPr>
        <w:t>The following is a summary of share repurchase activity during the six months ended June 30, 2018:</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5360" w:type="dxa"/>
            <w:vAlign w:val="bottom"/>
            <w:gridSpan w:val="3"/>
          </w:tcPr>
          <w:p>
            <w:pPr>
              <w:jc w:val="right"/>
              <w:ind w:right="1556"/>
              <w:spacing w:after="0"/>
              <w:rPr>
                <w:sz w:val="20"/>
                <w:szCs w:val="20"/>
                <w:color w:val="auto"/>
              </w:rPr>
            </w:pPr>
            <w:r>
              <w:rPr>
                <w:rFonts w:ascii="Arial" w:cs="Arial" w:eastAsia="Arial" w:hAnsi="Arial"/>
                <w:sz w:val="14"/>
                <w:szCs w:val="14"/>
                <w:b w:val="1"/>
                <w:bCs w:val="1"/>
                <w:color w:val="auto"/>
              </w:rPr>
              <w:t>Issuer Purchase of Equity Securities</w:t>
            </w: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5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81"/>
        </w:trPr>
        <w:tc>
          <w:tcPr>
            <w:tcW w:w="25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Weighted Average</w:t>
            </w:r>
          </w:p>
        </w:tc>
        <w:tc>
          <w:tcPr>
            <w:tcW w:w="20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Purchased As Part of a</w:t>
            </w: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500" w:type="dxa"/>
            <w:vAlign w:val="bottom"/>
          </w:tcPr>
          <w:p>
            <w:pPr>
              <w:spacing w:after="0"/>
              <w:rPr>
                <w:sz w:val="4"/>
                <w:szCs w:val="4"/>
                <w:color w:val="auto"/>
              </w:rPr>
            </w:pPr>
          </w:p>
        </w:tc>
        <w:tc>
          <w:tcPr>
            <w:tcW w:w="18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Total Number of Shares</w:t>
            </w:r>
          </w:p>
        </w:tc>
        <w:tc>
          <w:tcPr>
            <w:tcW w:w="1440" w:type="dxa"/>
            <w:vAlign w:val="bottom"/>
            <w:vMerge w:val="continue"/>
          </w:tcPr>
          <w:p>
            <w:pPr>
              <w:spacing w:after="0"/>
              <w:rPr>
                <w:sz w:val="4"/>
                <w:szCs w:val="4"/>
                <w:color w:val="auto"/>
              </w:rPr>
            </w:pPr>
          </w:p>
        </w:tc>
        <w:tc>
          <w:tcPr>
            <w:tcW w:w="2060" w:type="dxa"/>
            <w:vAlign w:val="bottom"/>
            <w:vMerge w:val="continue"/>
          </w:tcPr>
          <w:p>
            <w:pPr>
              <w:spacing w:after="0"/>
              <w:rPr>
                <w:sz w:val="4"/>
                <w:szCs w:val="4"/>
                <w:color w:val="auto"/>
              </w:rPr>
            </w:pPr>
          </w:p>
        </w:tc>
        <w:tc>
          <w:tcPr>
            <w:tcW w:w="208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35"/>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60" w:type="dxa"/>
            <w:vAlign w:val="bottom"/>
            <w:vMerge w:val="continue"/>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Price Paid Per</w:t>
            </w:r>
          </w:p>
        </w:tc>
        <w:tc>
          <w:tcPr>
            <w:tcW w:w="2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Publicly Announced Plan or</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500" w:type="dxa"/>
            <w:vAlign w:val="bottom"/>
            <w:tcBorders>
              <w:bottom w:val="single" w:sz="8" w:color="auto"/>
            </w:tcBorders>
            <w:vMerge w:val="continue"/>
          </w:tcPr>
          <w:p>
            <w:pPr>
              <w:spacing w:after="0"/>
              <w:rPr>
                <w:sz w:val="15"/>
                <w:szCs w:val="15"/>
                <w:color w:val="auto"/>
              </w:rPr>
            </w:pPr>
          </w:p>
        </w:tc>
        <w:tc>
          <w:tcPr>
            <w:tcW w:w="18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Purchased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25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2018</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6,649,731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6,649,731</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8,640,893</w:t>
            </w:r>
          </w:p>
        </w:tc>
        <w:tc>
          <w:tcPr>
            <w:tcW w:w="0" w:type="dxa"/>
            <w:vAlign w:val="bottom"/>
          </w:tcPr>
          <w:p>
            <w:pPr>
              <w:spacing w:after="0"/>
              <w:rPr>
                <w:sz w:val="1"/>
                <w:szCs w:val="1"/>
                <w:color w:val="auto"/>
              </w:rPr>
            </w:pPr>
          </w:p>
        </w:tc>
      </w:tr>
      <w:tr>
        <w:trPr>
          <w:trHeight w:val="250"/>
        </w:trPr>
        <w:tc>
          <w:tcPr>
            <w:tcW w:w="2500" w:type="dxa"/>
            <w:vAlign w:val="bottom"/>
          </w:tcPr>
          <w:p>
            <w:pPr>
              <w:ind w:left="20"/>
              <w:spacing w:after="0"/>
              <w:rPr>
                <w:sz w:val="20"/>
                <w:szCs w:val="20"/>
                <w:color w:val="auto"/>
              </w:rPr>
            </w:pPr>
            <w:r>
              <w:rPr>
                <w:rFonts w:ascii="Arial" w:cs="Arial" w:eastAsia="Arial" w:hAnsi="Arial"/>
                <w:sz w:val="18"/>
                <w:szCs w:val="18"/>
                <w:color w:val="auto"/>
              </w:rPr>
              <w:t>February 2018</w:t>
            </w:r>
          </w:p>
        </w:tc>
        <w:tc>
          <w:tcPr>
            <w:tcW w:w="1860" w:type="dxa"/>
            <w:vAlign w:val="bottom"/>
          </w:tcPr>
          <w:p>
            <w:pPr>
              <w:jc w:val="right"/>
              <w:spacing w:after="0"/>
              <w:rPr>
                <w:sz w:val="20"/>
                <w:szCs w:val="20"/>
                <w:color w:val="auto"/>
              </w:rPr>
            </w:pPr>
            <w:r>
              <w:rPr>
                <w:rFonts w:ascii="Arial" w:cs="Arial" w:eastAsia="Arial" w:hAnsi="Arial"/>
                <w:sz w:val="18"/>
                <w:szCs w:val="18"/>
                <w:color w:val="auto"/>
              </w:rPr>
              <w:t>1,944,826</w:t>
            </w:r>
          </w:p>
        </w:tc>
        <w:tc>
          <w:tcPr>
            <w:tcW w:w="1440" w:type="dxa"/>
            <w:vAlign w:val="bottom"/>
          </w:tcPr>
          <w:p>
            <w:pPr>
              <w:jc w:val="right"/>
              <w:spacing w:after="0"/>
              <w:rPr>
                <w:sz w:val="20"/>
                <w:szCs w:val="20"/>
                <w:color w:val="auto"/>
              </w:rPr>
            </w:pPr>
            <w:r>
              <w:rPr>
                <w:rFonts w:ascii="Arial" w:cs="Arial" w:eastAsia="Arial" w:hAnsi="Arial"/>
                <w:sz w:val="18"/>
                <w:szCs w:val="18"/>
                <w:color w:val="auto"/>
              </w:rPr>
              <w:t>22.60</w:t>
            </w:r>
          </w:p>
        </w:tc>
        <w:tc>
          <w:tcPr>
            <w:tcW w:w="2060" w:type="dxa"/>
            <w:vAlign w:val="bottom"/>
          </w:tcPr>
          <w:p>
            <w:pPr>
              <w:jc w:val="right"/>
              <w:spacing w:after="0"/>
              <w:rPr>
                <w:sz w:val="20"/>
                <w:szCs w:val="20"/>
                <w:color w:val="auto"/>
              </w:rPr>
            </w:pPr>
            <w:r>
              <w:rPr>
                <w:rFonts w:ascii="Arial" w:cs="Arial" w:eastAsia="Arial" w:hAnsi="Arial"/>
                <w:sz w:val="18"/>
                <w:szCs w:val="18"/>
                <w:color w:val="auto"/>
              </w:rPr>
              <w:t>1,944,826</w:t>
            </w:r>
          </w:p>
        </w:tc>
        <w:tc>
          <w:tcPr>
            <w:tcW w:w="2080" w:type="dxa"/>
            <w:vAlign w:val="bottom"/>
          </w:tcPr>
          <w:p>
            <w:pPr>
              <w:jc w:val="right"/>
              <w:spacing w:after="0"/>
              <w:rPr>
                <w:sz w:val="20"/>
                <w:szCs w:val="20"/>
                <w:color w:val="auto"/>
              </w:rPr>
            </w:pPr>
            <w:r>
              <w:rPr>
                <w:rFonts w:ascii="Arial" w:cs="Arial" w:eastAsia="Arial" w:hAnsi="Arial"/>
                <w:sz w:val="18"/>
                <w:szCs w:val="18"/>
                <w:color w:val="auto"/>
              </w:rPr>
              <w:t>6,696,067</w:t>
            </w:r>
          </w:p>
        </w:tc>
        <w:tc>
          <w:tcPr>
            <w:tcW w:w="0" w:type="dxa"/>
            <w:vAlign w:val="bottom"/>
          </w:tcPr>
          <w:p>
            <w:pPr>
              <w:spacing w:after="0"/>
              <w:rPr>
                <w:sz w:val="1"/>
                <w:szCs w:val="1"/>
                <w:color w:val="auto"/>
              </w:rPr>
            </w:pPr>
          </w:p>
        </w:tc>
      </w:tr>
      <w:tr>
        <w:trPr>
          <w:trHeight w:val="257"/>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2018</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736,942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736,942</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25,959,125</w:t>
            </w:r>
          </w:p>
        </w:tc>
        <w:tc>
          <w:tcPr>
            <w:tcW w:w="0" w:type="dxa"/>
            <w:vAlign w:val="bottom"/>
          </w:tcPr>
          <w:p>
            <w:pPr>
              <w:spacing w:after="0"/>
              <w:rPr>
                <w:sz w:val="1"/>
                <w:szCs w:val="1"/>
                <w:color w:val="auto"/>
              </w:rPr>
            </w:pPr>
          </w:p>
        </w:tc>
      </w:tr>
      <w:tr>
        <w:trPr>
          <w:trHeight w:val="250"/>
        </w:trPr>
        <w:tc>
          <w:tcPr>
            <w:tcW w:w="2500" w:type="dxa"/>
            <w:vAlign w:val="bottom"/>
          </w:tcPr>
          <w:p>
            <w:pPr>
              <w:ind w:left="20"/>
              <w:spacing w:after="0"/>
              <w:rPr>
                <w:sz w:val="20"/>
                <w:szCs w:val="20"/>
                <w:color w:val="auto"/>
              </w:rPr>
            </w:pPr>
            <w:r>
              <w:rPr>
                <w:rFonts w:ascii="Arial" w:cs="Arial" w:eastAsia="Arial" w:hAnsi="Arial"/>
                <w:sz w:val="18"/>
                <w:szCs w:val="18"/>
                <w:color w:val="auto"/>
              </w:rPr>
              <w:t>1st Quarter 2018 Total</w:t>
            </w:r>
          </w:p>
        </w:tc>
        <w:tc>
          <w:tcPr>
            <w:tcW w:w="1860" w:type="dxa"/>
            <w:vAlign w:val="bottom"/>
          </w:tcPr>
          <w:p>
            <w:pPr>
              <w:jc w:val="right"/>
              <w:spacing w:after="0"/>
              <w:rPr>
                <w:sz w:val="20"/>
                <w:szCs w:val="20"/>
                <w:color w:val="auto"/>
              </w:rPr>
            </w:pPr>
            <w:r>
              <w:rPr>
                <w:rFonts w:ascii="Arial" w:cs="Arial" w:eastAsia="Arial" w:hAnsi="Arial"/>
                <w:sz w:val="18"/>
                <w:szCs w:val="18"/>
                <w:color w:val="auto"/>
              </w:rPr>
              <w:t>9,331,499</w:t>
            </w:r>
          </w:p>
        </w:tc>
        <w:tc>
          <w:tcPr>
            <w:tcW w:w="1440" w:type="dxa"/>
            <w:vAlign w:val="bottom"/>
          </w:tcPr>
          <w:p>
            <w:pPr>
              <w:jc w:val="right"/>
              <w:spacing w:after="0"/>
              <w:rPr>
                <w:sz w:val="20"/>
                <w:szCs w:val="20"/>
                <w:color w:val="auto"/>
              </w:rPr>
            </w:pPr>
            <w:r>
              <w:rPr>
                <w:rFonts w:ascii="Arial" w:cs="Arial" w:eastAsia="Arial" w:hAnsi="Arial"/>
                <w:sz w:val="18"/>
                <w:szCs w:val="18"/>
                <w:color w:val="auto"/>
              </w:rPr>
              <w:t>21.71</w:t>
            </w:r>
          </w:p>
        </w:tc>
        <w:tc>
          <w:tcPr>
            <w:tcW w:w="2060" w:type="dxa"/>
            <w:vAlign w:val="bottom"/>
          </w:tcPr>
          <w:p>
            <w:pPr>
              <w:jc w:val="right"/>
              <w:spacing w:after="0"/>
              <w:rPr>
                <w:sz w:val="20"/>
                <w:szCs w:val="20"/>
                <w:color w:val="auto"/>
              </w:rPr>
            </w:pPr>
            <w:r>
              <w:rPr>
                <w:rFonts w:ascii="Arial" w:cs="Arial" w:eastAsia="Arial" w:hAnsi="Arial"/>
                <w:sz w:val="18"/>
                <w:szCs w:val="18"/>
                <w:color w:val="auto"/>
              </w:rPr>
              <w:t>9,331,499</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00" w:type="dxa"/>
            <w:vAlign w:val="bottom"/>
          </w:tcPr>
          <w:p>
            <w:pPr>
              <w:ind w:left="20"/>
              <w:spacing w:after="0"/>
              <w:rPr>
                <w:sz w:val="20"/>
                <w:szCs w:val="20"/>
                <w:color w:val="auto"/>
              </w:rPr>
            </w:pPr>
            <w:r>
              <w:rPr>
                <w:rFonts w:ascii="Arial" w:cs="Arial" w:eastAsia="Arial" w:hAnsi="Arial"/>
                <w:sz w:val="18"/>
                <w:szCs w:val="18"/>
                <w:color w:val="auto"/>
              </w:rPr>
              <w:t>April 2018</w:t>
            </w:r>
          </w:p>
        </w:tc>
        <w:tc>
          <w:tcPr>
            <w:tcW w:w="1860" w:type="dxa"/>
            <w:vAlign w:val="bottom"/>
          </w:tcPr>
          <w:p>
            <w:pPr>
              <w:jc w:val="right"/>
              <w:spacing w:after="0"/>
              <w:rPr>
                <w:sz w:val="20"/>
                <w:szCs w:val="20"/>
                <w:color w:val="auto"/>
              </w:rPr>
            </w:pPr>
            <w:r>
              <w:rPr>
                <w:rFonts w:ascii="Arial" w:cs="Arial" w:eastAsia="Arial" w:hAnsi="Arial"/>
                <w:sz w:val="18"/>
                <w:szCs w:val="18"/>
                <w:color w:val="auto"/>
              </w:rPr>
              <w:t>1,531,711</w:t>
            </w:r>
          </w:p>
        </w:tc>
        <w:tc>
          <w:tcPr>
            <w:tcW w:w="1440" w:type="dxa"/>
            <w:vAlign w:val="bottom"/>
          </w:tcPr>
          <w:p>
            <w:pPr>
              <w:jc w:val="right"/>
              <w:spacing w:after="0"/>
              <w:rPr>
                <w:sz w:val="20"/>
                <w:szCs w:val="20"/>
                <w:color w:val="auto"/>
              </w:rPr>
            </w:pPr>
            <w:r>
              <w:rPr>
                <w:rFonts w:ascii="Arial" w:cs="Arial" w:eastAsia="Arial" w:hAnsi="Arial"/>
                <w:sz w:val="18"/>
                <w:szCs w:val="18"/>
                <w:color w:val="auto"/>
              </w:rPr>
              <w:t>22.59</w:t>
            </w:r>
          </w:p>
        </w:tc>
        <w:tc>
          <w:tcPr>
            <w:tcW w:w="2060" w:type="dxa"/>
            <w:vAlign w:val="bottom"/>
          </w:tcPr>
          <w:p>
            <w:pPr>
              <w:jc w:val="right"/>
              <w:spacing w:after="0"/>
              <w:rPr>
                <w:sz w:val="20"/>
                <w:szCs w:val="20"/>
                <w:color w:val="auto"/>
              </w:rPr>
            </w:pPr>
            <w:r>
              <w:rPr>
                <w:rFonts w:ascii="Arial" w:cs="Arial" w:eastAsia="Arial" w:hAnsi="Arial"/>
                <w:sz w:val="18"/>
                <w:szCs w:val="18"/>
                <w:color w:val="auto"/>
              </w:rPr>
              <w:t>1,531,711</w:t>
            </w:r>
          </w:p>
        </w:tc>
        <w:tc>
          <w:tcPr>
            <w:tcW w:w="2080" w:type="dxa"/>
            <w:vAlign w:val="bottom"/>
          </w:tcPr>
          <w:p>
            <w:pPr>
              <w:jc w:val="right"/>
              <w:spacing w:after="0"/>
              <w:rPr>
                <w:sz w:val="20"/>
                <w:szCs w:val="20"/>
                <w:color w:val="auto"/>
              </w:rPr>
            </w:pPr>
            <w:r>
              <w:rPr>
                <w:rFonts w:ascii="Arial" w:cs="Arial" w:eastAsia="Arial" w:hAnsi="Arial"/>
                <w:sz w:val="18"/>
                <w:szCs w:val="18"/>
                <w:color w:val="auto"/>
              </w:rPr>
              <w:t>24,427,414</w:t>
            </w:r>
          </w:p>
        </w:tc>
        <w:tc>
          <w:tcPr>
            <w:tcW w:w="0" w:type="dxa"/>
            <w:vAlign w:val="bottom"/>
          </w:tcPr>
          <w:p>
            <w:pPr>
              <w:spacing w:after="0"/>
              <w:rPr>
                <w:sz w:val="1"/>
                <w:szCs w:val="1"/>
                <w:color w:val="auto"/>
              </w:rPr>
            </w:pPr>
          </w:p>
        </w:tc>
      </w:tr>
      <w:tr>
        <w:trPr>
          <w:trHeight w:val="257"/>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2018</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2,121,554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2,121,554</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22,305,860</w:t>
            </w: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June 2018</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2,631,552</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23.88</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2,631,552</w:t>
            </w:r>
          </w:p>
        </w:tc>
        <w:tc>
          <w:tcPr>
            <w:tcW w:w="2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19,674,308</w:t>
            </w:r>
          </w:p>
        </w:tc>
        <w:tc>
          <w:tcPr>
            <w:tcW w:w="0" w:type="dxa"/>
            <w:vAlign w:val="bottom"/>
          </w:tcPr>
          <w:p>
            <w:pPr>
              <w:spacing w:after="0"/>
              <w:rPr>
                <w:sz w:val="1"/>
                <w:szCs w:val="1"/>
                <w:color w:val="auto"/>
              </w:rPr>
            </w:pPr>
          </w:p>
        </w:tc>
      </w:tr>
      <w:tr>
        <w:trPr>
          <w:trHeight w:val="25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2nd Quarter 2018 Total</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6,284,817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6,284,817</w:t>
            </w:r>
          </w:p>
        </w:tc>
        <w:tc>
          <w:tcPr>
            <w:tcW w:w="2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00" w:type="dxa"/>
            <w:vAlign w:val="bottom"/>
          </w:tcPr>
          <w:p>
            <w:pPr>
              <w:ind w:left="20"/>
              <w:spacing w:after="0"/>
              <w:rPr>
                <w:sz w:val="20"/>
                <w:szCs w:val="20"/>
                <w:color w:val="auto"/>
              </w:rPr>
            </w:pPr>
            <w:r>
              <w:rPr>
                <w:rFonts w:ascii="Arial" w:cs="Arial" w:eastAsia="Arial" w:hAnsi="Arial"/>
                <w:sz w:val="18"/>
                <w:szCs w:val="18"/>
                <w:color w:val="auto"/>
              </w:rPr>
              <w:t>2018 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15,616,316</w:t>
            </w:r>
          </w:p>
        </w:tc>
        <w:tc>
          <w:tcPr>
            <w:tcW w:w="1440" w:type="dxa"/>
            <w:vAlign w:val="bottom"/>
          </w:tcPr>
          <w:p>
            <w:pPr>
              <w:jc w:val="right"/>
              <w:spacing w:after="0"/>
              <w:rPr>
                <w:sz w:val="20"/>
                <w:szCs w:val="20"/>
                <w:color w:val="auto"/>
              </w:rPr>
            </w:pPr>
            <w:r>
              <w:rPr>
                <w:rFonts w:ascii="Arial" w:cs="Arial" w:eastAsia="Arial" w:hAnsi="Arial"/>
                <w:sz w:val="18"/>
                <w:szCs w:val="18"/>
                <w:color w:val="auto"/>
              </w:rPr>
              <w:t>22.36</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15,616,316</w:t>
            </w:r>
          </w:p>
        </w:tc>
        <w:tc>
          <w:tcPr>
            <w:tcW w:w="2080" w:type="dxa"/>
            <w:vAlign w:val="bottom"/>
          </w:tcPr>
          <w:p>
            <w:pPr>
              <w:jc w:val="right"/>
              <w:spacing w:after="0"/>
              <w:rPr>
                <w:sz w:val="20"/>
                <w:szCs w:val="20"/>
                <w:color w:val="auto"/>
              </w:rPr>
            </w:pPr>
            <w:r>
              <w:rPr>
                <w:rFonts w:ascii="Arial" w:cs="Arial" w:eastAsia="Arial" w:hAnsi="Arial"/>
                <w:sz w:val="18"/>
                <w:szCs w:val="18"/>
                <w:color w:val="auto"/>
              </w:rPr>
              <w:t>19,674,308</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0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above and below for additional plan or program details.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2018 the Company has repurchased 102,325,420 shares at a total cost of $1,299,790,243 under the plan or otherwise. The following is a summary of quarterly share repurchase activity under the plan to date (adjusted for 2 for 1 stock splits each effected in the form of a 100% stock dividend issued effective May 6, 2005 and December 31,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0760"/>
          </w:cols>
          <w:pgMar w:left="900" w:top="949" w:right="239" w:bottom="1440" w:gutter="0" w:footer="0" w:header="0"/>
        </w:sectPr>
      </w:pPr>
    </w:p>
    <w:bookmarkStart w:id="33" w:name="page34"/>
    <w:bookmarkEnd w:id="33"/>
    <w:tbl>
      <w:tblPr>
        <w:tblLayout w:type="fixed"/>
        <w:tblInd w:w="66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Total Number of Shares</w:t>
            </w:r>
          </w:p>
        </w:tc>
        <w:tc>
          <w:tcPr>
            <w:tcW w:w="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2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Purchased All as Part of a</w:t>
            </w:r>
          </w:p>
        </w:tc>
        <w:tc>
          <w:tcPr>
            <w:tcW w:w="320" w:type="dxa"/>
            <w:vAlign w:val="bottom"/>
          </w:tcPr>
          <w:p>
            <w:pPr>
              <w:spacing w:after="0"/>
              <w:rPr>
                <w:sz w:val="11"/>
                <w:szCs w:val="11"/>
                <w:color w:val="auto"/>
              </w:rPr>
            </w:pPr>
          </w:p>
        </w:tc>
        <w:tc>
          <w:tcPr>
            <w:tcW w:w="180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Cost of Shares</w:t>
            </w:r>
          </w:p>
        </w:tc>
        <w:tc>
          <w:tcPr>
            <w:tcW w:w="0" w:type="dxa"/>
            <w:vAlign w:val="bottom"/>
          </w:tcPr>
          <w:p>
            <w:pPr>
              <w:spacing w:after="0"/>
              <w:rPr>
                <w:sz w:val="1"/>
                <w:szCs w:val="1"/>
                <w:color w:val="auto"/>
              </w:rPr>
            </w:pPr>
          </w:p>
        </w:tc>
      </w:tr>
      <w:tr>
        <w:trPr>
          <w:trHeight w:val="135"/>
        </w:trPr>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Quarter Ended</w:t>
            </w:r>
          </w:p>
        </w:tc>
        <w:tc>
          <w:tcPr>
            <w:tcW w:w="2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Publicly Announced Plan</w:t>
            </w:r>
          </w:p>
        </w:tc>
        <w:tc>
          <w:tcPr>
            <w:tcW w:w="32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460" w:type="dxa"/>
            <w:vAlign w:val="bottom"/>
            <w:vMerge w:val="continue"/>
          </w:tcPr>
          <w:p>
            <w:pPr>
              <w:spacing w:after="0"/>
              <w:rPr>
                <w:sz w:val="15"/>
                <w:szCs w:val="15"/>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(Post - Split)</w:t>
            </w:r>
          </w:p>
        </w:tc>
        <w:tc>
          <w:tcPr>
            <w:tcW w:w="320" w:type="dxa"/>
            <w:vAlign w:val="bottom"/>
          </w:tcPr>
          <w:p>
            <w:pPr>
              <w:spacing w:after="0"/>
              <w:rPr>
                <w:sz w:val="15"/>
                <w:szCs w:val="15"/>
                <w:color w:val="auto"/>
              </w:rPr>
            </w:pPr>
          </w:p>
        </w:tc>
        <w:tc>
          <w:tcPr>
            <w:tcW w:w="1800" w:type="dxa"/>
            <w:vAlign w:val="bottom"/>
          </w:tcPr>
          <w:p>
            <w:pPr>
              <w:jc w:val="right"/>
              <w:ind w:right="611"/>
              <w:spacing w:after="0"/>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250"/>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2003</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1,660,000</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10,246,810</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September 30, 2005</w:t>
            </w:r>
          </w:p>
        </w:tc>
        <w:tc>
          <w:tcPr>
            <w:tcW w:w="2080" w:type="dxa"/>
            <w:vAlign w:val="bottom"/>
          </w:tcPr>
          <w:p>
            <w:pPr>
              <w:jc w:val="right"/>
              <w:spacing w:after="0"/>
              <w:rPr>
                <w:sz w:val="20"/>
                <w:szCs w:val="20"/>
                <w:color w:val="auto"/>
              </w:rPr>
            </w:pPr>
            <w:r>
              <w:rPr>
                <w:rFonts w:ascii="Arial" w:cs="Arial" w:eastAsia="Arial" w:hAnsi="Arial"/>
                <w:sz w:val="18"/>
                <w:szCs w:val="18"/>
                <w:color w:val="auto"/>
              </w:rPr>
              <w:t>2,992,118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25,214,573</w:t>
            </w:r>
          </w:p>
        </w:tc>
        <w:tc>
          <w:tcPr>
            <w:tcW w:w="0" w:type="dxa"/>
            <w:vAlign w:val="bottom"/>
          </w:tcPr>
          <w:p>
            <w:pPr>
              <w:spacing w:after="0"/>
              <w:rPr>
                <w:sz w:val="1"/>
                <w:szCs w:val="1"/>
                <w:color w:val="auto"/>
              </w:rPr>
            </w:pPr>
          </w:p>
        </w:tc>
      </w:tr>
      <w:tr>
        <w:trPr>
          <w:trHeight w:val="26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2006</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5,607,096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47,145,310</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June 30, 2006</w:t>
            </w:r>
          </w:p>
        </w:tc>
        <w:tc>
          <w:tcPr>
            <w:tcW w:w="2080" w:type="dxa"/>
            <w:vAlign w:val="bottom"/>
          </w:tcPr>
          <w:p>
            <w:pPr>
              <w:jc w:val="right"/>
              <w:spacing w:after="0"/>
              <w:rPr>
                <w:sz w:val="20"/>
                <w:szCs w:val="20"/>
                <w:color w:val="auto"/>
              </w:rPr>
            </w:pPr>
            <w:r>
              <w:rPr>
                <w:rFonts w:ascii="Arial" w:cs="Arial" w:eastAsia="Arial" w:hAnsi="Arial"/>
                <w:sz w:val="18"/>
                <w:szCs w:val="18"/>
                <w:color w:val="auto"/>
              </w:rPr>
              <w:t>14,402,162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104,604,414</w:t>
            </w:r>
          </w:p>
        </w:tc>
        <w:tc>
          <w:tcPr>
            <w:tcW w:w="0" w:type="dxa"/>
            <w:vAlign w:val="bottom"/>
          </w:tcPr>
          <w:p>
            <w:pPr>
              <w:spacing w:after="0"/>
              <w:rPr>
                <w:sz w:val="1"/>
                <w:szCs w:val="1"/>
                <w:color w:val="auto"/>
              </w:rPr>
            </w:pPr>
          </w:p>
        </w:tc>
      </w:tr>
      <w:tr>
        <w:trPr>
          <w:trHeight w:val="26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2006</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7,936,342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55,614,102</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December 31, 2006</w:t>
            </w:r>
          </w:p>
        </w:tc>
        <w:tc>
          <w:tcPr>
            <w:tcW w:w="2080" w:type="dxa"/>
            <w:vAlign w:val="bottom"/>
          </w:tcPr>
          <w:p>
            <w:pPr>
              <w:jc w:val="right"/>
              <w:spacing w:after="0"/>
              <w:rPr>
                <w:sz w:val="20"/>
                <w:szCs w:val="20"/>
                <w:color w:val="auto"/>
              </w:rPr>
            </w:pPr>
            <w:r>
              <w:rPr>
                <w:rFonts w:ascii="Arial" w:cs="Arial" w:eastAsia="Arial" w:hAnsi="Arial"/>
                <w:sz w:val="18"/>
                <w:szCs w:val="18"/>
                <w:color w:val="auto"/>
              </w:rPr>
              <w:t>2,465,768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19,487,427</w:t>
            </w:r>
          </w:p>
        </w:tc>
        <w:tc>
          <w:tcPr>
            <w:tcW w:w="0" w:type="dxa"/>
            <w:vAlign w:val="bottom"/>
          </w:tcPr>
          <w:p>
            <w:pPr>
              <w:spacing w:after="0"/>
              <w:rPr>
                <w:sz w:val="1"/>
                <w:szCs w:val="1"/>
                <w:color w:val="auto"/>
              </w:rPr>
            </w:pPr>
          </w:p>
        </w:tc>
      </w:tr>
      <w:tr>
        <w:trPr>
          <w:trHeight w:val="26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2007</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895,420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7,328,015</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March 31, 2008</w:t>
            </w:r>
          </w:p>
        </w:tc>
        <w:tc>
          <w:tcPr>
            <w:tcW w:w="2080" w:type="dxa"/>
            <w:vAlign w:val="bottom"/>
          </w:tcPr>
          <w:p>
            <w:pPr>
              <w:jc w:val="right"/>
              <w:spacing w:after="0"/>
              <w:rPr>
                <w:sz w:val="20"/>
                <w:szCs w:val="20"/>
                <w:color w:val="auto"/>
              </w:rPr>
            </w:pPr>
            <w:r>
              <w:rPr>
                <w:rFonts w:ascii="Arial" w:cs="Arial" w:eastAsia="Arial" w:hAnsi="Arial"/>
                <w:sz w:val="18"/>
                <w:szCs w:val="18"/>
                <w:color w:val="auto"/>
              </w:rPr>
              <w:t>4,401,504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34,619,490</w:t>
            </w:r>
          </w:p>
        </w:tc>
        <w:tc>
          <w:tcPr>
            <w:tcW w:w="0" w:type="dxa"/>
            <w:vAlign w:val="bottom"/>
          </w:tcPr>
          <w:p>
            <w:pPr>
              <w:spacing w:after="0"/>
              <w:rPr>
                <w:sz w:val="1"/>
                <w:szCs w:val="1"/>
                <w:color w:val="auto"/>
              </w:rPr>
            </w:pPr>
          </w:p>
        </w:tc>
      </w:tr>
      <w:tr>
        <w:trPr>
          <w:trHeight w:val="26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2008</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2,407,120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19,043,775</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September 30, 2008</w:t>
            </w:r>
          </w:p>
        </w:tc>
        <w:tc>
          <w:tcPr>
            <w:tcW w:w="2080" w:type="dxa"/>
            <w:vAlign w:val="bottom"/>
          </w:tcPr>
          <w:p>
            <w:pPr>
              <w:jc w:val="right"/>
              <w:spacing w:after="0"/>
              <w:rPr>
                <w:sz w:val="20"/>
                <w:szCs w:val="20"/>
                <w:color w:val="auto"/>
              </w:rPr>
            </w:pPr>
            <w:r>
              <w:rPr>
                <w:rFonts w:ascii="Arial" w:cs="Arial" w:eastAsia="Arial" w:hAnsi="Arial"/>
                <w:sz w:val="18"/>
                <w:szCs w:val="18"/>
                <w:color w:val="auto"/>
              </w:rPr>
              <w:t>5,038,306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39,689,410</w:t>
            </w:r>
          </w:p>
        </w:tc>
        <w:tc>
          <w:tcPr>
            <w:tcW w:w="0" w:type="dxa"/>
            <w:vAlign w:val="bottom"/>
          </w:tcPr>
          <w:p>
            <w:pPr>
              <w:spacing w:after="0"/>
              <w:rPr>
                <w:sz w:val="1"/>
                <w:szCs w:val="1"/>
                <w:color w:val="auto"/>
              </w:rPr>
            </w:pPr>
          </w:p>
        </w:tc>
      </w:tr>
      <w:tr>
        <w:trPr>
          <w:trHeight w:val="26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2008</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4,250,506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17,907,128</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September 30, 2012</w:t>
            </w:r>
          </w:p>
        </w:tc>
        <w:tc>
          <w:tcPr>
            <w:tcW w:w="2080" w:type="dxa"/>
            <w:vAlign w:val="bottom"/>
          </w:tcPr>
          <w:p>
            <w:pPr>
              <w:jc w:val="right"/>
              <w:spacing w:after="0"/>
              <w:rPr>
                <w:sz w:val="20"/>
                <w:szCs w:val="20"/>
                <w:color w:val="auto"/>
              </w:rPr>
            </w:pPr>
            <w:r>
              <w:rPr>
                <w:rFonts w:ascii="Arial" w:cs="Arial" w:eastAsia="Arial" w:hAnsi="Arial"/>
                <w:sz w:val="18"/>
                <w:szCs w:val="18"/>
                <w:color w:val="auto"/>
              </w:rPr>
              <w:t>3,943,658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33,716,725</w:t>
            </w:r>
          </w:p>
        </w:tc>
        <w:tc>
          <w:tcPr>
            <w:tcW w:w="0" w:type="dxa"/>
            <w:vAlign w:val="bottom"/>
          </w:tcPr>
          <w:p>
            <w:pPr>
              <w:spacing w:after="0"/>
              <w:rPr>
                <w:sz w:val="1"/>
                <w:szCs w:val="1"/>
                <w:color w:val="auto"/>
              </w:rPr>
            </w:pPr>
          </w:p>
        </w:tc>
      </w:tr>
      <w:tr>
        <w:trPr>
          <w:trHeight w:val="26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2014</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703,130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9,999,957</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December 31, 2014</w:t>
            </w:r>
          </w:p>
        </w:tc>
        <w:tc>
          <w:tcPr>
            <w:tcW w:w="2080" w:type="dxa"/>
            <w:vAlign w:val="bottom"/>
          </w:tcPr>
          <w:p>
            <w:pPr>
              <w:jc w:val="right"/>
              <w:spacing w:after="0"/>
              <w:rPr>
                <w:sz w:val="20"/>
                <w:szCs w:val="20"/>
                <w:color w:val="auto"/>
              </w:rPr>
            </w:pPr>
            <w:r>
              <w:rPr>
                <w:rFonts w:ascii="Arial" w:cs="Arial" w:eastAsia="Arial" w:hAnsi="Arial"/>
                <w:sz w:val="18"/>
                <w:szCs w:val="18"/>
                <w:color w:val="auto"/>
              </w:rPr>
              <w:t>1,094,350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20,010,925</w:t>
            </w:r>
          </w:p>
        </w:tc>
        <w:tc>
          <w:tcPr>
            <w:tcW w:w="0" w:type="dxa"/>
            <w:vAlign w:val="bottom"/>
          </w:tcPr>
          <w:p>
            <w:pPr>
              <w:spacing w:after="0"/>
              <w:rPr>
                <w:sz w:val="1"/>
                <w:szCs w:val="1"/>
                <w:color w:val="auto"/>
              </w:rPr>
            </w:pPr>
          </w:p>
        </w:tc>
      </w:tr>
      <w:tr>
        <w:trPr>
          <w:trHeight w:val="26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2015</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1,406,595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25,049,145</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June 30, 2015</w:t>
            </w:r>
          </w:p>
        </w:tc>
        <w:tc>
          <w:tcPr>
            <w:tcW w:w="2080" w:type="dxa"/>
            <w:vAlign w:val="bottom"/>
          </w:tcPr>
          <w:p>
            <w:pPr>
              <w:jc w:val="right"/>
              <w:spacing w:after="0"/>
              <w:rPr>
                <w:sz w:val="20"/>
                <w:szCs w:val="20"/>
                <w:color w:val="auto"/>
              </w:rPr>
            </w:pPr>
            <w:r>
              <w:rPr>
                <w:rFonts w:ascii="Arial" w:cs="Arial" w:eastAsia="Arial" w:hAnsi="Arial"/>
                <w:sz w:val="18"/>
                <w:szCs w:val="18"/>
                <w:color w:val="auto"/>
              </w:rPr>
              <w:t>1,427,469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25,058,050</w:t>
            </w:r>
          </w:p>
        </w:tc>
        <w:tc>
          <w:tcPr>
            <w:tcW w:w="0" w:type="dxa"/>
            <w:vAlign w:val="bottom"/>
          </w:tcPr>
          <w:p>
            <w:pPr>
              <w:spacing w:after="0"/>
              <w:rPr>
                <w:sz w:val="1"/>
                <w:szCs w:val="1"/>
                <w:color w:val="auto"/>
              </w:rPr>
            </w:pPr>
          </w:p>
        </w:tc>
      </w:tr>
      <w:tr>
        <w:trPr>
          <w:trHeight w:val="26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2015</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2,051,013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32,793,258</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December 31, 2015</w:t>
            </w:r>
          </w:p>
        </w:tc>
        <w:tc>
          <w:tcPr>
            <w:tcW w:w="2080" w:type="dxa"/>
            <w:vAlign w:val="bottom"/>
          </w:tcPr>
          <w:p>
            <w:pPr>
              <w:jc w:val="right"/>
              <w:spacing w:after="0"/>
              <w:rPr>
                <w:sz w:val="20"/>
                <w:szCs w:val="20"/>
                <w:color w:val="auto"/>
              </w:rPr>
            </w:pPr>
            <w:r>
              <w:rPr>
                <w:rFonts w:ascii="Arial" w:cs="Arial" w:eastAsia="Arial" w:hAnsi="Arial"/>
                <w:sz w:val="18"/>
                <w:szCs w:val="18"/>
                <w:color w:val="auto"/>
              </w:rPr>
              <w:t>1,765,496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28,328,372</w:t>
            </w:r>
          </w:p>
        </w:tc>
        <w:tc>
          <w:tcPr>
            <w:tcW w:w="0" w:type="dxa"/>
            <w:vAlign w:val="bottom"/>
          </w:tcPr>
          <w:p>
            <w:pPr>
              <w:spacing w:after="0"/>
              <w:rPr>
                <w:sz w:val="1"/>
                <w:szCs w:val="1"/>
                <w:color w:val="auto"/>
              </w:rPr>
            </w:pPr>
          </w:p>
        </w:tc>
      </w:tr>
      <w:tr>
        <w:trPr>
          <w:trHeight w:val="26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2016</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3,124,053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44,585,668</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June 30, 2016</w:t>
            </w:r>
          </w:p>
        </w:tc>
        <w:tc>
          <w:tcPr>
            <w:tcW w:w="2080" w:type="dxa"/>
            <w:vAlign w:val="bottom"/>
          </w:tcPr>
          <w:p>
            <w:pPr>
              <w:jc w:val="right"/>
              <w:spacing w:after="0"/>
              <w:rPr>
                <w:sz w:val="20"/>
                <w:szCs w:val="20"/>
                <w:color w:val="auto"/>
              </w:rPr>
            </w:pPr>
            <w:r>
              <w:rPr>
                <w:rFonts w:ascii="Arial" w:cs="Arial" w:eastAsia="Arial" w:hAnsi="Arial"/>
                <w:sz w:val="18"/>
                <w:szCs w:val="18"/>
                <w:color w:val="auto"/>
              </w:rPr>
              <w:t>3,080,993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47,689,204</w:t>
            </w:r>
          </w:p>
        </w:tc>
        <w:tc>
          <w:tcPr>
            <w:tcW w:w="0" w:type="dxa"/>
            <w:vAlign w:val="bottom"/>
          </w:tcPr>
          <w:p>
            <w:pPr>
              <w:spacing w:after="0"/>
              <w:rPr>
                <w:sz w:val="1"/>
                <w:szCs w:val="1"/>
                <w:color w:val="auto"/>
              </w:rPr>
            </w:pPr>
          </w:p>
        </w:tc>
      </w:tr>
      <w:tr>
        <w:trPr>
          <w:trHeight w:val="26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2016</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1,836,312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30,466,752</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December 31, 2016</w:t>
            </w:r>
          </w:p>
        </w:tc>
        <w:tc>
          <w:tcPr>
            <w:tcW w:w="2080" w:type="dxa"/>
            <w:vAlign w:val="bottom"/>
          </w:tcPr>
          <w:p>
            <w:pPr>
              <w:jc w:val="right"/>
              <w:spacing w:after="0"/>
              <w:rPr>
                <w:sz w:val="20"/>
                <w:szCs w:val="20"/>
                <w:color w:val="auto"/>
              </w:rPr>
            </w:pPr>
            <w:r>
              <w:rPr>
                <w:rFonts w:ascii="Arial" w:cs="Arial" w:eastAsia="Arial" w:hAnsi="Arial"/>
                <w:sz w:val="18"/>
                <w:szCs w:val="18"/>
                <w:color w:val="auto"/>
              </w:rPr>
              <w:t>2,264,769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40,622,598</w:t>
            </w:r>
          </w:p>
        </w:tc>
        <w:tc>
          <w:tcPr>
            <w:tcW w:w="0" w:type="dxa"/>
            <w:vAlign w:val="bottom"/>
          </w:tcPr>
          <w:p>
            <w:pPr>
              <w:spacing w:after="0"/>
              <w:rPr>
                <w:sz w:val="1"/>
                <w:szCs w:val="1"/>
                <w:color w:val="auto"/>
              </w:rPr>
            </w:pPr>
          </w:p>
        </w:tc>
      </w:tr>
      <w:tr>
        <w:trPr>
          <w:trHeight w:val="26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2017</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1,473,403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30,986,386</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June 30, 2017</w:t>
            </w:r>
          </w:p>
        </w:tc>
        <w:tc>
          <w:tcPr>
            <w:tcW w:w="2080" w:type="dxa"/>
            <w:vAlign w:val="bottom"/>
          </w:tcPr>
          <w:p>
            <w:pPr>
              <w:jc w:val="right"/>
              <w:spacing w:after="0"/>
              <w:rPr>
                <w:sz w:val="20"/>
                <w:szCs w:val="20"/>
                <w:color w:val="auto"/>
              </w:rPr>
            </w:pPr>
            <w:r>
              <w:rPr>
                <w:rFonts w:ascii="Arial" w:cs="Arial" w:eastAsia="Arial" w:hAnsi="Arial"/>
                <w:sz w:val="18"/>
                <w:szCs w:val="18"/>
                <w:color w:val="auto"/>
              </w:rPr>
              <w:t>2,181,875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42,570,501</w:t>
            </w:r>
          </w:p>
        </w:tc>
        <w:tc>
          <w:tcPr>
            <w:tcW w:w="0" w:type="dxa"/>
            <w:vAlign w:val="bottom"/>
          </w:tcPr>
          <w:p>
            <w:pPr>
              <w:spacing w:after="0"/>
              <w:rPr>
                <w:sz w:val="1"/>
                <w:szCs w:val="1"/>
                <w:color w:val="auto"/>
              </w:rPr>
            </w:pPr>
          </w:p>
        </w:tc>
      </w:tr>
      <w:tr>
        <w:trPr>
          <w:trHeight w:val="26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2017</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3,213,146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56,270,779</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December 31, 2017</w:t>
            </w:r>
          </w:p>
        </w:tc>
        <w:tc>
          <w:tcPr>
            <w:tcW w:w="2080" w:type="dxa"/>
            <w:vAlign w:val="bottom"/>
          </w:tcPr>
          <w:p>
            <w:pPr>
              <w:jc w:val="right"/>
              <w:spacing w:after="0"/>
              <w:rPr>
                <w:sz w:val="20"/>
                <w:szCs w:val="20"/>
                <w:color w:val="auto"/>
              </w:rPr>
            </w:pPr>
            <w:r>
              <w:rPr>
                <w:rFonts w:ascii="Arial" w:cs="Arial" w:eastAsia="Arial" w:hAnsi="Arial"/>
                <w:sz w:val="18"/>
                <w:szCs w:val="18"/>
                <w:color w:val="auto"/>
              </w:rPr>
              <w:t>5,086,500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101,535,549</w:t>
            </w:r>
          </w:p>
        </w:tc>
        <w:tc>
          <w:tcPr>
            <w:tcW w:w="0" w:type="dxa"/>
            <w:vAlign w:val="bottom"/>
          </w:tcPr>
          <w:p>
            <w:pPr>
              <w:spacing w:after="0"/>
              <w:rPr>
                <w:sz w:val="1"/>
                <w:szCs w:val="1"/>
                <w:color w:val="auto"/>
              </w:rPr>
            </w:pPr>
          </w:p>
        </w:tc>
      </w:tr>
      <w:tr>
        <w:trPr>
          <w:trHeight w:val="26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9,331,499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202,572,393</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June 30, 2018</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6,284,817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146,633,527</w:t>
            </w: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102,325,420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1,299,790,243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85"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See Exhibit Index on Page </w:t>
      </w:r>
      <w:hyperlink w:anchor="page35">
        <w:r>
          <w:rPr>
            <w:rFonts w:ascii="Arial" w:cs="Arial" w:eastAsia="Arial" w:hAnsi="Arial"/>
            <w:sz w:val="18"/>
            <w:szCs w:val="18"/>
            <w:u w:val="single" w:color="auto"/>
            <w:color w:val="0000FF"/>
          </w:rPr>
          <w:t>36</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9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8"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GENTEX CORPORATION</w:t>
      </w:r>
    </w:p>
    <w:p>
      <w:pPr>
        <w:spacing w:after="0" w:line="158" w:lineRule="exact"/>
        <w:rPr>
          <w:sz w:val="20"/>
          <w:szCs w:val="20"/>
          <w:color w:val="auto"/>
        </w:rPr>
      </w:pPr>
    </w:p>
    <w:p>
      <w:pPr>
        <w:ind w:left="20"/>
        <w:spacing w:after="0"/>
        <w:tabs>
          <w:tab w:leader="none" w:pos="700" w:val="left"/>
          <w:tab w:leader="none" w:pos="3540" w:val="left"/>
        </w:tabs>
        <w:rPr>
          <w:sz w:val="20"/>
          <w:szCs w:val="20"/>
          <w:color w:val="auto"/>
        </w:rPr>
      </w:pPr>
      <w:r>
        <w:rPr>
          <w:rFonts w:ascii="Arial" w:cs="Arial" w:eastAsia="Arial" w:hAnsi="Arial"/>
          <w:sz w:val="18"/>
          <w:szCs w:val="18"/>
          <w:color w:val="auto"/>
        </w:rPr>
        <w:t>Date:</w:t>
        <w:tab/>
        <w:t>August 3, 2018</w:t>
      </w:r>
      <w:r>
        <w:rPr>
          <w:sz w:val="20"/>
          <w:szCs w:val="20"/>
          <w:color w:val="auto"/>
        </w:rPr>
        <w:tab/>
      </w:r>
      <w:r>
        <w:rPr>
          <w:rFonts w:ascii="Arial" w:cs="Arial" w:eastAsia="Arial" w:hAnsi="Arial"/>
          <w:sz w:val="17"/>
          <w:szCs w:val="17"/>
          <w:color w:val="auto"/>
        </w:rPr>
        <w:t>/s/ Steven R. Downing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14605</wp:posOffset>
            </wp:positionV>
            <wp:extent cx="431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Steven R. Downing</w:t>
      </w:r>
    </w:p>
    <w:p>
      <w:pPr>
        <w:spacing w:after="0" w:line="50"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(Principal Executive Officer) on behalf of Gentex Corporation</w:t>
      </w:r>
    </w:p>
    <w:p>
      <w:pPr>
        <w:spacing w:after="0" w:line="158" w:lineRule="exact"/>
        <w:rPr>
          <w:sz w:val="20"/>
          <w:szCs w:val="20"/>
          <w:color w:val="auto"/>
        </w:rPr>
      </w:pPr>
    </w:p>
    <w:p>
      <w:pPr>
        <w:ind w:left="20"/>
        <w:spacing w:after="0"/>
        <w:tabs>
          <w:tab w:leader="none" w:pos="700" w:val="left"/>
          <w:tab w:leader="none" w:pos="3540" w:val="left"/>
        </w:tabs>
        <w:rPr>
          <w:sz w:val="20"/>
          <w:szCs w:val="20"/>
          <w:color w:val="auto"/>
        </w:rPr>
      </w:pPr>
      <w:r>
        <w:rPr>
          <w:rFonts w:ascii="Arial" w:cs="Arial" w:eastAsia="Arial" w:hAnsi="Arial"/>
          <w:sz w:val="18"/>
          <w:szCs w:val="18"/>
          <w:color w:val="auto"/>
        </w:rPr>
        <w:t>Date:</w:t>
        <w:tab/>
        <w:t>August 3, 2018</w:t>
      </w:r>
      <w:r>
        <w:rPr>
          <w:sz w:val="20"/>
          <w:szCs w:val="20"/>
          <w:color w:val="auto"/>
        </w:rPr>
        <w:tab/>
      </w:r>
      <w:r>
        <w:rPr>
          <w:rFonts w:ascii="Arial" w:cs="Arial" w:eastAsia="Arial" w:hAnsi="Arial"/>
          <w:sz w:val="17"/>
          <w:szCs w:val="17"/>
          <w:color w:val="auto"/>
        </w:rPr>
        <w:t>/s/ Kevin C.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14605</wp:posOffset>
            </wp:positionV>
            <wp:extent cx="4313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Kevin C. Nash</w:t>
      </w:r>
    </w:p>
    <w:p>
      <w:pPr>
        <w:spacing w:after="0" w:line="50"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Vice President, Finance, Chief Financial Officer and Treasurer</w:t>
      </w:r>
    </w:p>
    <w:p>
      <w:pPr>
        <w:spacing w:after="0" w:line="50" w:lineRule="exact"/>
        <w:rPr>
          <w:sz w:val="20"/>
          <w:szCs w:val="20"/>
          <w:color w:val="auto"/>
        </w:rPr>
      </w:pPr>
    </w:p>
    <w:p>
      <w:pPr>
        <w:ind w:left="3560" w:right="1480"/>
        <w:spacing w:after="0" w:line="246" w:lineRule="auto"/>
        <w:rPr>
          <w:sz w:val="20"/>
          <w:szCs w:val="20"/>
          <w:color w:val="auto"/>
        </w:rPr>
      </w:pPr>
      <w:r>
        <w:rPr>
          <w:rFonts w:ascii="Arial" w:cs="Arial" w:eastAsia="Arial" w:hAnsi="Arial"/>
          <w:sz w:val="18"/>
          <w:szCs w:val="18"/>
          <w:color w:val="auto"/>
        </w:rPr>
        <w:t>(Principal Financial Officer and Principal Accounting Officer) on behalf of Gentex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927"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9"/>
        </w:trPr>
        <w:tc>
          <w:tcPr>
            <w:tcW w:w="1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20" w:type="dxa"/>
            <w:vAlign w:val="bottom"/>
            <w:gridSpan w:val="3"/>
          </w:tcPr>
          <w:p>
            <w:pPr>
              <w:ind w:left="2300"/>
              <w:spacing w:after="0"/>
              <w:rPr>
                <w:sz w:val="20"/>
                <w:szCs w:val="20"/>
                <w:color w:val="auto"/>
              </w:rPr>
            </w:pPr>
            <w:r>
              <w:rPr>
                <w:rFonts w:ascii="Arial" w:cs="Arial" w:eastAsia="Arial" w:hAnsi="Arial"/>
                <w:sz w:val="18"/>
                <w:szCs w:val="18"/>
                <w:b w:val="1"/>
                <w:bCs w:val="1"/>
                <w:color w:val="auto"/>
              </w:rPr>
              <w:t>EXHIBIT INDEX</w:t>
            </w:r>
          </w:p>
        </w:tc>
      </w:tr>
      <w:tr>
        <w:trPr>
          <w:trHeight w:val="677"/>
        </w:trPr>
        <w:tc>
          <w:tcPr>
            <w:tcW w:w="134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gridSpan w:val="3"/>
          </w:tcPr>
          <w:p>
            <w:pPr>
              <w:ind w:left="320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340" w:type="dxa"/>
            <w:vAlign w:val="bottom"/>
          </w:tcPr>
          <w:p>
            <w:pPr>
              <w:ind w:left="20"/>
              <w:spacing w:after="0" w:line="201" w:lineRule="exact"/>
              <w:rPr>
                <w:sz w:val="20"/>
                <w:szCs w:val="20"/>
                <w:color w:val="auto"/>
              </w:rPr>
            </w:pPr>
            <w:r>
              <w:rPr>
                <w:rFonts w:ascii="Arial" w:cs="Arial" w:eastAsia="Arial" w:hAnsi="Arial"/>
                <w:sz w:val="18"/>
                <w:szCs w:val="18"/>
                <w:color w:val="auto"/>
              </w:rPr>
              <w:t>31.1</w:t>
            </w:r>
          </w:p>
        </w:tc>
        <w:tc>
          <w:tcPr>
            <w:tcW w:w="10040" w:type="dxa"/>
            <w:vAlign w:val="bottom"/>
            <w:gridSpan w:val="5"/>
          </w:tcPr>
          <w:p>
            <w:pPr>
              <w:spacing w:after="0" w:line="201" w:lineRule="exact"/>
              <w:rPr>
                <w:rFonts w:ascii="Arial" w:cs="Arial" w:eastAsia="Arial" w:hAnsi="Arial"/>
                <w:sz w:val="18"/>
                <w:szCs w:val="18"/>
                <w:color w:val="0000FF"/>
              </w:rPr>
            </w:pPr>
            <w:hyperlink w:anchor="page37">
              <w:r>
                <w:rPr>
                  <w:rFonts w:ascii="Arial" w:cs="Arial" w:eastAsia="Arial" w:hAnsi="Arial"/>
                  <w:sz w:val="18"/>
                  <w:szCs w:val="18"/>
                  <w:color w:val="0000FF"/>
                </w:rPr>
                <w:t>Certificate of the Chief Executive Officer of Gentex Corporation pursuant to Section 302 of the Sarbanes-Oxley Act of 2002</w:t>
              </w:r>
            </w:hyperlink>
          </w:p>
        </w:tc>
      </w:tr>
      <w:tr>
        <w:trPr>
          <w:trHeight w:val="156"/>
        </w:trPr>
        <w:tc>
          <w:tcPr>
            <w:tcW w:w="1340" w:type="dxa"/>
            <w:vAlign w:val="bottom"/>
          </w:tcPr>
          <w:p>
            <w:pPr>
              <w:spacing w:after="0"/>
              <w:rPr>
                <w:sz w:val="13"/>
                <w:szCs w:val="13"/>
                <w:color w:val="auto"/>
              </w:rPr>
            </w:pPr>
          </w:p>
        </w:tc>
        <w:tc>
          <w:tcPr>
            <w:tcW w:w="978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37">
              <w:r>
                <w:rPr>
                  <w:rFonts w:ascii="Arial" w:cs="Arial" w:eastAsia="Arial" w:hAnsi="Arial"/>
                  <w:sz w:val="18"/>
                  <w:szCs w:val="18"/>
                  <w:color w:val="0000FF"/>
                </w:rPr>
                <w:t>(18 U.S.C. 1350).</w:t>
              </w:r>
            </w:hyperlink>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34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3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10040" w:type="dxa"/>
            <w:vAlign w:val="bottom"/>
            <w:gridSpan w:val="5"/>
            <w:shd w:val="clear" w:color="auto" w:fill="CCEEFF"/>
          </w:tcPr>
          <w:p>
            <w:pPr>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Certificate of the Chief Financial Officer of Gentex Corporation pursuant to Section 302 of the Sarbanes-Oxley Act of 2002 (18</w:t>
              </w:r>
            </w:hyperlink>
          </w:p>
        </w:tc>
      </w:tr>
      <w:tr>
        <w:trPr>
          <w:trHeight w:val="156"/>
        </w:trPr>
        <w:tc>
          <w:tcPr>
            <w:tcW w:w="134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color w:val="0000FF"/>
              </w:rPr>
            </w:pPr>
            <w:hyperlink w:anchor="page38">
              <w:r>
                <w:rPr>
                  <w:rFonts w:ascii="Arial" w:cs="Arial" w:eastAsia="Arial" w:hAnsi="Arial"/>
                  <w:sz w:val="18"/>
                  <w:szCs w:val="18"/>
                  <w:color w:val="0000FF"/>
                </w:rPr>
                <w:t>U.S.C. 1350).</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1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 w:lineRule="exact"/>
        <w:rPr>
          <w:sz w:val="20"/>
          <w:szCs w:val="20"/>
          <w:color w:val="auto"/>
        </w:rPr>
      </w:pPr>
    </w:p>
    <w:p>
      <w:pPr>
        <w:ind w:left="1340" w:right="440" w:hanging="1314"/>
        <w:spacing w:after="0" w:line="227" w:lineRule="auto"/>
        <w:tabs>
          <w:tab w:leader="none" w:pos="1340" w:val="left"/>
        </w:tabs>
        <w:numPr>
          <w:ilvl w:val="0"/>
          <w:numId w:val="3"/>
        </w:numPr>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Certificate of the Chief Executive Officer and Chief Financial Officer of Gentex Corporation pursuant to Section 906 of the</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Sarbanes-Oxley Act of 2002 (18 U.S.C. 1350).</w:t>
        </w:r>
      </w:hyperlink>
    </w:p>
    <w:p>
      <w:pPr>
        <w:spacing w:after="0" w:line="21"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10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w:t>
            </w:r>
          </w:p>
        </w:tc>
      </w:tr>
      <w:tr>
        <w:trPr>
          <w:trHeight w:val="230"/>
        </w:trPr>
        <w:tc>
          <w:tcPr>
            <w:tcW w:w="1060" w:type="dxa"/>
            <w:vAlign w:val="bottom"/>
            <w:shd w:val="clear" w:color="auto" w:fill="CCEEFF"/>
          </w:tcPr>
          <w:p>
            <w:pPr>
              <w:spacing w:after="0"/>
              <w:rPr>
                <w:sz w:val="20"/>
                <w:szCs w:val="20"/>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embedded within the Inline XBRL document</w:t>
            </w: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101.SCH</w:t>
            </w:r>
          </w:p>
        </w:tc>
        <w:tc>
          <w:tcPr>
            <w:tcW w:w="1032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63"/>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101.DEF</w:t>
            </w:r>
          </w:p>
        </w:tc>
        <w:tc>
          <w:tcPr>
            <w:tcW w:w="1032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263"/>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43"/>
        </w:trPr>
        <w:tc>
          <w:tcPr>
            <w:tcW w:w="1060" w:type="dxa"/>
            <w:vAlign w:val="bottom"/>
          </w:tcPr>
          <w:p>
            <w:pPr>
              <w:ind w:left="20"/>
              <w:spacing w:after="0"/>
              <w:rPr>
                <w:sz w:val="20"/>
                <w:szCs w:val="20"/>
                <w:color w:val="auto"/>
              </w:rPr>
            </w:pPr>
            <w:r>
              <w:rPr>
                <w:rFonts w:ascii="Arial" w:cs="Arial" w:eastAsia="Arial" w:hAnsi="Arial"/>
                <w:sz w:val="18"/>
                <w:szCs w:val="18"/>
                <w:color w:val="auto"/>
              </w:rPr>
              <w:t>101.PRE</w:t>
            </w:r>
          </w:p>
        </w:tc>
        <w:tc>
          <w:tcPr>
            <w:tcW w:w="1032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92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EXHIBIT 31.1</w:t>
      </w:r>
    </w:p>
    <w:p>
      <w:pPr>
        <w:spacing w:after="0" w:line="266"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66"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65" w:lineRule="exact"/>
        <w:rPr>
          <w:rFonts w:ascii="Arial" w:cs="Arial" w:eastAsia="Arial" w:hAnsi="Arial"/>
          <w:sz w:val="18"/>
          <w:szCs w:val="18"/>
          <w:color w:val="auto"/>
        </w:rPr>
      </w:pPr>
    </w:p>
    <w:p>
      <w:pPr>
        <w:jc w:val="both"/>
        <w:ind w:left="240" w:hanging="232"/>
        <w:spacing w:after="0" w:line="256" w:lineRule="auto"/>
        <w:tabs>
          <w:tab w:leader="none" w:pos="233"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42" w:lineRule="exact"/>
        <w:rPr>
          <w:rFonts w:ascii="Arial" w:cs="Arial" w:eastAsia="Arial" w:hAnsi="Arial"/>
          <w:sz w:val="18"/>
          <w:szCs w:val="18"/>
          <w:color w:val="auto"/>
        </w:rPr>
      </w:pPr>
    </w:p>
    <w:p>
      <w:pPr>
        <w:jc w:val="both"/>
        <w:ind w:left="240" w:hanging="232"/>
        <w:spacing w:after="0" w:line="256" w:lineRule="auto"/>
        <w:tabs>
          <w:tab w:leader="none" w:pos="31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42" w:lineRule="exact"/>
        <w:rPr>
          <w:rFonts w:ascii="Arial" w:cs="Arial" w:eastAsia="Arial" w:hAnsi="Arial"/>
          <w:sz w:val="18"/>
          <w:szCs w:val="18"/>
          <w:color w:val="auto"/>
        </w:rPr>
      </w:pPr>
    </w:p>
    <w:p>
      <w:pPr>
        <w:jc w:val="both"/>
        <w:ind w:left="240" w:hanging="232"/>
        <w:spacing w:after="0" w:line="256" w:lineRule="auto"/>
        <w:tabs>
          <w:tab w:leader="none" w:pos="20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2" w:lineRule="exact"/>
        <w:rPr>
          <w:rFonts w:ascii="Arial" w:cs="Arial" w:eastAsia="Arial" w:hAnsi="Arial"/>
          <w:sz w:val="18"/>
          <w:szCs w:val="18"/>
          <w:color w:val="auto"/>
        </w:rPr>
      </w:pPr>
    </w:p>
    <w:p>
      <w:pPr>
        <w:jc w:val="both"/>
        <w:ind w:left="660" w:hanging="238"/>
        <w:spacing w:after="0" w:line="256" w:lineRule="auto"/>
        <w:tabs>
          <w:tab w:leader="none" w:pos="663"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42" w:lineRule="exact"/>
        <w:rPr>
          <w:rFonts w:ascii="Arial" w:cs="Arial" w:eastAsia="Arial" w:hAnsi="Arial"/>
          <w:sz w:val="18"/>
          <w:szCs w:val="18"/>
          <w:color w:val="auto"/>
        </w:rPr>
      </w:pPr>
    </w:p>
    <w:p>
      <w:pPr>
        <w:jc w:val="both"/>
        <w:ind w:left="660" w:hanging="238"/>
        <w:spacing w:after="0" w:line="256" w:lineRule="auto"/>
        <w:tabs>
          <w:tab w:leader="none" w:pos="65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2" w:lineRule="exact"/>
        <w:rPr>
          <w:rFonts w:ascii="Arial" w:cs="Arial" w:eastAsia="Arial" w:hAnsi="Arial"/>
          <w:sz w:val="18"/>
          <w:szCs w:val="18"/>
          <w:color w:val="auto"/>
        </w:rPr>
      </w:pPr>
    </w:p>
    <w:p>
      <w:pPr>
        <w:jc w:val="both"/>
        <w:ind w:left="660" w:hanging="238"/>
        <w:spacing w:after="0" w:line="256" w:lineRule="auto"/>
        <w:tabs>
          <w:tab w:leader="none" w:pos="629"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42" w:lineRule="exact"/>
        <w:rPr>
          <w:rFonts w:ascii="Arial" w:cs="Arial" w:eastAsia="Arial" w:hAnsi="Arial"/>
          <w:sz w:val="18"/>
          <w:szCs w:val="18"/>
          <w:color w:val="auto"/>
        </w:rPr>
      </w:pPr>
    </w:p>
    <w:p>
      <w:pPr>
        <w:jc w:val="both"/>
        <w:ind w:left="660" w:hanging="238"/>
        <w:spacing w:after="0" w:line="256" w:lineRule="auto"/>
        <w:tabs>
          <w:tab w:leader="none" w:pos="677"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2" w:lineRule="exact"/>
        <w:rPr>
          <w:rFonts w:ascii="Arial" w:cs="Arial" w:eastAsia="Arial" w:hAnsi="Arial"/>
          <w:sz w:val="18"/>
          <w:szCs w:val="18"/>
          <w:color w:val="auto"/>
        </w:rPr>
      </w:pPr>
    </w:p>
    <w:p>
      <w:pPr>
        <w:ind w:left="240" w:hanging="232"/>
        <w:spacing w:after="0" w:line="262" w:lineRule="auto"/>
        <w:tabs>
          <w:tab w:leader="none" w:pos="20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6" w:lineRule="exact"/>
        <w:rPr>
          <w:rFonts w:ascii="Arial" w:cs="Arial" w:eastAsia="Arial" w:hAnsi="Arial"/>
          <w:sz w:val="18"/>
          <w:szCs w:val="18"/>
          <w:color w:val="auto"/>
        </w:rPr>
      </w:pPr>
    </w:p>
    <w:p>
      <w:pPr>
        <w:ind w:left="660" w:hanging="238"/>
        <w:spacing w:after="0" w:line="262" w:lineRule="auto"/>
        <w:tabs>
          <w:tab w:leader="none" w:pos="65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6" w:lineRule="exact"/>
        <w:rPr>
          <w:rFonts w:ascii="Arial" w:cs="Arial" w:eastAsia="Arial" w:hAnsi="Arial"/>
          <w:sz w:val="18"/>
          <w:szCs w:val="18"/>
          <w:color w:val="auto"/>
        </w:rPr>
      </w:pPr>
    </w:p>
    <w:p>
      <w:pPr>
        <w:ind w:left="660" w:hanging="238"/>
        <w:spacing w:after="0" w:line="262" w:lineRule="auto"/>
        <w:tabs>
          <w:tab w:leader="none" w:pos="636"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2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66"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65" w:lineRule="exact"/>
        <w:rPr>
          <w:rFonts w:ascii="Arial" w:cs="Arial" w:eastAsia="Arial" w:hAnsi="Arial"/>
          <w:sz w:val="18"/>
          <w:szCs w:val="18"/>
          <w:color w:val="auto"/>
        </w:rPr>
      </w:pPr>
    </w:p>
    <w:p>
      <w:pPr>
        <w:jc w:val="both"/>
        <w:ind w:left="240" w:hanging="232"/>
        <w:spacing w:after="0" w:line="256" w:lineRule="auto"/>
        <w:tabs>
          <w:tab w:leader="none" w:pos="233"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42" w:lineRule="exact"/>
        <w:rPr>
          <w:rFonts w:ascii="Arial" w:cs="Arial" w:eastAsia="Arial" w:hAnsi="Arial"/>
          <w:sz w:val="18"/>
          <w:szCs w:val="18"/>
          <w:color w:val="auto"/>
        </w:rPr>
      </w:pPr>
    </w:p>
    <w:p>
      <w:pPr>
        <w:jc w:val="both"/>
        <w:ind w:left="240" w:hanging="232"/>
        <w:spacing w:after="0" w:line="256" w:lineRule="auto"/>
        <w:tabs>
          <w:tab w:leader="none" w:pos="233"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42" w:lineRule="exact"/>
        <w:rPr>
          <w:rFonts w:ascii="Arial" w:cs="Arial" w:eastAsia="Arial" w:hAnsi="Arial"/>
          <w:sz w:val="18"/>
          <w:szCs w:val="18"/>
          <w:color w:val="auto"/>
        </w:rPr>
      </w:pPr>
    </w:p>
    <w:p>
      <w:pPr>
        <w:jc w:val="both"/>
        <w:ind w:left="240" w:hanging="232"/>
        <w:spacing w:after="0" w:line="256" w:lineRule="auto"/>
        <w:tabs>
          <w:tab w:leader="none" w:pos="20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2" w:lineRule="exact"/>
        <w:rPr>
          <w:rFonts w:ascii="Arial" w:cs="Arial" w:eastAsia="Arial" w:hAnsi="Arial"/>
          <w:sz w:val="18"/>
          <w:szCs w:val="18"/>
          <w:color w:val="auto"/>
        </w:rPr>
      </w:pPr>
    </w:p>
    <w:p>
      <w:pPr>
        <w:jc w:val="both"/>
        <w:ind w:left="660" w:hanging="238"/>
        <w:spacing w:after="0" w:line="256" w:lineRule="auto"/>
        <w:tabs>
          <w:tab w:leader="none" w:pos="663"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42" w:lineRule="exact"/>
        <w:rPr>
          <w:rFonts w:ascii="Arial" w:cs="Arial" w:eastAsia="Arial" w:hAnsi="Arial"/>
          <w:sz w:val="18"/>
          <w:szCs w:val="18"/>
          <w:color w:val="auto"/>
        </w:rPr>
      </w:pPr>
    </w:p>
    <w:p>
      <w:pPr>
        <w:jc w:val="both"/>
        <w:ind w:left="660" w:hanging="238"/>
        <w:spacing w:after="0" w:line="256" w:lineRule="auto"/>
        <w:tabs>
          <w:tab w:leader="none" w:pos="65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2" w:lineRule="exact"/>
        <w:rPr>
          <w:rFonts w:ascii="Arial" w:cs="Arial" w:eastAsia="Arial" w:hAnsi="Arial"/>
          <w:sz w:val="18"/>
          <w:szCs w:val="18"/>
          <w:color w:val="auto"/>
        </w:rPr>
      </w:pPr>
    </w:p>
    <w:p>
      <w:pPr>
        <w:jc w:val="both"/>
        <w:ind w:left="660" w:hanging="238"/>
        <w:spacing w:after="0" w:line="256" w:lineRule="auto"/>
        <w:tabs>
          <w:tab w:leader="none" w:pos="629"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42" w:lineRule="exact"/>
        <w:rPr>
          <w:rFonts w:ascii="Arial" w:cs="Arial" w:eastAsia="Arial" w:hAnsi="Arial"/>
          <w:sz w:val="18"/>
          <w:szCs w:val="18"/>
          <w:color w:val="auto"/>
        </w:rPr>
      </w:pPr>
    </w:p>
    <w:p>
      <w:pPr>
        <w:jc w:val="both"/>
        <w:ind w:left="660" w:hanging="238"/>
        <w:spacing w:after="0" w:line="256" w:lineRule="auto"/>
        <w:tabs>
          <w:tab w:leader="none" w:pos="677"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2" w:lineRule="exact"/>
        <w:rPr>
          <w:rFonts w:ascii="Arial" w:cs="Arial" w:eastAsia="Arial" w:hAnsi="Arial"/>
          <w:sz w:val="18"/>
          <w:szCs w:val="18"/>
          <w:color w:val="auto"/>
        </w:rPr>
      </w:pPr>
    </w:p>
    <w:p>
      <w:pPr>
        <w:ind w:left="240" w:hanging="232"/>
        <w:spacing w:after="0" w:line="262" w:lineRule="auto"/>
        <w:tabs>
          <w:tab w:leader="none" w:pos="20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6" w:lineRule="exact"/>
        <w:rPr>
          <w:rFonts w:ascii="Arial" w:cs="Arial" w:eastAsia="Arial" w:hAnsi="Arial"/>
          <w:sz w:val="18"/>
          <w:szCs w:val="18"/>
          <w:color w:val="auto"/>
        </w:rPr>
      </w:pPr>
    </w:p>
    <w:p>
      <w:pPr>
        <w:ind w:left="660" w:hanging="238"/>
        <w:spacing w:after="0" w:line="262" w:lineRule="auto"/>
        <w:tabs>
          <w:tab w:leader="none" w:pos="65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6" w:lineRule="exact"/>
        <w:rPr>
          <w:rFonts w:ascii="Arial" w:cs="Arial" w:eastAsia="Arial" w:hAnsi="Arial"/>
          <w:sz w:val="18"/>
          <w:szCs w:val="18"/>
          <w:color w:val="auto"/>
        </w:rPr>
      </w:pPr>
    </w:p>
    <w:p>
      <w:pPr>
        <w:ind w:left="660" w:hanging="238"/>
        <w:spacing w:after="0" w:line="262" w:lineRule="auto"/>
        <w:tabs>
          <w:tab w:leader="none" w:pos="636"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420"/>
          </w:cols>
          <w:pgMar w:left="240" w:top="92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237" w:lineRule="exact"/>
        <w:rPr>
          <w:sz w:val="20"/>
          <w:szCs w:val="20"/>
          <w:color w:val="auto"/>
        </w:rPr>
      </w:pPr>
    </w:p>
    <w:p>
      <w:pPr>
        <w:ind w:left="240" w:hanging="232"/>
        <w:spacing w:after="0" w:line="262" w:lineRule="auto"/>
        <w:tabs>
          <w:tab w:leader="none" w:pos="27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30, 2018, which this statement accompanies, fully complies with the requirements of Section 13(a) or 15(d) of the Securities Exchange Act of 1934; and</w:t>
      </w:r>
    </w:p>
    <w:p>
      <w:pPr>
        <w:spacing w:after="0" w:line="236" w:lineRule="exact"/>
        <w:rPr>
          <w:rFonts w:ascii="Arial" w:cs="Arial" w:eastAsia="Arial" w:hAnsi="Arial"/>
          <w:sz w:val="18"/>
          <w:szCs w:val="18"/>
          <w:color w:val="auto"/>
        </w:rPr>
      </w:pPr>
    </w:p>
    <w:p>
      <w:pPr>
        <w:ind w:left="240" w:hanging="232"/>
        <w:spacing w:after="0" w:line="262" w:lineRule="auto"/>
        <w:tabs>
          <w:tab w:leader="none" w:pos="28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June 30, 2018,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2018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ü"/>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32"/>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2019-12-28T20:15:14Z</dcterms:created>
  <dcterms:modified xsi:type="dcterms:W3CDTF">2019-12-28T20:15:14Z</dcterms:modified>
</cp:coreProperties>
</file>