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For the quarterly period ended June 30, 2024 or</w:t>
      </w:r>
    </w:p>
    <w:p>
      <w:pPr>
        <w:spacing w:after="0" w:line="289" w:lineRule="exact"/>
        <w:rPr>
          <w:sz w:val="24"/>
          <w:szCs w:val="24"/>
          <w:color w:val="auto"/>
        </w:rPr>
      </w:pPr>
    </w:p>
    <w:p>
      <w:pPr>
        <w:ind w:left="720" w:hanging="694"/>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420" w:type="dxa"/>
            <w:vAlign w:val="bottom"/>
          </w:tcPr>
          <w:p>
            <w:pPr>
              <w:ind w:left="340"/>
              <w:spacing w:after="0"/>
              <w:rPr>
                <w:sz w:val="20"/>
                <w:szCs w:val="20"/>
                <w:color w:val="auto"/>
              </w:rPr>
            </w:pPr>
            <w:r>
              <w:rPr>
                <w:rFonts w:ascii="Arial" w:cs="Arial" w:eastAsia="Arial" w:hAnsi="Arial"/>
                <w:sz w:val="16"/>
                <w:szCs w:val="16"/>
                <w:color w:val="auto"/>
              </w:rPr>
              <w:t>For the transition period from</w:t>
            </w:r>
          </w:p>
        </w:tc>
        <w:tc>
          <w:tcPr>
            <w:tcW w:w="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to</w:t>
            </w:r>
          </w:p>
        </w:tc>
        <w:tc>
          <w:tcPr>
            <w:tcW w:w="5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4280" w:type="dxa"/>
            <w:vAlign w:val="bottom"/>
            <w:gridSpan w:val="6"/>
          </w:tcPr>
          <w:p>
            <w:pPr>
              <w:ind w:left="340"/>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6980" w:type="dxa"/>
            <w:vAlign w:val="bottom"/>
            <w:gridSpan w:val="2"/>
            <w:vMerge w:val="restart"/>
          </w:tcPr>
          <w:p>
            <w:pPr>
              <w:jc w:val="center"/>
              <w:ind w:right="4223"/>
              <w:spacing w:after="0"/>
              <w:rPr>
                <w:sz w:val="20"/>
                <w:szCs w:val="20"/>
                <w:color w:val="auto"/>
              </w:rPr>
            </w:pPr>
            <w:r>
              <w:rPr>
                <w:rFonts w:ascii="Arial" w:cs="Arial" w:eastAsia="Arial" w:hAnsi="Arial"/>
                <w:sz w:val="22"/>
                <w:szCs w:val="22"/>
                <w:b w:val="1"/>
                <w:bCs w:val="1"/>
                <w:color w:val="auto"/>
                <w:w w:val="97"/>
              </w:rPr>
              <w:t>GENTEX CORPORATION</w:t>
            </w: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540" w:type="dxa"/>
            <w:vAlign w:val="bottom"/>
            <w:gridSpan w:val="3"/>
          </w:tcPr>
          <w:p>
            <w:pPr>
              <w:jc w:val="center"/>
              <w:ind w:right="3663"/>
              <w:spacing w:after="0"/>
              <w:rPr>
                <w:sz w:val="20"/>
                <w:szCs w:val="20"/>
                <w:color w:val="auto"/>
              </w:rPr>
            </w:pPr>
            <w:r>
              <w:rPr>
                <w:rFonts w:ascii="Arial" w:cs="Arial" w:eastAsia="Arial" w:hAnsi="Arial"/>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55"/>
        </w:trPr>
        <w:tc>
          <w:tcPr>
            <w:tcW w:w="4280" w:type="dxa"/>
            <w:vAlign w:val="bottom"/>
            <w:gridSpan w:val="6"/>
          </w:tcPr>
          <w:p>
            <w:pPr>
              <w:jc w:val="center"/>
              <w:ind w:left="1224"/>
              <w:spacing w:after="0"/>
              <w:rPr>
                <w:sz w:val="20"/>
                <w:szCs w:val="20"/>
                <w:color w:val="auto"/>
              </w:rPr>
            </w:pPr>
            <w:r>
              <w:rPr>
                <w:rFonts w:ascii="Arial" w:cs="Arial" w:eastAsia="Arial" w:hAnsi="Arial"/>
                <w:sz w:val="18"/>
                <w:szCs w:val="18"/>
                <w:b w:val="1"/>
                <w:bCs w:val="1"/>
                <w:color w:val="auto"/>
                <w:w w:val="99"/>
              </w:rPr>
              <w:t>Michigan</w:t>
            </w:r>
          </w:p>
        </w:tc>
        <w:tc>
          <w:tcPr>
            <w:tcW w:w="2200" w:type="dxa"/>
            <w:vAlign w:val="bottom"/>
          </w:tcPr>
          <w:p>
            <w:pPr>
              <w:spacing w:after="0"/>
              <w:rPr>
                <w:sz w:val="22"/>
                <w:szCs w:val="22"/>
                <w:color w:val="auto"/>
              </w:rPr>
            </w:pPr>
          </w:p>
        </w:tc>
        <w:tc>
          <w:tcPr>
            <w:tcW w:w="4780" w:type="dxa"/>
            <w:vAlign w:val="bottom"/>
          </w:tcPr>
          <w:p>
            <w:pPr>
              <w:jc w:val="right"/>
              <w:ind w:right="2263"/>
              <w:spacing w:after="0"/>
              <w:rPr>
                <w:sz w:val="20"/>
                <w:szCs w:val="20"/>
                <w:color w:val="auto"/>
              </w:rPr>
            </w:pPr>
            <w:r>
              <w:rPr>
                <w:rFonts w:ascii="Arial" w:cs="Arial" w:eastAsia="Arial" w:hAnsi="Arial"/>
                <w:sz w:val="18"/>
                <w:szCs w:val="18"/>
                <w:b w:val="1"/>
                <w:bCs w:val="1"/>
                <w:color w:val="auto"/>
              </w:rPr>
              <w:t>38-2030505</w:t>
            </w:r>
          </w:p>
        </w:tc>
        <w:tc>
          <w:tcPr>
            <w:tcW w:w="0" w:type="dxa"/>
            <w:vAlign w:val="bottom"/>
          </w:tcPr>
          <w:p>
            <w:pPr>
              <w:spacing w:after="0"/>
              <w:rPr>
                <w:sz w:val="1"/>
                <w:szCs w:val="1"/>
                <w:color w:val="auto"/>
              </w:rPr>
            </w:pPr>
          </w:p>
        </w:tc>
      </w:tr>
      <w:tr>
        <w:trPr>
          <w:trHeight w:val="148"/>
        </w:trPr>
        <w:tc>
          <w:tcPr>
            <w:tcW w:w="4280" w:type="dxa"/>
            <w:vAlign w:val="bottom"/>
            <w:gridSpan w:val="6"/>
          </w:tcPr>
          <w:p>
            <w:pPr>
              <w:jc w:val="center"/>
              <w:ind w:left="1244"/>
              <w:spacing w:after="0" w:line="149" w:lineRule="exact"/>
              <w:rPr>
                <w:sz w:val="20"/>
                <w:szCs w:val="20"/>
                <w:color w:val="auto"/>
              </w:rPr>
            </w:pPr>
            <w:r>
              <w:rPr>
                <w:rFonts w:ascii="Arial" w:cs="Arial" w:eastAsia="Arial" w:hAnsi="Arial"/>
                <w:sz w:val="14"/>
                <w:szCs w:val="14"/>
                <w:color w:val="auto"/>
              </w:rPr>
              <w:t>(State or other jurisdiction of</w:t>
            </w:r>
          </w:p>
        </w:tc>
        <w:tc>
          <w:tcPr>
            <w:tcW w:w="2200" w:type="dxa"/>
            <w:vAlign w:val="bottom"/>
          </w:tcPr>
          <w:p>
            <w:pPr>
              <w:spacing w:after="0"/>
              <w:rPr>
                <w:sz w:val="12"/>
                <w:szCs w:val="12"/>
                <w:color w:val="auto"/>
              </w:rPr>
            </w:pPr>
          </w:p>
        </w:tc>
        <w:tc>
          <w:tcPr>
            <w:tcW w:w="4780" w:type="dxa"/>
            <w:vAlign w:val="bottom"/>
          </w:tcPr>
          <w:p>
            <w:pPr>
              <w:jc w:val="center"/>
              <w:ind w:right="783"/>
              <w:spacing w:after="0" w:line="149"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44"/>
              <w:spacing w:after="0"/>
              <w:rPr>
                <w:sz w:val="20"/>
                <w:szCs w:val="20"/>
                <w:color w:val="auto"/>
              </w:rPr>
            </w:pPr>
            <w:r>
              <w:rPr>
                <w:rFonts w:ascii="Arial" w:cs="Arial" w:eastAsia="Arial" w:hAnsi="Arial"/>
                <w:sz w:val="14"/>
                <w:szCs w:val="14"/>
                <w:color w:val="auto"/>
              </w:rPr>
              <w:t>incorporation or organization)</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64"/>
        </w:trPr>
        <w:tc>
          <w:tcPr>
            <w:tcW w:w="4280" w:type="dxa"/>
            <w:vAlign w:val="bottom"/>
            <w:gridSpan w:val="6"/>
          </w:tcPr>
          <w:p>
            <w:pPr>
              <w:jc w:val="center"/>
              <w:ind w:left="1244"/>
              <w:spacing w:after="0"/>
              <w:rPr>
                <w:sz w:val="20"/>
                <w:szCs w:val="20"/>
                <w:color w:val="auto"/>
              </w:rPr>
            </w:pPr>
            <w:r>
              <w:rPr>
                <w:rFonts w:ascii="Arial" w:cs="Arial" w:eastAsia="Arial" w:hAnsi="Arial"/>
                <w:sz w:val="16"/>
                <w:szCs w:val="16"/>
                <w:b w:val="1"/>
                <w:bCs w:val="1"/>
                <w:color w:val="auto"/>
              </w:rPr>
              <w:t>600 N. Centennial</w:t>
            </w:r>
          </w:p>
        </w:tc>
        <w:tc>
          <w:tcPr>
            <w:tcW w:w="220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4"/>
          </w:tcPr>
          <w:p>
            <w:pPr>
              <w:jc w:val="center"/>
              <w:ind w:right="1088"/>
              <w:spacing w:after="0"/>
              <w:rPr>
                <w:sz w:val="20"/>
                <w:szCs w:val="20"/>
                <w:color w:val="auto"/>
              </w:rPr>
            </w:pPr>
            <w:r>
              <w:rPr>
                <w:rFonts w:ascii="Arial" w:cs="Arial" w:eastAsia="Arial" w:hAnsi="Arial"/>
                <w:sz w:val="16"/>
                <w:szCs w:val="16"/>
                <w:b w:val="1"/>
                <w:bCs w:val="1"/>
                <w:color w:val="auto"/>
              </w:rPr>
              <w:t>Zeeland</w:t>
            </w:r>
          </w:p>
        </w:tc>
        <w:tc>
          <w:tcPr>
            <w:tcW w:w="2200" w:type="dxa"/>
            <w:vAlign w:val="bottom"/>
          </w:tcPr>
          <w:p>
            <w:pPr>
              <w:spacing w:after="0"/>
              <w:rPr>
                <w:sz w:val="18"/>
                <w:szCs w:val="18"/>
                <w:color w:val="auto"/>
              </w:rPr>
            </w:pPr>
          </w:p>
        </w:tc>
        <w:tc>
          <w:tcPr>
            <w:tcW w:w="4780" w:type="dxa"/>
            <w:vAlign w:val="bottom"/>
            <w:vMerge w:val="restart"/>
          </w:tcPr>
          <w:p>
            <w:pPr>
              <w:jc w:val="right"/>
              <w:ind w:right="2503"/>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860" w:type="dxa"/>
            <w:vAlign w:val="bottom"/>
            <w:gridSpan w:val="5"/>
          </w:tcPr>
          <w:p>
            <w:pPr>
              <w:jc w:val="center"/>
              <w:ind w:right="1048"/>
              <w:spacing w:after="0"/>
              <w:rPr>
                <w:sz w:val="20"/>
                <w:szCs w:val="20"/>
                <w:color w:val="auto"/>
              </w:rPr>
            </w:pPr>
            <w:r>
              <w:rPr>
                <w:rFonts w:ascii="Arial" w:cs="Arial" w:eastAsia="Arial" w:hAnsi="Arial"/>
                <w:sz w:val="16"/>
                <w:szCs w:val="16"/>
                <w:b w:val="1"/>
                <w:bCs w:val="1"/>
                <w:color w:val="auto"/>
              </w:rPr>
              <w:t>Michigan</w:t>
            </w:r>
          </w:p>
        </w:tc>
        <w:tc>
          <w:tcPr>
            <w:tcW w:w="2200" w:type="dxa"/>
            <w:vAlign w:val="bottom"/>
          </w:tcPr>
          <w:p>
            <w:pPr>
              <w:spacing w:after="0"/>
              <w:rPr>
                <w:sz w:val="20"/>
                <w:szCs w:val="20"/>
                <w:color w:val="auto"/>
              </w:rPr>
            </w:pP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24"/>
              <w:spacing w:after="0"/>
              <w:rPr>
                <w:sz w:val="20"/>
                <w:szCs w:val="20"/>
                <w:color w:val="auto"/>
              </w:rPr>
            </w:pPr>
            <w:r>
              <w:rPr>
                <w:rFonts w:ascii="Arial" w:cs="Arial" w:eastAsia="Arial" w:hAnsi="Arial"/>
                <w:sz w:val="14"/>
                <w:szCs w:val="14"/>
                <w:color w:val="auto"/>
              </w:rPr>
              <w:t>(Address of principal executive offices)</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09"/>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tcPr>
          <w:p>
            <w:pPr>
              <w:jc w:val="right"/>
              <w:ind w:right="155"/>
              <w:spacing w:after="0"/>
              <w:rPr>
                <w:sz w:val="20"/>
                <w:szCs w:val="20"/>
                <w:color w:val="auto"/>
              </w:rPr>
            </w:pPr>
            <w:r>
              <w:rPr>
                <w:rFonts w:ascii="Arial" w:cs="Arial" w:eastAsia="Arial" w:hAnsi="Arial"/>
                <w:sz w:val="18"/>
                <w:szCs w:val="18"/>
                <w:b w:val="1"/>
                <w:bCs w:val="1"/>
                <w:color w:val="auto"/>
              </w:rPr>
              <w:t>(616) 772-1800</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40" w:type="dxa"/>
            <w:vAlign w:val="bottom"/>
            <w:gridSpan w:val="3"/>
          </w:tcPr>
          <w:p>
            <w:pPr>
              <w:jc w:val="center"/>
              <w:ind w:right="3643"/>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8840" w:type="dxa"/>
            <w:vAlign w:val="bottom"/>
            <w:gridSpan w:val="7"/>
          </w:tcPr>
          <w:p>
            <w:pPr>
              <w:jc w:val="right"/>
              <w:ind w:right="3883"/>
              <w:spacing w:after="0"/>
              <w:rPr>
                <w:sz w:val="20"/>
                <w:szCs w:val="20"/>
                <w:color w:val="auto"/>
              </w:rPr>
            </w:pPr>
            <w:r>
              <w:rPr>
                <w:rFonts w:ascii="Arial" w:cs="Arial" w:eastAsia="Arial" w:hAnsi="Arial"/>
                <w:sz w:val="11"/>
                <w:szCs w:val="11"/>
                <w:color w:val="auto"/>
              </w:rPr>
              <w:t>________________________________________________________</w:t>
            </w:r>
          </w:p>
        </w:tc>
        <w:tc>
          <w:tcPr>
            <w:tcW w:w="0" w:type="dxa"/>
            <w:vAlign w:val="bottom"/>
          </w:tcPr>
          <w:p>
            <w:pPr>
              <w:spacing w:after="0"/>
              <w:rPr>
                <w:sz w:val="1"/>
                <w:szCs w:val="1"/>
                <w:color w:val="auto"/>
              </w:rPr>
            </w:pPr>
          </w:p>
        </w:tc>
      </w:tr>
      <w:tr>
        <w:trPr>
          <w:trHeight w:val="417"/>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60" w:type="dxa"/>
            <w:vAlign w:val="bottom"/>
            <w:gridSpan w:val="5"/>
          </w:tcPr>
          <w:p>
            <w:pPr>
              <w:jc w:val="center"/>
              <w:ind w:right="2923"/>
              <w:spacing w:after="0"/>
              <w:rPr>
                <w:sz w:val="20"/>
                <w:szCs w:val="20"/>
                <w:color w:val="auto"/>
              </w:rPr>
            </w:pPr>
            <w:r>
              <w:rPr>
                <w:rFonts w:ascii="Arial" w:cs="Arial" w:eastAsia="Arial" w:hAnsi="Arial"/>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580"/>
        </w:trPr>
        <w:tc>
          <w:tcPr>
            <w:tcW w:w="4280" w:type="dxa"/>
            <w:vAlign w:val="bottom"/>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2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Trading Symbol(s)</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96"/>
        </w:trPr>
        <w:tc>
          <w:tcPr>
            <w:tcW w:w="4280" w:type="dxa"/>
            <w:vAlign w:val="bottom"/>
            <w:tcBorders>
              <w:left w:val="single" w:sz="8" w:color="auto"/>
              <w:bottom w:val="single" w:sz="8" w:color="auto"/>
              <w:right w:val="single" w:sz="8" w:color="auto"/>
            </w:tcBorders>
            <w:gridSpan w:val="6"/>
          </w:tcPr>
          <w:p>
            <w:pPr>
              <w:ind w:left="40"/>
              <w:spacing w:after="0"/>
              <w:rPr>
                <w:sz w:val="20"/>
                <w:szCs w:val="20"/>
                <w:color w:val="auto"/>
              </w:rPr>
            </w:pPr>
            <w:r>
              <w:rPr>
                <w:rFonts w:ascii="Arial" w:cs="Arial" w:eastAsia="Arial" w:hAnsi="Arial"/>
                <w:sz w:val="14"/>
                <w:szCs w:val="14"/>
                <w:color w:val="auto"/>
              </w:rPr>
              <w:t>Common Stock, par value $0.06 per share</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GNTX</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bl>
    <w:p>
      <w:pPr>
        <w:spacing w:after="0" w:line="234" w:lineRule="exact"/>
        <w:rPr>
          <w:sz w:val="24"/>
          <w:szCs w:val="24"/>
          <w:color w:val="auto"/>
        </w:rPr>
      </w:pPr>
    </w:p>
    <w:p>
      <w:pPr>
        <w:ind w:right="12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tabs>
          <w:tab w:leader="none" w:pos="6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Wingdings" w:cs="Wingdings" w:eastAsia="Wingdings" w:hAnsi="Wingdings"/>
          <w:sz w:val="14"/>
          <w:szCs w:val="14"/>
          <w:b w:val="1"/>
          <w:bCs w:val="1"/>
          <w:color w:val="auto"/>
        </w:rPr>
        <w:t>o</w:t>
      </w:r>
    </w:p>
    <w:p>
      <w:pPr>
        <w:spacing w:after="0" w:line="166" w:lineRule="exact"/>
        <w:rPr>
          <w:sz w:val="24"/>
          <w:szCs w:val="24"/>
          <w:color w:val="auto"/>
        </w:rPr>
      </w:pPr>
    </w:p>
    <w:p>
      <w:pPr>
        <w:ind w:right="54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114" w:lineRule="exact"/>
        <w:rPr>
          <w:sz w:val="24"/>
          <w:szCs w:val="24"/>
          <w:color w:val="auto"/>
        </w:rPr>
      </w:pPr>
    </w:p>
    <w:p>
      <w:pPr>
        <w:ind w:right="26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0"/>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40" w:type="dxa"/>
            <w:vAlign w:val="bottom"/>
          </w:tcPr>
          <w:p>
            <w:pPr>
              <w:ind w:left="294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7"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67" w:lineRule="exact"/>
        <w:rPr>
          <w:sz w:val="24"/>
          <w:szCs w:val="24"/>
          <w:color w:val="auto"/>
        </w:rPr>
      </w:pPr>
    </w:p>
    <w:p>
      <w:pPr>
        <w:spacing w:after="0" w:line="161" w:lineRule="exact"/>
        <w:tabs>
          <w:tab w:leader="none" w:pos="8040" w:val="left"/>
          <w:tab w:leader="none" w:pos="840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2"/>
          <w:szCs w:val="12"/>
          <w:color w:val="auto"/>
        </w:rPr>
        <w:t>☑</w:t>
      </w:r>
    </w:p>
    <w:p>
      <w:pPr>
        <w:spacing w:after="0" w:line="208"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PRECEDING FIVE YEARS:</w:t>
      </w:r>
    </w:p>
    <w:p>
      <w:pPr>
        <w:spacing w:after="0" w:line="177" w:lineRule="exact"/>
        <w:rPr>
          <w:sz w:val="24"/>
          <w:szCs w:val="24"/>
          <w:color w:val="auto"/>
        </w:rPr>
      </w:pPr>
    </w:p>
    <w:p>
      <w:pPr>
        <w:ind w:right="56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114"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CORPORATE ISSUERS:</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7"/>
                <w:szCs w:val="17"/>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Outstanding, July 26, 2024</w:t>
            </w:r>
          </w:p>
        </w:tc>
      </w:tr>
      <w:tr>
        <w:trPr>
          <w:trHeight w:val="189"/>
        </w:trPr>
        <w:tc>
          <w:tcPr>
            <w:tcW w:w="528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$.06 Par Value</w:t>
            </w:r>
          </w:p>
        </w:tc>
        <w:tc>
          <w:tcPr>
            <w:tcW w:w="5520" w:type="dxa"/>
            <w:vAlign w:val="bottom"/>
          </w:tcPr>
          <w:p>
            <w:pPr>
              <w:jc w:val="right"/>
              <w:ind w:right="2288"/>
              <w:spacing w:after="0"/>
              <w:rPr>
                <w:sz w:val="20"/>
                <w:szCs w:val="20"/>
                <w:color w:val="auto"/>
              </w:rPr>
            </w:pPr>
            <w:r>
              <w:rPr>
                <w:rFonts w:ascii="Arial" w:cs="Arial" w:eastAsia="Arial" w:hAnsi="Arial"/>
                <w:sz w:val="14"/>
                <w:szCs w:val="14"/>
                <w:color w:val="auto"/>
              </w:rPr>
              <w:t>230,217,225</w:t>
            </w:r>
          </w:p>
        </w:tc>
      </w:tr>
    </w:tbl>
    <w:p>
      <w:pPr>
        <w:spacing w:after="0" w:line="200" w:lineRule="exact"/>
        <w:rPr>
          <w:sz w:val="24"/>
          <w:szCs w:val="24"/>
          <w:color w:val="auto"/>
        </w:rPr>
      </w:pPr>
    </w:p>
    <w:p>
      <w:pPr>
        <w:sectPr>
          <w:pgSz w:w="11900" w:h="16838" w:orient="portrait"/>
          <w:cols w:equalWidth="0" w:num="1">
            <w:col w:w="11260"/>
          </w:cols>
          <w:pgMar w:left="320" w:top="607"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GENTEX CORPORATION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Three and Six Months Ended June 30, 2024</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040" w:type="dxa"/>
            <w:vAlign w:val="bottom"/>
            <w:gridSpan w:val="16"/>
          </w:tcPr>
          <w:p>
            <w:pPr>
              <w:spacing w:after="0"/>
              <w:rPr>
                <w:sz w:val="20"/>
                <w:szCs w:val="20"/>
                <w:color w:val="auto"/>
              </w:rPr>
            </w:pPr>
            <w:r>
              <w:rPr>
                <w:rFonts w:ascii="Arial" w:cs="Arial" w:eastAsia="Arial" w:hAnsi="Arial"/>
                <w:sz w:val="22"/>
                <w:szCs w:val="22"/>
                <w:b w:val="1"/>
                <w:bCs w:val="1"/>
                <w:color w:val="auto"/>
              </w:rPr>
              <w:t>Part I - Financial Information</w:t>
            </w:r>
          </w:p>
        </w:tc>
        <w:tc>
          <w:tcPr>
            <w:tcW w:w="1480" w:type="dxa"/>
            <w:vAlign w:val="bottom"/>
            <w:gridSpan w:val="3"/>
          </w:tcPr>
          <w:p>
            <w:pPr>
              <w:ind w:left="960"/>
              <w:spacing w:after="0"/>
              <w:rPr>
                <w:sz w:val="20"/>
                <w:szCs w:val="20"/>
                <w:color w:val="auto"/>
              </w:rPr>
            </w:pPr>
            <w:r>
              <w:rPr>
                <w:rFonts w:ascii="Arial" w:cs="Arial" w:eastAsia="Arial" w:hAnsi="Arial"/>
                <w:sz w:val="22"/>
                <w:szCs w:val="22"/>
                <w:b w:val="1"/>
                <w:bCs w:val="1"/>
                <w:color w:val="auto"/>
                <w:w w:val="94"/>
              </w:rPr>
              <w:t>Page</w:t>
            </w:r>
          </w:p>
        </w:tc>
      </w:tr>
      <w:tr>
        <w:trPr>
          <w:trHeight w:val="194"/>
        </w:trPr>
        <w:tc>
          <w:tcPr>
            <w:tcW w:w="1000" w:type="dxa"/>
            <w:vAlign w:val="bottom"/>
          </w:tcPr>
          <w:p>
            <w:pPr>
              <w:spacing w:after="0" w:line="195" w:lineRule="exact"/>
              <w:rPr>
                <w:sz w:val="20"/>
                <w:szCs w:val="20"/>
                <w:color w:val="auto"/>
              </w:rPr>
            </w:pPr>
            <w:r>
              <w:rPr>
                <w:rFonts w:ascii="Arial" w:cs="Arial" w:eastAsia="Arial" w:hAnsi="Arial"/>
                <w:sz w:val="18"/>
                <w:szCs w:val="18"/>
                <w:color w:val="auto"/>
              </w:rPr>
              <w:t>Item 1.</w:t>
            </w:r>
          </w:p>
        </w:tc>
        <w:tc>
          <w:tcPr>
            <w:tcW w:w="4620" w:type="dxa"/>
            <w:vAlign w:val="bottom"/>
            <w:gridSpan w:val="6"/>
          </w:tcPr>
          <w:p>
            <w:pPr>
              <w:spacing w:after="0" w:line="195" w:lineRule="exact"/>
              <w:rPr>
                <w:sz w:val="20"/>
                <w:szCs w:val="20"/>
                <w:color w:val="auto"/>
              </w:rPr>
            </w:pPr>
            <w:r>
              <w:rPr>
                <w:rFonts w:ascii="Arial" w:cs="Arial" w:eastAsia="Arial" w:hAnsi="Arial"/>
                <w:sz w:val="18"/>
                <w:szCs w:val="18"/>
                <w:color w:val="0000FF"/>
                <w:w w:val="99"/>
              </w:rPr>
              <w:t>Unaudited Condensed Consolidated Financial Statements</w:t>
            </w:r>
          </w:p>
        </w:tc>
        <w:tc>
          <w:tcPr>
            <w:tcW w:w="3420" w:type="dxa"/>
            <w:vAlign w:val="bottom"/>
            <w:gridSpan w:val="9"/>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jc w:val="center"/>
              <w:spacing w:after="0" w:line="195" w:lineRule="exact"/>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0000FF"/>
                <w:w w:val="99"/>
              </w:rPr>
              <w:t>Unaudited Condensed Consolidated Balance Sheets</w:t>
            </w:r>
          </w:p>
        </w:tc>
        <w:tc>
          <w:tcPr>
            <w:tcW w:w="420" w:type="dxa"/>
            <w:vAlign w:val="bottom"/>
          </w:tcPr>
          <w:p>
            <w:pPr>
              <w:spacing w:after="0"/>
              <w:rPr>
                <w:sz w:val="18"/>
                <w:szCs w:val="18"/>
                <w:color w:val="auto"/>
              </w:rPr>
            </w:pPr>
          </w:p>
        </w:tc>
        <w:tc>
          <w:tcPr>
            <w:tcW w:w="3420" w:type="dxa"/>
            <w:vAlign w:val="bottom"/>
            <w:gridSpan w:val="9"/>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Income</w:t>
            </w:r>
          </w:p>
        </w:tc>
        <w:tc>
          <w:tcPr>
            <w:tcW w:w="1260" w:type="dxa"/>
            <w:vAlign w:val="bottom"/>
            <w:gridSpan w:val="2"/>
          </w:tcPr>
          <w:p>
            <w:pPr>
              <w:jc w:val="center"/>
              <w:ind w:left="1068"/>
              <w:spacing w:after="0"/>
              <w:rPr>
                <w:sz w:val="20"/>
                <w:szCs w:val="20"/>
                <w:color w:val="auto"/>
              </w:rPr>
            </w:pPr>
            <w:r>
              <w:rPr>
                <w:rFonts w:ascii="Arial" w:cs="Arial" w:eastAsia="Arial" w:hAnsi="Arial"/>
                <w:sz w:val="18"/>
                <w:szCs w:val="18"/>
                <w:color w:val="0000FF"/>
                <w:w w:val="99"/>
              </w:rPr>
              <w:t>4</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6000" w:type="dxa"/>
            <w:vAlign w:val="bottom"/>
            <w:gridSpan w:val="12"/>
          </w:tcPr>
          <w:p>
            <w:pPr>
              <w:spacing w:after="0"/>
              <w:rPr>
                <w:sz w:val="20"/>
                <w:szCs w:val="20"/>
                <w:color w:val="auto"/>
              </w:rPr>
            </w:pPr>
            <w:r>
              <w:rPr>
                <w:rFonts w:ascii="Arial" w:cs="Arial" w:eastAsia="Arial" w:hAnsi="Arial"/>
                <w:sz w:val="18"/>
                <w:szCs w:val="18"/>
                <w:color w:val="0000FF"/>
                <w:w w:val="99"/>
              </w:rPr>
              <w:t>Unaudited Condensed Consolidated Statements of Comprehensive Income</w:t>
            </w:r>
          </w:p>
        </w:tc>
        <w:tc>
          <w:tcPr>
            <w:tcW w:w="2040" w:type="dxa"/>
            <w:vAlign w:val="bottom"/>
            <w:gridSpan w:val="3"/>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Shareholders' Investment</w:t>
            </w:r>
          </w:p>
        </w:tc>
        <w:tc>
          <w:tcPr>
            <w:tcW w:w="1260" w:type="dxa"/>
            <w:vAlign w:val="bottom"/>
            <w:gridSpan w:val="2"/>
          </w:tcPr>
          <w:p>
            <w:pPr>
              <w:jc w:val="center"/>
              <w:ind w:left="1068"/>
              <w:spacing w:after="0"/>
              <w:rPr>
                <w:sz w:val="20"/>
                <w:szCs w:val="20"/>
                <w:color w:val="auto"/>
              </w:rPr>
            </w:pPr>
            <w:r>
              <w:rPr>
                <w:rFonts w:ascii="Arial" w:cs="Arial" w:eastAsia="Arial" w:hAnsi="Arial"/>
                <w:sz w:val="18"/>
                <w:szCs w:val="18"/>
                <w:color w:val="0000FF"/>
                <w:w w:val="99"/>
              </w:rPr>
              <w:t>6</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040" w:type="dxa"/>
            <w:vAlign w:val="bottom"/>
            <w:gridSpan w:val="10"/>
          </w:tcPr>
          <w:p>
            <w:pPr>
              <w:spacing w:after="0"/>
              <w:rPr>
                <w:sz w:val="20"/>
                <w:szCs w:val="20"/>
                <w:color w:val="auto"/>
              </w:rPr>
            </w:pPr>
            <w:r>
              <w:rPr>
                <w:rFonts w:ascii="Arial" w:cs="Arial" w:eastAsia="Arial" w:hAnsi="Arial"/>
                <w:sz w:val="18"/>
                <w:szCs w:val="18"/>
                <w:color w:val="0000FF"/>
                <w:w w:val="99"/>
              </w:rPr>
              <w:t>Unaudited Condensed Consolidated Statements of Cash Flows</w:t>
            </w:r>
          </w:p>
        </w:tc>
        <w:tc>
          <w:tcPr>
            <w:tcW w:w="1080" w:type="dxa"/>
            <w:vAlign w:val="bottom"/>
            <w:gridSpan w:val="3"/>
          </w:tcPr>
          <w:p>
            <w:pPr>
              <w:spacing w:after="0"/>
              <w:rPr>
                <w:sz w:val="18"/>
                <w:szCs w:val="18"/>
                <w:color w:val="auto"/>
              </w:rPr>
            </w:pPr>
          </w:p>
        </w:tc>
        <w:tc>
          <w:tcPr>
            <w:tcW w:w="192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8</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340" w:type="dxa"/>
            <w:vAlign w:val="bottom"/>
            <w:gridSpan w:val="11"/>
          </w:tcPr>
          <w:p>
            <w:pPr>
              <w:spacing w:after="0"/>
              <w:rPr>
                <w:sz w:val="20"/>
                <w:szCs w:val="20"/>
                <w:color w:val="auto"/>
              </w:rPr>
            </w:pPr>
            <w:r>
              <w:rPr>
                <w:rFonts w:ascii="Arial" w:cs="Arial" w:eastAsia="Arial" w:hAnsi="Arial"/>
                <w:sz w:val="18"/>
                <w:szCs w:val="18"/>
                <w:color w:val="0000FF"/>
                <w:w w:val="99"/>
              </w:rPr>
              <w:t>Notes to Unaudited Condensed Consolidated Financial Statements</w:t>
            </w:r>
          </w:p>
        </w:tc>
        <w:tc>
          <w:tcPr>
            <w:tcW w:w="2700" w:type="dxa"/>
            <w:vAlign w:val="bottom"/>
            <w:gridSpan w:val="4"/>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9</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1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24</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7060" w:type="dxa"/>
            <w:vAlign w:val="bottom"/>
            <w:gridSpan w:val="1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80" w:type="dxa"/>
            <w:vAlign w:val="bottom"/>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34</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8"/>
          </w:tcPr>
          <w:p>
            <w:pPr>
              <w:spacing w:after="0"/>
              <w:rPr>
                <w:sz w:val="20"/>
                <w:szCs w:val="20"/>
                <w:color w:val="auto"/>
              </w:rPr>
            </w:pPr>
            <w:r>
              <w:rPr>
                <w:rFonts w:ascii="Arial" w:cs="Arial" w:eastAsia="Arial" w:hAnsi="Arial"/>
                <w:sz w:val="18"/>
                <w:szCs w:val="18"/>
                <w:color w:val="0000FF"/>
              </w:rPr>
              <w:t>Controls and Procedures</w:t>
            </w:r>
          </w:p>
        </w:tc>
        <w:tc>
          <w:tcPr>
            <w:tcW w:w="3340" w:type="dxa"/>
            <w:vAlign w:val="bottom"/>
            <w:gridSpan w:val="7"/>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34</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555"/>
        </w:trPr>
        <w:tc>
          <w:tcPr>
            <w:tcW w:w="9040" w:type="dxa"/>
            <w:vAlign w:val="bottom"/>
            <w:gridSpan w:val="16"/>
          </w:tcPr>
          <w:p>
            <w:pPr>
              <w:spacing w:after="0"/>
              <w:rPr>
                <w:sz w:val="20"/>
                <w:szCs w:val="20"/>
                <w:color w:val="auto"/>
              </w:rPr>
            </w:pPr>
            <w:r>
              <w:rPr>
                <w:rFonts w:ascii="Arial" w:cs="Arial" w:eastAsia="Arial" w:hAnsi="Arial"/>
                <w:sz w:val="22"/>
                <w:szCs w:val="22"/>
                <w:b w:val="1"/>
                <w:bCs w:val="1"/>
                <w:color w:val="auto"/>
              </w:rPr>
              <w:t>Part II - Other Information</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4"/>
        </w:trPr>
        <w:tc>
          <w:tcPr>
            <w:tcW w:w="1000" w:type="dxa"/>
            <w:vAlign w:val="bottom"/>
          </w:tcPr>
          <w:p>
            <w:pPr>
              <w:spacing w:after="0" w:line="195" w:lineRule="exact"/>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line="195" w:lineRule="exact"/>
              <w:rPr>
                <w:sz w:val="20"/>
                <w:szCs w:val="20"/>
                <w:color w:val="auto"/>
              </w:rPr>
            </w:pPr>
            <w:r>
              <w:rPr>
                <w:rFonts w:ascii="Arial" w:cs="Arial" w:eastAsia="Arial" w:hAnsi="Arial"/>
                <w:sz w:val="18"/>
                <w:szCs w:val="18"/>
                <w:color w:val="0000FF"/>
                <w:w w:val="95"/>
              </w:rPr>
              <w:t>Risk Factors</w:t>
            </w:r>
          </w:p>
        </w:tc>
        <w:tc>
          <w:tcPr>
            <w:tcW w:w="7040" w:type="dxa"/>
            <w:vAlign w:val="bottom"/>
            <w:gridSpan w:val="12"/>
          </w:tcPr>
          <w:p>
            <w:pPr>
              <w:spacing w:after="0"/>
              <w:rPr>
                <w:sz w:val="16"/>
                <w:szCs w:val="16"/>
                <w:color w:val="auto"/>
              </w:rPr>
            </w:pPr>
          </w:p>
        </w:tc>
        <w:tc>
          <w:tcPr>
            <w:tcW w:w="1480" w:type="dxa"/>
            <w:vAlign w:val="bottom"/>
            <w:gridSpan w:val="3"/>
          </w:tcPr>
          <w:p>
            <w:pPr>
              <w:jc w:val="center"/>
              <w:ind w:left="868"/>
              <w:spacing w:after="0" w:line="195" w:lineRule="exact"/>
              <w:rPr>
                <w:sz w:val="20"/>
                <w:szCs w:val="20"/>
                <w:color w:val="auto"/>
              </w:rPr>
            </w:pPr>
            <w:r>
              <w:rPr>
                <w:rFonts w:ascii="Arial" w:cs="Arial" w:eastAsia="Arial" w:hAnsi="Arial"/>
                <w:sz w:val="18"/>
                <w:szCs w:val="18"/>
                <w:color w:val="0000FF"/>
                <w:w w:val="99"/>
              </w:rPr>
              <w:t>36</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15"/>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36</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tcBorders>
              <w:left w:val="single" w:sz="8" w:color="0000FF"/>
            </w:tcBorders>
            <w:gridSpan w:val="6"/>
            <w:shd w:val="clear" w:color="auto" w:fill="0000FF"/>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4840" w:type="dxa"/>
            <w:vAlign w:val="bottom"/>
            <w:gridSpan w:val="9"/>
          </w:tcPr>
          <w:p>
            <w:pPr>
              <w:spacing w:after="0"/>
              <w:rPr>
                <w:sz w:val="20"/>
                <w:szCs w:val="20"/>
                <w:color w:val="auto"/>
              </w:rPr>
            </w:pPr>
            <w:r>
              <w:rPr>
                <w:rFonts w:ascii="Arial" w:cs="Arial" w:eastAsia="Arial" w:hAnsi="Arial"/>
                <w:sz w:val="18"/>
                <w:szCs w:val="18"/>
                <w:color w:val="0000FF"/>
              </w:rPr>
              <w:t>Exhibits</w:t>
            </w:r>
          </w:p>
        </w:tc>
        <w:tc>
          <w:tcPr>
            <w:tcW w:w="3200" w:type="dxa"/>
            <w:vAlign w:val="bottom"/>
            <w:gridSpan w:val="6"/>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36</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40" w:type="dxa"/>
            <w:vAlign w:val="bottom"/>
            <w:gridSpan w:val="12"/>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302FF"/>
                <w:w w:val="97"/>
              </w:rPr>
              <w:t>Signatures</w:t>
            </w:r>
          </w:p>
        </w:tc>
        <w:tc>
          <w:tcPr>
            <w:tcW w:w="7180" w:type="dxa"/>
            <w:vAlign w:val="bottom"/>
            <w:gridSpan w:val="13"/>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36</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302FF"/>
          </w:tcPr>
          <w:p>
            <w:pPr>
              <w:spacing w:after="0" w:line="20" w:lineRule="exact"/>
              <w:rPr>
                <w:sz w:val="1"/>
                <w:szCs w:val="1"/>
                <w:color w:val="auto"/>
              </w:rPr>
            </w:pPr>
          </w:p>
        </w:tc>
        <w:tc>
          <w:tcPr>
            <w:tcW w:w="240" w:type="dxa"/>
            <w:vAlign w:val="bottom"/>
            <w:shd w:val="clear" w:color="auto" w:fill="0302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Exhibit Index</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38</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931" w:right="339" w:bottom="1440" w:gutter="0" w:footer="0" w:header="0"/>
        </w:sectPr>
      </w:pPr>
    </w:p>
    <w:bookmarkStart w:id="2" w:name="page3"/>
    <w:bookmarkEnd w:id="2"/>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33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As of June 30, 2024 and December 31, 2023</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1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June 30, 2024 (Unaudited)</w:t>
            </w:r>
          </w:p>
        </w:tc>
        <w:tc>
          <w:tcPr>
            <w:tcW w:w="26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89"/>
        </w:trPr>
        <w:tc>
          <w:tcPr>
            <w:tcW w:w="6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60" w:type="dxa"/>
            <w:vAlign w:val="bottom"/>
            <w:shd w:val="clear" w:color="auto" w:fill="CCEEFF"/>
          </w:tcPr>
          <w:p>
            <w:pPr>
              <w:jc w:val="right"/>
              <w:ind w:right="771"/>
              <w:spacing w:after="0"/>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209"/>
        </w:trPr>
        <w:tc>
          <w:tcPr>
            <w:tcW w:w="6800" w:type="dxa"/>
            <w:vAlign w:val="bottom"/>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260,241,951</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226,435,019</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15,534,338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14,356,476</w:t>
            </w:r>
          </w:p>
        </w:tc>
        <w:tc>
          <w:tcPr>
            <w:tcW w:w="0" w:type="dxa"/>
            <w:vAlign w:val="bottom"/>
          </w:tcPr>
          <w:p>
            <w:pPr>
              <w:spacing w:after="0"/>
              <w:rPr>
                <w:sz w:val="1"/>
                <w:szCs w:val="1"/>
                <w:color w:val="auto"/>
              </w:rPr>
            </w:pP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306,565,681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321,809,868</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463,492,305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402,473,028</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38,049,578</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32,663,762</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1,083,883,853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997,738,153</w:t>
            </w:r>
          </w:p>
        </w:tc>
        <w:tc>
          <w:tcPr>
            <w:tcW w:w="0" w:type="dxa"/>
            <w:vAlign w:val="bottom"/>
          </w:tcPr>
          <w:p>
            <w:pPr>
              <w:spacing w:after="0"/>
              <w:rPr>
                <w:sz w:val="1"/>
                <w:szCs w:val="1"/>
                <w:color w:val="auto"/>
              </w:rPr>
            </w:pPr>
          </w:p>
        </w:tc>
      </w:tr>
      <w:tr>
        <w:trPr>
          <w:trHeight w:val="229"/>
        </w:trPr>
        <w:tc>
          <w:tcPr>
            <w:tcW w:w="6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PLANT AND EQUIPMENT—NET</w:t>
            </w: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679,486,957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652,877,672</w:t>
            </w:r>
          </w:p>
        </w:tc>
        <w:tc>
          <w:tcPr>
            <w:tcW w:w="0" w:type="dxa"/>
            <w:vAlign w:val="bottom"/>
          </w:tcPr>
          <w:p>
            <w:pPr>
              <w:spacing w:after="0"/>
              <w:rPr>
                <w:sz w:val="1"/>
                <w:szCs w:val="1"/>
                <w:color w:val="auto"/>
              </w:rPr>
            </w:pPr>
          </w:p>
        </w:tc>
      </w:tr>
      <w:tr>
        <w:trPr>
          <w:trHeight w:val="229"/>
        </w:trPr>
        <w:tc>
          <w:tcPr>
            <w:tcW w:w="6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340,105,631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340,105,631</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investments</w:t>
            </w: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308,051,778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299,080,876</w:t>
            </w:r>
          </w:p>
        </w:tc>
        <w:tc>
          <w:tcPr>
            <w:tcW w:w="0" w:type="dxa"/>
            <w:vAlign w:val="bottom"/>
          </w:tcPr>
          <w:p>
            <w:pPr>
              <w:spacing w:after="0"/>
              <w:rPr>
                <w:sz w:val="1"/>
                <w:szCs w:val="1"/>
                <w:color w:val="auto"/>
              </w:rPr>
            </w:pP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205,790,910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214,005,910</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tax asset</w:t>
            </w: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52,335,039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41,113,759</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Patents and other assets, net</w:t>
            </w: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68,630,894</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66,515,551</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974,914,252</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960,821,727</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2,738,285,062</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2,611,437,552</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LIABILITIES AND SHAREHOLDERS’ INVESTMENT</w:t>
            </w: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206,001,837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184,398,820</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98,726,663</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87,210,156</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304,728,500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271,608,976</w:t>
            </w: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33,257,035</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27,311,507</w:t>
            </w:r>
          </w:p>
        </w:tc>
        <w:tc>
          <w:tcPr>
            <w:tcW w:w="0" w:type="dxa"/>
            <w:vAlign w:val="bottom"/>
          </w:tcPr>
          <w:p>
            <w:pPr>
              <w:spacing w:after="0"/>
              <w:rPr>
                <w:sz w:val="1"/>
                <w:szCs w:val="1"/>
                <w:color w:val="auto"/>
              </w:rPr>
            </w:pPr>
          </w:p>
        </w:tc>
      </w:tr>
      <w:tr>
        <w:trPr>
          <w:trHeight w:val="210"/>
        </w:trPr>
        <w:tc>
          <w:tcPr>
            <w:tcW w:w="6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337,985,535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298,920,483</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INVESTMENT</w:t>
            </w: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13,813,772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13,887,326</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1,000,014,813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968,245,875</w:t>
            </w: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1,394,446,595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1,336,940,990</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(7,975,653)</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(6,557,122)</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shareholders’ investment</w:t>
            </w: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2,400,299,527</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2,312,517,069</w:t>
            </w:r>
          </w:p>
        </w:tc>
        <w:tc>
          <w:tcPr>
            <w:tcW w:w="0" w:type="dxa"/>
            <w:vAlign w:val="bottom"/>
          </w:tcPr>
          <w:p>
            <w:pPr>
              <w:spacing w:after="0"/>
              <w:rPr>
                <w:sz w:val="1"/>
                <w:szCs w:val="1"/>
                <w:color w:val="auto"/>
              </w:rPr>
            </w:pP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investment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2,738,285,062</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2,611,437,552</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80"/>
        <w:spacing w:after="0" w:line="286" w:lineRule="auto"/>
        <w:rPr>
          <w:sz w:val="20"/>
          <w:szCs w:val="20"/>
          <w:color w:val="auto"/>
        </w:rPr>
      </w:pPr>
      <w:r>
        <w:rPr>
          <w:rFonts w:ascii="Arial" w:cs="Arial" w:eastAsia="Arial" w:hAnsi="Arial"/>
          <w:sz w:val="13"/>
          <w:szCs w:val="13"/>
          <w:color w:val="auto"/>
        </w:rPr>
        <w:t>Note: The condensed consolidated balance sheet at December 31, 2023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line="461"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INCOME For the Three and Six Months Ended June 30, 2024 and 2023</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312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4"/>
        </w:trPr>
        <w:tc>
          <w:tcPr>
            <w:tcW w:w="44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572,925,778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583,472,846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1,163,150,989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1,134,234,157</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384,362,469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390,389,807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772,350,073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766,413,887</w:t>
            </w:r>
          </w:p>
        </w:tc>
        <w:tc>
          <w:tcPr>
            <w:tcW w:w="0" w:type="dxa"/>
            <w:vAlign w:val="bottom"/>
          </w:tcPr>
          <w:p>
            <w:pPr>
              <w:spacing w:after="0"/>
              <w:rPr>
                <w:sz w:val="1"/>
                <w:szCs w:val="1"/>
                <w:color w:val="auto"/>
              </w:rPr>
            </w:pPr>
          </w:p>
        </w:tc>
      </w:tr>
      <w:tr>
        <w:trPr>
          <w:trHeight w:val="223"/>
        </w:trPr>
        <w:tc>
          <w:tcPr>
            <w:tcW w:w="4400" w:type="dxa"/>
            <w:vAlign w:val="bottom"/>
          </w:tcPr>
          <w:p>
            <w:pPr>
              <w:ind w:left="46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188,563,309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193,083,039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390,800,916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367,820,270</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Engineering, research and development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44,003,994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37,973,790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86,185,980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72,627,537</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&amp; administrative</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29,675,293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27,819,861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60,384,602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54,652,698</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73,679,287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65,793,651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146,570,582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127,280,235</w:t>
            </w: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114,884,022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127,289,388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244,230,334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240,540,035</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(LOSS) INCOME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Investment (loss) income</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(12,393,771)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2,890,934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(15,762,295)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5,830,128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(loss), net</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(1,159,272)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(1,576,538)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(1,771,277)</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(loss) income</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(13,553,043)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1,314,396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(15,251,428)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4,058,851</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400" w:type="dxa"/>
            <w:vAlign w:val="bottom"/>
          </w:tcPr>
          <w:p>
            <w:pPr>
              <w:ind w:left="20"/>
              <w:spacing w:after="0" w:line="183" w:lineRule="exact"/>
              <w:rPr>
                <w:sz w:val="20"/>
                <w:szCs w:val="20"/>
                <w:color w:val="auto"/>
              </w:rPr>
            </w:pPr>
            <w:r>
              <w:rPr>
                <w:rFonts w:ascii="Arial" w:cs="Arial" w:eastAsia="Arial" w:hAnsi="Arial"/>
                <w:sz w:val="18"/>
                <w:szCs w:val="18"/>
                <w:color w:val="auto"/>
              </w:rPr>
              <w:t>INCOME BEFORE PROVISION FOR INCOME</w:t>
            </w:r>
          </w:p>
        </w:tc>
        <w:tc>
          <w:tcPr>
            <w:tcW w:w="3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101,330,979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128,603,784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228,978,906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244,598,886</w:t>
            </w:r>
          </w:p>
        </w:tc>
        <w:tc>
          <w:tcPr>
            <w:tcW w:w="0" w:type="dxa"/>
            <w:vAlign w:val="bottom"/>
          </w:tcPr>
          <w:p>
            <w:pPr>
              <w:spacing w:after="0"/>
              <w:rPr>
                <w:sz w:val="1"/>
                <w:szCs w:val="1"/>
                <w:color w:val="auto"/>
              </w:rPr>
            </w:pPr>
          </w:p>
        </w:tc>
      </w:tr>
      <w:tr>
        <w:trPr>
          <w:trHeight w:val="235"/>
        </w:trPr>
        <w:tc>
          <w:tcPr>
            <w:tcW w:w="4400" w:type="dxa"/>
            <w:vAlign w:val="bottom"/>
          </w:tcPr>
          <w:p>
            <w:pPr>
              <w:ind w:left="20"/>
              <w:spacing w:after="0"/>
              <w:rPr>
                <w:sz w:val="20"/>
                <w:szCs w:val="20"/>
                <w:color w:val="auto"/>
              </w:rPr>
            </w:pPr>
            <w:r>
              <w:rPr>
                <w:rFonts w:ascii="Arial" w:cs="Arial" w:eastAsia="Arial" w:hAnsi="Arial"/>
                <w:sz w:val="18"/>
                <w:szCs w:val="18"/>
                <w:color w:val="auto"/>
              </w:rPr>
              <w:t>TAXES</w:t>
            </w:r>
          </w:p>
        </w:tc>
        <w:tc>
          <w:tcPr>
            <w:tcW w:w="34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15,290,541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19,448,381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34,707,753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37,865,222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86,040,438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109,155,403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194,271,153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206,733,664</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0.120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0.120</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0.240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0.240</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80" w:hanging="154"/>
        <w:spacing w:after="0"/>
        <w:tabs>
          <w:tab w:leader="none" w:pos="180" w:val="left"/>
        </w:tabs>
        <w:numPr>
          <w:ilvl w:val="0"/>
          <w:numId w:val="3"/>
        </w:numPr>
        <w:rPr>
          <w:rFonts w:ascii="Arial" w:cs="Arial" w:eastAsia="Arial" w:hAnsi="Arial"/>
          <w:sz w:val="9"/>
          <w:szCs w:val="9"/>
          <w:color w:val="auto"/>
        </w:rPr>
      </w:pPr>
      <w:r>
        <w:rPr>
          <w:rFonts w:ascii="Arial" w:cs="Arial" w:eastAsia="Arial" w:hAnsi="Arial"/>
          <w:sz w:val="14"/>
          <w:szCs w:val="14"/>
          <w:color w:val="auto"/>
        </w:rPr>
        <w:t>Earnings Per Share has been adjusted to exclude the portion of net income allocated to participating securities as a result of share-based payment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line="457"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COMPREHENSIVE INCOME For the Three and Six Months Ended June 30, 2024 and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7"/>
                <w:szCs w:val="17"/>
                <w:color w:val="auto"/>
              </w:rPr>
            </w:pPr>
          </w:p>
        </w:tc>
        <w:tc>
          <w:tcPr>
            <w:tcW w:w="268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86,040,438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109,155,403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194,271,153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206,733,664</w:t>
            </w:r>
          </w:p>
        </w:tc>
        <w:tc>
          <w:tcPr>
            <w:tcW w:w="0" w:type="dxa"/>
            <w:vAlign w:val="bottom"/>
          </w:tcPr>
          <w:p>
            <w:pPr>
              <w:spacing w:after="0"/>
              <w:rPr>
                <w:sz w:val="1"/>
                <w:szCs w:val="1"/>
                <w:color w:val="auto"/>
              </w:rPr>
            </w:pPr>
          </w:p>
        </w:tc>
      </w:tr>
      <w:tr>
        <w:trPr>
          <w:trHeight w:val="270"/>
        </w:trPr>
        <w:tc>
          <w:tcPr>
            <w:tcW w:w="5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 tax:</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(509,541)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(1,456,377)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(1,459,754)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(1,577,544)</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gains on debt securities, net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554,565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52,181</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3,136,342</w:t>
            </w:r>
          </w:p>
        </w:tc>
        <w:tc>
          <w:tcPr>
            <w:tcW w:w="0" w:type="dxa"/>
            <w:vAlign w:val="bottom"/>
          </w:tcPr>
          <w:p>
            <w:pPr>
              <w:spacing w:after="0"/>
              <w:rPr>
                <w:sz w:val="1"/>
                <w:szCs w:val="1"/>
                <w:color w:val="auto"/>
              </w:rPr>
            </w:pPr>
          </w:p>
        </w:tc>
      </w:tr>
      <w:tr>
        <w:trPr>
          <w:trHeight w:val="250"/>
        </w:trPr>
        <w:tc>
          <w:tcPr>
            <w:tcW w:w="5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 tax</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(1,407,573)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1,558,798</w:t>
            </w:r>
          </w:p>
        </w:tc>
        <w:tc>
          <w:tcPr>
            <w:tcW w:w="0" w:type="dxa"/>
            <w:vAlign w:val="bottom"/>
          </w:tcPr>
          <w:p>
            <w:pPr>
              <w:spacing w:after="0"/>
              <w:rPr>
                <w:sz w:val="1"/>
                <w:szCs w:val="1"/>
                <w:color w:val="auto"/>
              </w:rPr>
            </w:pPr>
          </w:p>
        </w:tc>
      </w:tr>
      <w:tr>
        <w:trPr>
          <w:trHeight w:val="270"/>
        </w:trPr>
        <w:tc>
          <w:tcPr>
            <w:tcW w:w="5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tax impact related to components of other comprehensive</w:t>
            </w:r>
          </w:p>
        </w:tc>
        <w:tc>
          <w:tcPr>
            <w:tcW w:w="2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116,459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658,632</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(1,018,271)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(1,418,531)</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900,166</w:t>
            </w:r>
          </w:p>
        </w:tc>
        <w:tc>
          <w:tcPr>
            <w:tcW w:w="0" w:type="dxa"/>
            <w:vAlign w:val="bottom"/>
          </w:tcPr>
          <w:p>
            <w:pPr>
              <w:spacing w:after="0"/>
              <w:rPr>
                <w:sz w:val="1"/>
                <w:szCs w:val="1"/>
                <w:color w:val="auto"/>
              </w:rPr>
            </w:pPr>
          </w:p>
        </w:tc>
      </w:tr>
      <w:tr>
        <w:trPr>
          <w:trHeight w:val="250"/>
        </w:trPr>
        <w:tc>
          <w:tcPr>
            <w:tcW w:w="5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85,531,111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108,137,132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192,852,622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207,633,830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 w:name="page6"/>
    <w:bookmarkEnd w:id="5"/>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June 30, 2024 and 2023</w:t>
      </w: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BALANCE AS OF APRIL 1, 2024</w:t>
      </w:r>
    </w:p>
    <w:p>
      <w:pPr>
        <w:spacing w:after="0" w:line="3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right="900"/>
        <w:spacing w:after="0" w:line="356" w:lineRule="auto"/>
        <w:rPr>
          <w:sz w:val="20"/>
          <w:szCs w:val="20"/>
          <w:color w:val="auto"/>
        </w:rPr>
      </w:pPr>
      <w:r>
        <w:rPr>
          <w:rFonts w:ascii="Arial" w:cs="Arial" w:eastAsia="Arial" w:hAnsi="Arial"/>
          <w:sz w:val="16"/>
          <w:szCs w:val="16"/>
          <w:color w:val="auto"/>
        </w:rPr>
        <w:t>Other comprehensive loss BALANCE AS OF JUNE 30, 2024</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20" w:type="dxa"/>
            <w:vAlign w:val="bottom"/>
            <w:vMerge w:val="restart"/>
          </w:tcPr>
          <w:p>
            <w:pPr>
              <w:jc w:val="center"/>
              <w:ind w:right="46"/>
              <w:spacing w:after="0"/>
              <w:rPr>
                <w:sz w:val="20"/>
                <w:szCs w:val="20"/>
                <w:color w:val="auto"/>
              </w:rPr>
            </w:pPr>
            <w:r>
              <w:rPr>
                <w:rFonts w:ascii="Arial" w:cs="Arial" w:eastAsia="Arial" w:hAnsi="Arial"/>
                <w:sz w:val="16"/>
                <w:szCs w:val="16"/>
                <w:b w:val="1"/>
                <w:bCs w:val="1"/>
                <w:color w:val="auto"/>
              </w:rPr>
              <w:t>Common</w:t>
            </w:r>
          </w:p>
        </w:tc>
        <w:tc>
          <w:tcPr>
            <w:tcW w:w="240" w:type="dxa"/>
            <w:vAlign w:val="bottom"/>
          </w:tcPr>
          <w:p>
            <w:pPr>
              <w:spacing w:after="0"/>
              <w:rPr>
                <w:sz w:val="16"/>
                <w:szCs w:val="16"/>
                <w:color w:val="auto"/>
              </w:rPr>
            </w:pPr>
          </w:p>
        </w:tc>
        <w:tc>
          <w:tcPr>
            <w:tcW w:w="1060" w:type="dxa"/>
            <w:vAlign w:val="bottom"/>
            <w:vMerge w:val="restart"/>
          </w:tcPr>
          <w:p>
            <w:pPr>
              <w:jc w:val="center"/>
              <w:ind w:right="206"/>
              <w:spacing w:after="0"/>
              <w:rPr>
                <w:sz w:val="20"/>
                <w:szCs w:val="20"/>
                <w:color w:val="auto"/>
              </w:rPr>
            </w:pPr>
            <w:r>
              <w:rPr>
                <w:rFonts w:ascii="Arial" w:cs="Arial" w:eastAsia="Arial" w:hAnsi="Arial"/>
                <w:sz w:val="16"/>
                <w:szCs w:val="16"/>
                <w:b w:val="1"/>
                <w:bCs w:val="1"/>
                <w:color w:val="auto"/>
              </w:rPr>
              <w:t>Common</w:t>
            </w:r>
          </w:p>
        </w:tc>
        <w:tc>
          <w:tcPr>
            <w:tcW w:w="200" w:type="dxa"/>
            <w:vAlign w:val="bottom"/>
          </w:tcPr>
          <w:p>
            <w:pPr>
              <w:spacing w:after="0"/>
              <w:rPr>
                <w:sz w:val="16"/>
                <w:szCs w:val="16"/>
                <w:color w:val="auto"/>
              </w:rPr>
            </w:pPr>
          </w:p>
        </w:tc>
        <w:tc>
          <w:tcPr>
            <w:tcW w:w="1100" w:type="dxa"/>
            <w:vAlign w:val="bottom"/>
            <w:vMerge w:val="restart"/>
          </w:tcPr>
          <w:p>
            <w:pPr>
              <w:jc w:val="right"/>
              <w:ind w:right="206"/>
              <w:spacing w:after="0"/>
              <w:rPr>
                <w:sz w:val="20"/>
                <w:szCs w:val="20"/>
                <w:color w:val="auto"/>
              </w:rPr>
            </w:pPr>
            <w:r>
              <w:rPr>
                <w:rFonts w:ascii="Arial" w:cs="Arial" w:eastAsia="Arial" w:hAnsi="Arial"/>
                <w:sz w:val="16"/>
                <w:szCs w:val="16"/>
                <w:b w:val="1"/>
                <w:bCs w:val="1"/>
                <w:color w:val="auto"/>
              </w:rPr>
              <w:t>Additional</w:t>
            </w: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46"/>
              <w:spacing w:after="0"/>
              <w:rPr>
                <w:sz w:val="20"/>
                <w:szCs w:val="20"/>
                <w:color w:val="auto"/>
              </w:rPr>
            </w:pPr>
            <w:r>
              <w:rPr>
                <w:rFonts w:ascii="Arial" w:cs="Arial" w:eastAsia="Arial" w:hAnsi="Arial"/>
                <w:sz w:val="16"/>
                <w:szCs w:val="16"/>
                <w:b w:val="1"/>
                <w:bCs w:val="1"/>
                <w:color w:val="auto"/>
              </w:rPr>
              <w:t>Accumulated</w:t>
            </w: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2"/>
        </w:trPr>
        <w:tc>
          <w:tcPr>
            <w:tcW w:w="1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80" w:type="dxa"/>
            <w:vAlign w:val="bottom"/>
            <w:vMerge w:val="restart"/>
          </w:tcPr>
          <w:p>
            <w:pPr>
              <w:jc w:val="right"/>
              <w:ind w:right="246"/>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1320" w:type="dxa"/>
            <w:vAlign w:val="bottom"/>
          </w:tcPr>
          <w:p>
            <w:pPr>
              <w:jc w:val="center"/>
              <w:ind w:right="106"/>
              <w:spacing w:after="0" w:line="162" w:lineRule="exact"/>
              <w:rPr>
                <w:sz w:val="20"/>
                <w:szCs w:val="20"/>
                <w:color w:val="auto"/>
              </w:rPr>
            </w:pPr>
            <w:r>
              <w:rPr>
                <w:rFonts w:ascii="Arial" w:cs="Arial" w:eastAsia="Arial" w:hAnsi="Arial"/>
                <w:sz w:val="16"/>
                <w:szCs w:val="16"/>
                <w:b w:val="1"/>
                <w:bCs w:val="1"/>
                <w:color w:val="auto"/>
                <w:w w:val="98"/>
              </w:rPr>
              <w:t>Other</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Stock</w:t>
            </w:r>
          </w:p>
        </w:tc>
        <w:tc>
          <w:tcPr>
            <w:tcW w:w="240" w:type="dxa"/>
            <w:vAlign w:val="bottom"/>
          </w:tcPr>
          <w:p>
            <w:pPr>
              <w:spacing w:after="0"/>
              <w:rPr>
                <w:sz w:val="14"/>
                <w:szCs w:val="14"/>
                <w:color w:val="auto"/>
              </w:rPr>
            </w:pPr>
          </w:p>
        </w:tc>
        <w:tc>
          <w:tcPr>
            <w:tcW w:w="1060" w:type="dxa"/>
            <w:vAlign w:val="bottom"/>
          </w:tcPr>
          <w:p>
            <w:pPr>
              <w:jc w:val="center"/>
              <w:ind w:right="146"/>
              <w:spacing w:after="0" w:line="162" w:lineRule="exact"/>
              <w:rPr>
                <w:sz w:val="20"/>
                <w:szCs w:val="20"/>
                <w:color w:val="auto"/>
              </w:rPr>
            </w:pPr>
            <w:r>
              <w:rPr>
                <w:rFonts w:ascii="Arial" w:cs="Arial" w:eastAsia="Arial" w:hAnsi="Arial"/>
                <w:sz w:val="16"/>
                <w:szCs w:val="16"/>
                <w:b w:val="1"/>
                <w:bCs w:val="1"/>
                <w:color w:val="auto"/>
              </w:rPr>
              <w:t>Stock</w:t>
            </w:r>
          </w:p>
        </w:tc>
        <w:tc>
          <w:tcPr>
            <w:tcW w:w="200" w:type="dxa"/>
            <w:vAlign w:val="bottom"/>
          </w:tcPr>
          <w:p>
            <w:pPr>
              <w:spacing w:after="0"/>
              <w:rPr>
                <w:sz w:val="14"/>
                <w:szCs w:val="14"/>
                <w:color w:val="auto"/>
              </w:rPr>
            </w:pPr>
          </w:p>
        </w:tc>
        <w:tc>
          <w:tcPr>
            <w:tcW w:w="1100" w:type="dxa"/>
            <w:vAlign w:val="bottom"/>
          </w:tcPr>
          <w:p>
            <w:pPr>
              <w:jc w:val="right"/>
              <w:ind w:right="306"/>
              <w:spacing w:after="0" w:line="162" w:lineRule="exact"/>
              <w:rPr>
                <w:sz w:val="20"/>
                <w:szCs w:val="20"/>
                <w:color w:val="auto"/>
              </w:rPr>
            </w:pPr>
            <w:r>
              <w:rPr>
                <w:rFonts w:ascii="Arial" w:cs="Arial" w:eastAsia="Arial" w:hAnsi="Arial"/>
                <w:sz w:val="16"/>
                <w:szCs w:val="16"/>
                <w:b w:val="1"/>
                <w:bCs w:val="1"/>
                <w:color w:val="auto"/>
              </w:rPr>
              <w:t>Paid-In</w:t>
            </w:r>
          </w:p>
        </w:tc>
        <w:tc>
          <w:tcPr>
            <w:tcW w:w="1280" w:type="dxa"/>
            <w:vAlign w:val="bottom"/>
            <w:vMerge w:val="continue"/>
          </w:tcPr>
          <w:p>
            <w:pPr>
              <w:spacing w:after="0"/>
              <w:rPr>
                <w:sz w:val="14"/>
                <w:szCs w:val="14"/>
                <w:color w:val="auto"/>
              </w:rPr>
            </w:pPr>
          </w:p>
        </w:tc>
        <w:tc>
          <w:tcPr>
            <w:tcW w:w="1520" w:type="dxa"/>
            <w:vAlign w:val="bottom"/>
            <w:gridSpan w:val="2"/>
          </w:tcPr>
          <w:p>
            <w:pPr>
              <w:jc w:val="right"/>
              <w:ind w:right="66"/>
              <w:spacing w:after="0" w:line="162" w:lineRule="exact"/>
              <w:rPr>
                <w:sz w:val="20"/>
                <w:szCs w:val="20"/>
                <w:color w:val="auto"/>
              </w:rPr>
            </w:pPr>
            <w:r>
              <w:rPr>
                <w:rFonts w:ascii="Arial" w:cs="Arial" w:eastAsia="Arial" w:hAnsi="Arial"/>
                <w:sz w:val="16"/>
                <w:szCs w:val="16"/>
                <w:b w:val="1"/>
                <w:bCs w:val="1"/>
                <w:color w:val="auto"/>
              </w:rPr>
              <w:t>Comprehensive</w:t>
            </w:r>
          </w:p>
        </w:tc>
        <w:tc>
          <w:tcPr>
            <w:tcW w:w="1220" w:type="dxa"/>
            <w:vAlign w:val="bottom"/>
          </w:tcPr>
          <w:p>
            <w:pPr>
              <w:jc w:val="center"/>
              <w:ind w:left="26"/>
              <w:spacing w:after="0" w:line="162"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216"/>
        </w:trPr>
        <w:tc>
          <w:tcPr>
            <w:tcW w:w="1220" w:type="dxa"/>
            <w:vAlign w:val="bottom"/>
            <w:tcBorders>
              <w:bottom w:val="single" w:sz="8" w:color="auto"/>
            </w:tcBorders>
          </w:tcPr>
          <w:p>
            <w:pPr>
              <w:jc w:val="center"/>
              <w:ind w:right="6"/>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66"/>
              <w:spacing w:after="0"/>
              <w:rPr>
                <w:sz w:val="20"/>
                <w:szCs w:val="20"/>
                <w:color w:val="auto"/>
              </w:rPr>
            </w:pPr>
            <w:r>
              <w:rPr>
                <w:rFonts w:ascii="Arial" w:cs="Arial" w:eastAsia="Arial" w:hAnsi="Arial"/>
                <w:sz w:val="16"/>
                <w:szCs w:val="16"/>
                <w:b w:val="1"/>
                <w:bCs w:val="1"/>
                <w:color w:val="auto"/>
              </w:rPr>
              <w:t>Amount</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6"/>
              <w:spacing w:after="0"/>
              <w:rPr>
                <w:sz w:val="20"/>
                <w:szCs w:val="20"/>
                <w:color w:val="auto"/>
              </w:rPr>
            </w:pPr>
            <w:r>
              <w:rPr>
                <w:rFonts w:ascii="Arial" w:cs="Arial" w:eastAsia="Arial" w:hAnsi="Arial"/>
                <w:sz w:val="16"/>
                <w:szCs w:val="16"/>
                <w:b w:val="1"/>
                <w:bCs w:val="1"/>
                <w:color w:val="auto"/>
              </w:rPr>
              <w:t>Capital</w:t>
            </w:r>
          </w:p>
        </w:tc>
        <w:tc>
          <w:tcPr>
            <w:tcW w:w="128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6"/>
              <w:spacing w:after="0"/>
              <w:rPr>
                <w:sz w:val="20"/>
                <w:szCs w:val="20"/>
                <w:color w:val="auto"/>
              </w:rPr>
            </w:pPr>
            <w:r>
              <w:rPr>
                <w:rFonts w:ascii="Arial" w:cs="Arial" w:eastAsia="Arial" w:hAnsi="Arial"/>
                <w:sz w:val="16"/>
                <w:szCs w:val="16"/>
                <w:b w:val="1"/>
                <w:bCs w:val="1"/>
                <w:color w:val="auto"/>
              </w:rPr>
              <w:t>Income (Loss)</w:t>
            </w:r>
          </w:p>
        </w:tc>
        <w:tc>
          <w:tcPr>
            <w:tcW w:w="1220" w:type="dxa"/>
            <w:vAlign w:val="bottom"/>
            <w:tcBorders>
              <w:bottom w:val="single" w:sz="8" w:color="auto"/>
            </w:tcBorders>
          </w:tcPr>
          <w:p>
            <w:pPr>
              <w:jc w:val="center"/>
              <w:ind w:left="6"/>
              <w:spacing w:after="0"/>
              <w:rPr>
                <w:sz w:val="20"/>
                <w:szCs w:val="20"/>
                <w:color w:val="auto"/>
              </w:rPr>
            </w:pPr>
            <w:r>
              <w:rPr>
                <w:rFonts w:ascii="Arial" w:cs="Arial" w:eastAsia="Arial" w:hAnsi="Arial"/>
                <w:sz w:val="16"/>
                <w:szCs w:val="16"/>
                <w:b w:val="1"/>
                <w:bCs w:val="1"/>
                <w:color w:val="auto"/>
              </w:rPr>
              <w:t>Investment</w:t>
            </w:r>
          </w:p>
        </w:tc>
        <w:tc>
          <w:tcPr>
            <w:tcW w:w="0" w:type="dxa"/>
            <w:vAlign w:val="bottom"/>
          </w:tcPr>
          <w:p>
            <w:pPr>
              <w:spacing w:after="0"/>
              <w:rPr>
                <w:sz w:val="1"/>
                <w:szCs w:val="1"/>
                <w:color w:val="auto"/>
              </w:rPr>
            </w:pPr>
          </w:p>
        </w:tc>
      </w:tr>
      <w:tr>
        <w:trPr>
          <w:trHeight w:val="188"/>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231,198,885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13,871,933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6"/>
              <w:spacing w:after="0"/>
              <w:rPr>
                <w:sz w:val="20"/>
                <w:szCs w:val="20"/>
                <w:color w:val="auto"/>
              </w:rPr>
            </w:pPr>
            <w:r>
              <w:rPr>
                <w:rFonts w:ascii="Arial" w:cs="Arial" w:eastAsia="Arial" w:hAnsi="Arial"/>
                <w:sz w:val="14"/>
                <w:szCs w:val="14"/>
                <w:color w:val="auto"/>
              </w:rPr>
              <w:t>991,053,652</w:t>
            </w:r>
          </w:p>
        </w:tc>
        <w:tc>
          <w:tcPr>
            <w:tcW w:w="1280" w:type="dxa"/>
            <w:vAlign w:val="bottom"/>
          </w:tcPr>
          <w:p>
            <w:pPr>
              <w:jc w:val="right"/>
              <w:ind w:right="66"/>
              <w:spacing w:after="0"/>
              <w:rPr>
                <w:sz w:val="20"/>
                <w:szCs w:val="20"/>
                <w:color w:val="auto"/>
              </w:rPr>
            </w:pPr>
            <w:r>
              <w:rPr>
                <w:rFonts w:ascii="Arial" w:cs="Arial" w:eastAsia="Arial" w:hAnsi="Arial"/>
                <w:sz w:val="14"/>
                <w:szCs w:val="14"/>
                <w:color w:val="auto"/>
              </w:rPr>
              <w:t>$ 1,378,904,530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6"/>
              <w:spacing w:after="0"/>
              <w:rPr>
                <w:sz w:val="20"/>
                <w:szCs w:val="20"/>
                <w:color w:val="auto"/>
              </w:rPr>
            </w:pPr>
            <w:r>
              <w:rPr>
                <w:rFonts w:ascii="Arial" w:cs="Arial" w:eastAsia="Arial" w:hAnsi="Arial"/>
                <w:sz w:val="14"/>
                <w:szCs w:val="14"/>
                <w:color w:val="auto"/>
              </w:rPr>
              <w:t>(7,466,326)</w:t>
            </w:r>
          </w:p>
        </w:tc>
        <w:tc>
          <w:tcPr>
            <w:tcW w:w="1220" w:type="dxa"/>
            <w:vAlign w:val="bottom"/>
          </w:tcPr>
          <w:p>
            <w:pPr>
              <w:jc w:val="right"/>
              <w:spacing w:after="0"/>
              <w:rPr>
                <w:sz w:val="20"/>
                <w:szCs w:val="20"/>
                <w:color w:val="auto"/>
              </w:rPr>
            </w:pPr>
            <w:r>
              <w:rPr>
                <w:rFonts w:ascii="Arial" w:cs="Arial" w:eastAsia="Arial" w:hAnsi="Arial"/>
                <w:sz w:val="14"/>
                <w:szCs w:val="14"/>
                <w:color w:val="auto"/>
              </w:rPr>
              <w:t>$ 2,376,363,789</w:t>
            </w:r>
          </w:p>
        </w:tc>
        <w:tc>
          <w:tcPr>
            <w:tcW w:w="0" w:type="dxa"/>
            <w:vAlign w:val="bottom"/>
          </w:tcPr>
          <w:p>
            <w:pPr>
              <w:spacing w:after="0"/>
              <w:rPr>
                <w:sz w:val="1"/>
                <w:szCs w:val="1"/>
                <w:color w:val="auto"/>
              </w:rPr>
            </w:pPr>
          </w:p>
        </w:tc>
      </w:tr>
      <w:tr>
        <w:trPr>
          <w:trHeight w:val="378"/>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433,321</w:t>
            </w:r>
          </w:p>
        </w:tc>
        <w:tc>
          <w:tcPr>
            <w:tcW w:w="240" w:type="dxa"/>
            <w:vAlign w:val="bottom"/>
          </w:tcPr>
          <w:p>
            <w:pPr>
              <w:spacing w:after="0"/>
              <w:rPr>
                <w:sz w:val="24"/>
                <w:szCs w:val="24"/>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25,999</w:t>
            </w:r>
          </w:p>
        </w:tc>
        <w:tc>
          <w:tcPr>
            <w:tcW w:w="200" w:type="dxa"/>
            <w:vAlign w:val="bottom"/>
          </w:tcPr>
          <w:p>
            <w:pPr>
              <w:spacing w:after="0"/>
              <w:rPr>
                <w:sz w:val="24"/>
                <w:szCs w:val="24"/>
                <w:color w:val="auto"/>
              </w:rPr>
            </w:pPr>
          </w:p>
        </w:tc>
        <w:tc>
          <w:tcPr>
            <w:tcW w:w="1100" w:type="dxa"/>
            <w:vAlign w:val="bottom"/>
          </w:tcPr>
          <w:p>
            <w:pPr>
              <w:jc w:val="right"/>
              <w:ind w:right="86"/>
              <w:spacing w:after="0"/>
              <w:rPr>
                <w:sz w:val="20"/>
                <w:szCs w:val="20"/>
                <w:color w:val="auto"/>
              </w:rPr>
            </w:pPr>
            <w:r>
              <w:rPr>
                <w:rFonts w:ascii="Arial" w:cs="Arial" w:eastAsia="Arial" w:hAnsi="Arial"/>
                <w:sz w:val="14"/>
                <w:szCs w:val="14"/>
                <w:color w:val="auto"/>
              </w:rPr>
              <w:t>3,382,323</w:t>
            </w:r>
          </w:p>
        </w:tc>
        <w:tc>
          <w:tcPr>
            <w:tcW w:w="128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3,408,322</w:t>
            </w:r>
          </w:p>
        </w:tc>
        <w:tc>
          <w:tcPr>
            <w:tcW w:w="0" w:type="dxa"/>
            <w:vAlign w:val="bottom"/>
          </w:tcPr>
          <w:p>
            <w:pPr>
              <w:spacing w:after="0"/>
              <w:rPr>
                <w:sz w:val="1"/>
                <w:szCs w:val="1"/>
                <w:color w:val="auto"/>
              </w:rPr>
            </w:pPr>
          </w:p>
        </w:tc>
      </w:tr>
      <w:tr>
        <w:trPr>
          <w:trHeight w:val="216"/>
        </w:trPr>
        <w:tc>
          <w:tcPr>
            <w:tcW w:w="1220" w:type="dxa"/>
            <w:vAlign w:val="bottom"/>
          </w:tcPr>
          <w:p>
            <w:pPr>
              <w:jc w:val="right"/>
              <w:ind w:right="26"/>
              <w:spacing w:after="0"/>
              <w:rPr>
                <w:sz w:val="20"/>
                <w:szCs w:val="20"/>
                <w:color w:val="auto"/>
              </w:rPr>
            </w:pPr>
            <w:r>
              <w:rPr>
                <w:rFonts w:ascii="Arial" w:cs="Arial" w:eastAsia="Arial" w:hAnsi="Arial"/>
                <w:sz w:val="14"/>
                <w:szCs w:val="14"/>
                <w:color w:val="auto"/>
              </w:rPr>
              <w:t>(1,402,667)</w:t>
            </w:r>
          </w:p>
        </w:tc>
        <w:tc>
          <w:tcPr>
            <w:tcW w:w="240" w:type="dxa"/>
            <w:vAlign w:val="bottom"/>
          </w:tcPr>
          <w:p>
            <w:pPr>
              <w:spacing w:after="0"/>
              <w:rPr>
                <w:sz w:val="18"/>
                <w:szCs w:val="18"/>
                <w:color w:val="auto"/>
              </w:rPr>
            </w:pPr>
          </w:p>
        </w:tc>
        <w:tc>
          <w:tcPr>
            <w:tcW w:w="1060" w:type="dxa"/>
            <w:vAlign w:val="bottom"/>
          </w:tcPr>
          <w:p>
            <w:pPr>
              <w:jc w:val="right"/>
              <w:ind w:right="26"/>
              <w:spacing w:after="0"/>
              <w:rPr>
                <w:sz w:val="20"/>
                <w:szCs w:val="20"/>
                <w:color w:val="auto"/>
              </w:rPr>
            </w:pPr>
            <w:r>
              <w:rPr>
                <w:rFonts w:ascii="Arial" w:cs="Arial" w:eastAsia="Arial" w:hAnsi="Arial"/>
                <w:sz w:val="14"/>
                <w:szCs w:val="14"/>
                <w:color w:val="auto"/>
              </w:rPr>
              <w:t>(84,160)</w:t>
            </w:r>
          </w:p>
        </w:tc>
        <w:tc>
          <w:tcPr>
            <w:tcW w:w="20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Arial" w:cs="Arial" w:eastAsia="Arial" w:hAnsi="Arial"/>
                <w:sz w:val="14"/>
                <w:szCs w:val="14"/>
                <w:color w:val="auto"/>
              </w:rPr>
              <w:t>(5,344,160)</w:t>
            </w:r>
          </w:p>
        </w:tc>
        <w:tc>
          <w:tcPr>
            <w:tcW w:w="1280" w:type="dxa"/>
            <w:vAlign w:val="bottom"/>
          </w:tcPr>
          <w:p>
            <w:pPr>
              <w:jc w:val="right"/>
              <w:ind w:right="26"/>
              <w:spacing w:after="0"/>
              <w:rPr>
                <w:sz w:val="20"/>
                <w:szCs w:val="20"/>
                <w:color w:val="auto"/>
              </w:rPr>
            </w:pPr>
            <w:r>
              <w:rPr>
                <w:rFonts w:ascii="Arial" w:cs="Arial" w:eastAsia="Arial" w:hAnsi="Arial"/>
                <w:sz w:val="14"/>
                <w:szCs w:val="14"/>
                <w:color w:val="auto"/>
              </w:rPr>
              <w:t>(42,871,254)</w:t>
            </w:r>
          </w:p>
        </w:tc>
        <w:tc>
          <w:tcPr>
            <w:tcW w:w="200" w:type="dxa"/>
            <w:vAlign w:val="bottom"/>
          </w:tcPr>
          <w:p>
            <w:pPr>
              <w:spacing w:after="0"/>
              <w:rPr>
                <w:sz w:val="18"/>
                <w:szCs w:val="18"/>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(48,299,574)</w:t>
            </w:r>
          </w:p>
        </w:tc>
        <w:tc>
          <w:tcPr>
            <w:tcW w:w="0" w:type="dxa"/>
            <w:vAlign w:val="bottom"/>
          </w:tcPr>
          <w:p>
            <w:pPr>
              <w:spacing w:after="0"/>
              <w:rPr>
                <w:sz w:val="1"/>
                <w:szCs w:val="1"/>
                <w:color w:val="auto"/>
              </w:rPr>
            </w:pPr>
          </w:p>
        </w:tc>
      </w:tr>
      <w:tr>
        <w:trPr>
          <w:trHeight w:val="540"/>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ind w:right="86"/>
              <w:spacing w:after="0"/>
              <w:rPr>
                <w:sz w:val="20"/>
                <w:szCs w:val="20"/>
                <w:color w:val="auto"/>
              </w:rPr>
            </w:pPr>
            <w:r>
              <w:rPr>
                <w:rFonts w:ascii="Arial" w:cs="Arial" w:eastAsia="Arial" w:hAnsi="Arial"/>
                <w:sz w:val="14"/>
                <w:szCs w:val="14"/>
                <w:color w:val="auto"/>
              </w:rPr>
              <w:t>10,922,998</w:t>
            </w:r>
          </w:p>
        </w:tc>
        <w:tc>
          <w:tcPr>
            <w:tcW w:w="128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10,922,998</w:t>
            </w:r>
          </w:p>
        </w:tc>
        <w:tc>
          <w:tcPr>
            <w:tcW w:w="0" w:type="dxa"/>
            <w:vAlign w:val="bottom"/>
          </w:tcPr>
          <w:p>
            <w:pPr>
              <w:spacing w:after="0"/>
              <w:rPr>
                <w:sz w:val="1"/>
                <w:szCs w:val="1"/>
                <w:color w:val="auto"/>
              </w:rPr>
            </w:pPr>
          </w:p>
        </w:tc>
      </w:tr>
      <w:tr>
        <w:trPr>
          <w:trHeight w:val="243"/>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6"/>
              <w:spacing w:after="0"/>
              <w:rPr>
                <w:sz w:val="20"/>
                <w:szCs w:val="20"/>
                <w:color w:val="auto"/>
              </w:rPr>
            </w:pPr>
            <w:r>
              <w:rPr>
                <w:rFonts w:ascii="Arial" w:cs="Arial" w:eastAsia="Arial" w:hAnsi="Arial"/>
                <w:sz w:val="14"/>
                <w:szCs w:val="14"/>
                <w:color w:val="auto"/>
              </w:rPr>
              <w:t>(27,627,119)</w:t>
            </w:r>
          </w:p>
        </w:tc>
        <w:tc>
          <w:tcPr>
            <w:tcW w:w="200" w:type="dxa"/>
            <w:vAlign w:val="bottom"/>
          </w:tcPr>
          <w:p>
            <w:pPr>
              <w:spacing w:after="0"/>
              <w:rPr>
                <w:sz w:val="21"/>
                <w:szCs w:val="21"/>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(27,627,119)</w:t>
            </w:r>
          </w:p>
        </w:tc>
        <w:tc>
          <w:tcPr>
            <w:tcW w:w="0" w:type="dxa"/>
            <w:vAlign w:val="bottom"/>
          </w:tcPr>
          <w:p>
            <w:pPr>
              <w:spacing w:after="0"/>
              <w:rPr>
                <w:sz w:val="1"/>
                <w:szCs w:val="1"/>
                <w:color w:val="auto"/>
              </w:rPr>
            </w:pPr>
          </w:p>
        </w:tc>
      </w:tr>
      <w:tr>
        <w:trPr>
          <w:trHeight w:val="216"/>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6"/>
              <w:spacing w:after="0"/>
              <w:rPr>
                <w:sz w:val="20"/>
                <w:szCs w:val="20"/>
                <w:color w:val="auto"/>
              </w:rPr>
            </w:pPr>
            <w:r>
              <w:rPr>
                <w:rFonts w:ascii="Arial" w:cs="Arial" w:eastAsia="Arial" w:hAnsi="Arial"/>
                <w:sz w:val="14"/>
                <w:szCs w:val="14"/>
                <w:color w:val="auto"/>
              </w:rPr>
              <w:t>86,040,438</w:t>
            </w:r>
          </w:p>
        </w:tc>
        <w:tc>
          <w:tcPr>
            <w:tcW w:w="200" w:type="dxa"/>
            <w:vAlign w:val="bottom"/>
          </w:tcPr>
          <w:p>
            <w:pPr>
              <w:spacing w:after="0"/>
              <w:rPr>
                <w:sz w:val="18"/>
                <w:szCs w:val="18"/>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86,040,438</w:t>
            </w:r>
          </w:p>
        </w:tc>
        <w:tc>
          <w:tcPr>
            <w:tcW w:w="0" w:type="dxa"/>
            <w:vAlign w:val="bottom"/>
          </w:tcPr>
          <w:p>
            <w:pPr>
              <w:spacing w:after="0"/>
              <w:rPr>
                <w:sz w:val="1"/>
                <w:szCs w:val="1"/>
                <w:color w:val="auto"/>
              </w:rPr>
            </w:pPr>
          </w:p>
        </w:tc>
      </w:tr>
      <w:tr>
        <w:trPr>
          <w:trHeight w:val="220"/>
        </w:trPr>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(509,327)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(509,327)</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230,229,539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13,813,772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1,000,014,813</w:t>
            </w: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$ 1,394,446,595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(7,975,653)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$ 2,400,299,527</w:t>
            </w:r>
          </w:p>
        </w:tc>
        <w:tc>
          <w:tcPr>
            <w:tcW w:w="0" w:type="dxa"/>
            <w:vAlign w:val="bottom"/>
          </w:tcPr>
          <w:p>
            <w:pPr>
              <w:spacing w:after="0"/>
              <w:rPr>
                <w:sz w:val="1"/>
                <w:szCs w:val="1"/>
                <w:color w:val="auto"/>
              </w:rPr>
            </w:pPr>
          </w:p>
        </w:tc>
      </w:tr>
      <w:tr>
        <w:trPr>
          <w:trHeight w:val="25"/>
        </w:trPr>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-1456690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-1079500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-599440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-307975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-16510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3340" w:space="40"/>
            <w:col w:w="7840"/>
          </w:cols>
          <w:pgMar w:left="340" w:top="1440"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APRIL 1, 2023</w:t>
      </w:r>
    </w:p>
    <w:p>
      <w:pPr>
        <w:spacing w:after="0" w:line="3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right="900"/>
        <w:spacing w:after="0" w:line="321" w:lineRule="auto"/>
        <w:rPr>
          <w:sz w:val="20"/>
          <w:szCs w:val="20"/>
          <w:color w:val="auto"/>
        </w:rPr>
      </w:pPr>
      <w:r>
        <w:rPr>
          <w:rFonts w:ascii="Arial" w:cs="Arial" w:eastAsia="Arial" w:hAnsi="Arial"/>
          <w:sz w:val="16"/>
          <w:szCs w:val="16"/>
          <w:color w:val="auto"/>
        </w:rPr>
        <w:t>Other comprehensive loss BALANCE AS OF JUNE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233,726,045</w:t>
            </w:r>
          </w:p>
        </w:tc>
        <w:tc>
          <w:tcPr>
            <w:tcW w:w="3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14,023,563</w:t>
            </w:r>
          </w:p>
        </w:tc>
        <w:tc>
          <w:tcPr>
            <w:tcW w:w="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928,284,892</w:t>
            </w:r>
          </w:p>
        </w:tc>
        <w:tc>
          <w:tcPr>
            <w:tcW w:w="12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$ 1,193,171,690</w:t>
            </w:r>
          </w:p>
        </w:tc>
        <w:tc>
          <w:tcPr>
            <w:tcW w:w="4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(12,224,497)</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$ 2,123,255,648</w:t>
            </w:r>
          </w:p>
        </w:tc>
      </w:tr>
      <w:tr>
        <w:trPr>
          <w:trHeight w:val="378"/>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624,323</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37,459</w:t>
            </w:r>
          </w:p>
        </w:tc>
        <w:tc>
          <w:tcPr>
            <w:tcW w:w="26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7,889,328</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7,926,787</w:t>
            </w:r>
          </w:p>
        </w:tc>
      </w:tr>
      <w:tr>
        <w:trPr>
          <w:trHeight w:val="216"/>
        </w:trPr>
        <w:tc>
          <w:tcPr>
            <w:tcW w:w="1220" w:type="dxa"/>
            <w:vAlign w:val="bottom"/>
          </w:tcPr>
          <w:p>
            <w:pPr>
              <w:jc w:val="right"/>
              <w:ind w:right="28"/>
              <w:spacing w:after="0"/>
              <w:rPr>
                <w:sz w:val="20"/>
                <w:szCs w:val="20"/>
                <w:color w:val="auto"/>
              </w:rPr>
            </w:pPr>
            <w:r>
              <w:rPr>
                <w:rFonts w:ascii="Arial" w:cs="Arial" w:eastAsia="Arial" w:hAnsi="Arial"/>
                <w:sz w:val="14"/>
                <w:szCs w:val="14"/>
                <w:color w:val="auto"/>
              </w:rPr>
              <w:t>(920,374)</w:t>
            </w:r>
          </w:p>
        </w:tc>
        <w:tc>
          <w:tcPr>
            <w:tcW w:w="3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(55,223)</w:t>
            </w:r>
          </w:p>
        </w:tc>
        <w:tc>
          <w:tcPr>
            <w:tcW w:w="26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(3,258,126)</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(21,790,142)</w:t>
            </w:r>
          </w:p>
        </w:tc>
        <w:tc>
          <w:tcPr>
            <w:tcW w:w="40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(25,103,491)</w:t>
            </w:r>
          </w:p>
        </w:tc>
      </w:tr>
      <w:tr>
        <w:trPr>
          <w:trHeight w:val="540"/>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9,744,670</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9,744,670</w:t>
            </w:r>
          </w:p>
        </w:tc>
      </w:tr>
      <w:tr>
        <w:trPr>
          <w:trHeight w:val="243"/>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(28,011,420)</w:t>
            </w:r>
          </w:p>
        </w:tc>
        <w:tc>
          <w:tcPr>
            <w:tcW w:w="400" w:type="dxa"/>
            <w:vAlign w:val="bottom"/>
          </w:tcPr>
          <w:p>
            <w:pPr>
              <w:spacing w:after="0"/>
              <w:rPr>
                <w:sz w:val="21"/>
                <w:szCs w:val="21"/>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(28,011,420)</w:t>
            </w:r>
          </w:p>
        </w:tc>
      </w:tr>
      <w:tr>
        <w:trPr>
          <w:trHeight w:val="216"/>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109,155,403</w:t>
            </w:r>
          </w:p>
        </w:tc>
        <w:tc>
          <w:tcPr>
            <w:tcW w:w="40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109,155,403</w:t>
            </w:r>
          </w:p>
        </w:tc>
      </w:tr>
      <w:tr>
        <w:trPr>
          <w:trHeight w:val="220"/>
        </w:trPr>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(1,018,271)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(1,018,271)</w:t>
            </w:r>
          </w:p>
        </w:tc>
      </w:tr>
      <w:tr>
        <w:trPr>
          <w:trHeight w:val="196"/>
        </w:trPr>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233,429,994</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14,005,799</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942,660,764</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$ 1,252,525,531</w:t>
            </w: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(13,242,768)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$ 2,195,949,326</w:t>
            </w:r>
          </w:p>
        </w:tc>
      </w:tr>
      <w:tr>
        <w:trPr>
          <w:trHeight w:val="25"/>
        </w:trPr>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-1319530</wp:posOffset>
            </wp:positionV>
            <wp:extent cx="713232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-942340</wp:posOffset>
            </wp:positionV>
            <wp:extent cx="713232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-445135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-170815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3340" w:space="40"/>
            <w:col w:w="784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6" w:name="page7"/>
    <w:bookmarkEnd w:id="6"/>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Six Months Ended June 30, 2024 and 2023</w:t>
      </w: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2024</w:t>
      </w:r>
    </w:p>
    <w:p>
      <w:pPr>
        <w:spacing w:after="0" w:line="3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($0.24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right="900"/>
        <w:spacing w:after="0" w:line="356" w:lineRule="auto"/>
        <w:rPr>
          <w:sz w:val="20"/>
          <w:szCs w:val="20"/>
          <w:color w:val="auto"/>
        </w:rPr>
      </w:pPr>
      <w:r>
        <w:rPr>
          <w:rFonts w:ascii="Arial" w:cs="Arial" w:eastAsia="Arial" w:hAnsi="Arial"/>
          <w:sz w:val="16"/>
          <w:szCs w:val="16"/>
          <w:color w:val="auto"/>
        </w:rPr>
        <w:t>Other comprehensive loss BALANCE AS OF JUNE 30, 2024</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2023</w:t>
      </w:r>
    </w:p>
    <w:p>
      <w:pPr>
        <w:spacing w:after="0" w:line="3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ind w:right="700"/>
        <w:spacing w:after="0" w:line="246" w:lineRule="auto"/>
        <w:rPr>
          <w:sz w:val="20"/>
          <w:szCs w:val="20"/>
          <w:color w:val="auto"/>
        </w:rPr>
      </w:pPr>
      <w:r>
        <w:rPr>
          <w:rFonts w:ascii="Arial" w:cs="Arial" w:eastAsia="Arial" w:hAnsi="Arial"/>
          <w:sz w:val="16"/>
          <w:szCs w:val="16"/>
          <w:color w:val="auto"/>
        </w:rPr>
        <w:t>Issuance of common stock related to acquisitions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($0.24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right="900"/>
        <w:spacing w:after="0" w:line="321" w:lineRule="auto"/>
        <w:rPr>
          <w:sz w:val="20"/>
          <w:szCs w:val="20"/>
          <w:color w:val="auto"/>
        </w:rPr>
      </w:pPr>
      <w:r>
        <w:rPr>
          <w:rFonts w:ascii="Arial" w:cs="Arial" w:eastAsia="Arial" w:hAnsi="Arial"/>
          <w:sz w:val="16"/>
          <w:szCs w:val="16"/>
          <w:color w:val="auto"/>
        </w:rPr>
        <w:t>Other comprehensive income BALANCE AS OF JUNE 30, 2023</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1040" w:type="dxa"/>
            <w:vAlign w:val="bottom"/>
            <w:vMerge w:val="restart"/>
          </w:tcPr>
          <w:p>
            <w:pPr>
              <w:jc w:val="center"/>
              <w:ind w:right="228"/>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4"/>
                <w:szCs w:val="14"/>
                <w:color w:val="auto"/>
              </w:rPr>
            </w:pPr>
          </w:p>
        </w:tc>
        <w:tc>
          <w:tcPr>
            <w:tcW w:w="11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Additional</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68"/>
              <w:spacing w:after="0"/>
              <w:rPr>
                <w:sz w:val="20"/>
                <w:szCs w:val="20"/>
                <w:color w:val="auto"/>
              </w:rPr>
            </w:pPr>
            <w:r>
              <w:rPr>
                <w:rFonts w:ascii="Arial" w:cs="Arial" w:eastAsia="Arial" w:hAnsi="Arial"/>
                <w:sz w:val="14"/>
                <w:szCs w:val="14"/>
                <w:b w:val="1"/>
                <w:bCs w:val="1"/>
                <w:color w:val="auto"/>
              </w:rPr>
              <w:t>Accumulated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2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130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rPr>
              <w:t>Other</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9"/>
              </w:rPr>
              <w:t>Stock</w:t>
            </w:r>
          </w:p>
        </w:tc>
        <w:tc>
          <w:tcPr>
            <w:tcW w:w="200" w:type="dxa"/>
            <w:vAlign w:val="bottom"/>
          </w:tcPr>
          <w:p>
            <w:pPr>
              <w:spacing w:after="0"/>
              <w:rPr>
                <w:sz w:val="12"/>
                <w:szCs w:val="12"/>
                <w:color w:val="auto"/>
              </w:rPr>
            </w:pPr>
          </w:p>
        </w:tc>
        <w:tc>
          <w:tcPr>
            <w:tcW w:w="110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Paid-In</w:t>
            </w: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Comprehensive</w:t>
            </w:r>
          </w:p>
        </w:tc>
        <w:tc>
          <w:tcPr>
            <w:tcW w:w="12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89"/>
        </w:trPr>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Capital</w:t>
            </w: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Earnings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Loss</w:t>
            </w:r>
          </w:p>
        </w:tc>
        <w:tc>
          <w:tcPr>
            <w:tcW w:w="12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88"/>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231,455,443</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13,887,326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968,245,875</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$ 1,336,940,990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(6,557,122)</w:t>
            </w:r>
          </w:p>
        </w:tc>
        <w:tc>
          <w:tcPr>
            <w:tcW w:w="1220" w:type="dxa"/>
            <w:vAlign w:val="bottom"/>
          </w:tcPr>
          <w:p>
            <w:pPr>
              <w:jc w:val="right"/>
              <w:spacing w:after="0"/>
              <w:rPr>
                <w:sz w:val="20"/>
                <w:szCs w:val="20"/>
                <w:color w:val="auto"/>
              </w:rPr>
            </w:pPr>
            <w:r>
              <w:rPr>
                <w:rFonts w:ascii="Arial" w:cs="Arial" w:eastAsia="Arial" w:hAnsi="Arial"/>
                <w:sz w:val="14"/>
                <w:szCs w:val="14"/>
                <w:color w:val="auto"/>
              </w:rPr>
              <w:t>$ 2,312,517,069</w:t>
            </w:r>
          </w:p>
        </w:tc>
        <w:tc>
          <w:tcPr>
            <w:tcW w:w="0" w:type="dxa"/>
            <w:vAlign w:val="bottom"/>
          </w:tcPr>
          <w:p>
            <w:pPr>
              <w:spacing w:after="0"/>
              <w:rPr>
                <w:sz w:val="1"/>
                <w:szCs w:val="1"/>
                <w:color w:val="auto"/>
              </w:rPr>
            </w:pPr>
          </w:p>
        </w:tc>
      </w:tr>
      <w:tr>
        <w:trPr>
          <w:trHeight w:val="378"/>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1,377,666</w:t>
            </w:r>
          </w:p>
        </w:tc>
        <w:tc>
          <w:tcPr>
            <w:tcW w:w="26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82,660</w:t>
            </w:r>
          </w:p>
        </w:tc>
        <w:tc>
          <w:tcPr>
            <w:tcW w:w="200" w:type="dxa"/>
            <w:vAlign w:val="bottom"/>
          </w:tcPr>
          <w:p>
            <w:pPr>
              <w:spacing w:after="0"/>
              <w:rPr>
                <w:sz w:val="24"/>
                <w:szCs w:val="2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20,159,649</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20,242,309</w:t>
            </w:r>
          </w:p>
        </w:tc>
        <w:tc>
          <w:tcPr>
            <w:tcW w:w="0" w:type="dxa"/>
            <w:vAlign w:val="bottom"/>
          </w:tcPr>
          <w:p>
            <w:pPr>
              <w:spacing w:after="0"/>
              <w:rPr>
                <w:sz w:val="1"/>
                <w:szCs w:val="1"/>
                <w:color w:val="auto"/>
              </w:rPr>
            </w:pPr>
          </w:p>
        </w:tc>
      </w:tr>
      <w:tr>
        <w:trPr>
          <w:trHeight w:val="216"/>
        </w:trPr>
        <w:tc>
          <w:tcPr>
            <w:tcW w:w="1220" w:type="dxa"/>
            <w:vAlign w:val="bottom"/>
          </w:tcPr>
          <w:p>
            <w:pPr>
              <w:ind w:left="380"/>
              <w:spacing w:after="0"/>
              <w:rPr>
                <w:sz w:val="20"/>
                <w:szCs w:val="20"/>
                <w:color w:val="auto"/>
              </w:rPr>
            </w:pPr>
            <w:r>
              <w:rPr>
                <w:rFonts w:ascii="Arial" w:cs="Arial" w:eastAsia="Arial" w:hAnsi="Arial"/>
                <w:sz w:val="14"/>
                <w:szCs w:val="14"/>
                <w:color w:val="auto"/>
              </w:rPr>
              <w:t>(2,603,570)</w:t>
            </w:r>
          </w:p>
        </w:tc>
        <w:tc>
          <w:tcPr>
            <w:tcW w:w="2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(156,214)</w:t>
            </w:r>
          </w:p>
        </w:tc>
        <w:tc>
          <w:tcPr>
            <w:tcW w:w="200" w:type="dxa"/>
            <w:vAlign w:val="bottom"/>
          </w:tcPr>
          <w:p>
            <w:pPr>
              <w:spacing w:after="0"/>
              <w:rPr>
                <w:sz w:val="18"/>
                <w:szCs w:val="18"/>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(9,787,501)</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(81,394,947)</w:t>
            </w:r>
          </w:p>
        </w:tc>
        <w:tc>
          <w:tcPr>
            <w:tcW w:w="22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(91,338,662)</w:t>
            </w:r>
          </w:p>
        </w:tc>
        <w:tc>
          <w:tcPr>
            <w:tcW w:w="0" w:type="dxa"/>
            <w:vAlign w:val="bottom"/>
          </w:tcPr>
          <w:p>
            <w:pPr>
              <w:spacing w:after="0"/>
              <w:rPr>
                <w:sz w:val="1"/>
                <w:szCs w:val="1"/>
                <w:color w:val="auto"/>
              </w:rPr>
            </w:pPr>
          </w:p>
        </w:tc>
      </w:tr>
      <w:tr>
        <w:trPr>
          <w:trHeight w:val="540"/>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21,396,790</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21,396,790</w:t>
            </w:r>
          </w:p>
        </w:tc>
        <w:tc>
          <w:tcPr>
            <w:tcW w:w="0" w:type="dxa"/>
            <w:vAlign w:val="bottom"/>
          </w:tcPr>
          <w:p>
            <w:pPr>
              <w:spacing w:after="0"/>
              <w:rPr>
                <w:sz w:val="1"/>
                <w:szCs w:val="1"/>
                <w:color w:val="auto"/>
              </w:rPr>
            </w:pPr>
          </w:p>
        </w:tc>
      </w:tr>
      <w:tr>
        <w:trPr>
          <w:trHeight w:val="243"/>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(55,370,601)</w:t>
            </w:r>
          </w:p>
        </w:tc>
        <w:tc>
          <w:tcPr>
            <w:tcW w:w="220" w:type="dxa"/>
            <w:vAlign w:val="bottom"/>
          </w:tcPr>
          <w:p>
            <w:pPr>
              <w:spacing w:after="0"/>
              <w:rPr>
                <w:sz w:val="21"/>
                <w:szCs w:val="21"/>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(55,370,601)</w:t>
            </w:r>
          </w:p>
        </w:tc>
        <w:tc>
          <w:tcPr>
            <w:tcW w:w="0" w:type="dxa"/>
            <w:vAlign w:val="bottom"/>
          </w:tcPr>
          <w:p>
            <w:pPr>
              <w:spacing w:after="0"/>
              <w:rPr>
                <w:sz w:val="1"/>
                <w:szCs w:val="1"/>
                <w:color w:val="auto"/>
              </w:rPr>
            </w:pPr>
          </w:p>
        </w:tc>
      </w:tr>
      <w:tr>
        <w:trPr>
          <w:trHeight w:val="216"/>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194,271,153</w:t>
            </w:r>
          </w:p>
        </w:tc>
        <w:tc>
          <w:tcPr>
            <w:tcW w:w="22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194,271,153</w:t>
            </w:r>
          </w:p>
        </w:tc>
        <w:tc>
          <w:tcPr>
            <w:tcW w:w="0" w:type="dxa"/>
            <w:vAlign w:val="bottom"/>
          </w:tcPr>
          <w:p>
            <w:pPr>
              <w:spacing w:after="0"/>
              <w:rPr>
                <w:sz w:val="1"/>
                <w:szCs w:val="1"/>
                <w:color w:val="auto"/>
              </w:rPr>
            </w:pPr>
          </w:p>
        </w:tc>
      </w:tr>
      <w:tr>
        <w:trPr>
          <w:trHeight w:val="220"/>
        </w:trPr>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(1,418,531)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(1,418,531)</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230,229,539</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13,813,772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1,000,014,813</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$ 1,394,446,595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(7,975,653)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$ 2,400,299,527</w:t>
            </w:r>
          </w:p>
        </w:tc>
        <w:tc>
          <w:tcPr>
            <w:tcW w:w="0" w:type="dxa"/>
            <w:vAlign w:val="bottom"/>
          </w:tcPr>
          <w:p>
            <w:pPr>
              <w:spacing w:after="0"/>
              <w:rPr>
                <w:sz w:val="1"/>
                <w:szCs w:val="1"/>
                <w:color w:val="auto"/>
              </w:rPr>
            </w:pPr>
          </w:p>
        </w:tc>
      </w:tr>
      <w:tr>
        <w:trPr>
          <w:trHeight w:val="25"/>
        </w:trPr>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234,169,335</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14,050,160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917,499,323</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$ 1,148,386,272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(14,142,934)</w:t>
            </w:r>
          </w:p>
        </w:tc>
        <w:tc>
          <w:tcPr>
            <w:tcW w:w="1220" w:type="dxa"/>
            <w:vAlign w:val="bottom"/>
          </w:tcPr>
          <w:p>
            <w:pPr>
              <w:jc w:val="right"/>
              <w:spacing w:after="0"/>
              <w:rPr>
                <w:sz w:val="20"/>
                <w:szCs w:val="20"/>
                <w:color w:val="auto"/>
              </w:rPr>
            </w:pPr>
            <w:r>
              <w:rPr>
                <w:rFonts w:ascii="Arial" w:cs="Arial" w:eastAsia="Arial" w:hAnsi="Arial"/>
                <w:sz w:val="14"/>
                <w:szCs w:val="14"/>
                <w:color w:val="auto"/>
              </w:rPr>
              <w:t>$ 2,065,792,821</w:t>
            </w:r>
          </w:p>
        </w:tc>
        <w:tc>
          <w:tcPr>
            <w:tcW w:w="0" w:type="dxa"/>
            <w:vAlign w:val="bottom"/>
          </w:tcPr>
          <w:p>
            <w:pPr>
              <w:spacing w:after="0"/>
              <w:rPr>
                <w:sz w:val="1"/>
                <w:szCs w:val="1"/>
                <w:color w:val="auto"/>
              </w:rPr>
            </w:pPr>
          </w:p>
        </w:tc>
      </w:tr>
      <w:tr>
        <w:trPr>
          <w:trHeight w:val="378"/>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1,227,959</w:t>
            </w:r>
          </w:p>
        </w:tc>
        <w:tc>
          <w:tcPr>
            <w:tcW w:w="26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73,677</w:t>
            </w:r>
          </w:p>
        </w:tc>
        <w:tc>
          <w:tcPr>
            <w:tcW w:w="200" w:type="dxa"/>
            <w:vAlign w:val="bottom"/>
          </w:tcPr>
          <w:p>
            <w:pPr>
              <w:spacing w:after="0"/>
              <w:rPr>
                <w:sz w:val="24"/>
                <w:szCs w:val="2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13,809,133</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13,882,810</w:t>
            </w:r>
          </w:p>
        </w:tc>
        <w:tc>
          <w:tcPr>
            <w:tcW w:w="0" w:type="dxa"/>
            <w:vAlign w:val="bottom"/>
          </w:tcPr>
          <w:p>
            <w:pPr>
              <w:spacing w:after="0"/>
              <w:rPr>
                <w:sz w:val="1"/>
                <w:szCs w:val="1"/>
                <w:color w:val="auto"/>
              </w:rPr>
            </w:pPr>
          </w:p>
        </w:tc>
      </w:tr>
      <w:tr>
        <w:trPr>
          <w:trHeight w:val="378"/>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220" w:type="dxa"/>
            <w:vAlign w:val="bottom"/>
          </w:tcPr>
          <w:p>
            <w:pPr>
              <w:ind w:left="380"/>
              <w:spacing w:after="0"/>
              <w:rPr>
                <w:sz w:val="20"/>
                <w:szCs w:val="20"/>
                <w:color w:val="auto"/>
              </w:rPr>
            </w:pPr>
            <w:r>
              <w:rPr>
                <w:rFonts w:ascii="Arial" w:cs="Arial" w:eastAsia="Arial" w:hAnsi="Arial"/>
                <w:sz w:val="14"/>
                <w:szCs w:val="14"/>
                <w:color w:val="auto"/>
              </w:rPr>
              <w:t>(1,967,300)</w:t>
            </w:r>
          </w:p>
        </w:tc>
        <w:tc>
          <w:tcPr>
            <w:tcW w:w="2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(118,038)</w:t>
            </w:r>
          </w:p>
        </w:tc>
        <w:tc>
          <w:tcPr>
            <w:tcW w:w="200" w:type="dxa"/>
            <w:vAlign w:val="bottom"/>
          </w:tcPr>
          <w:p>
            <w:pPr>
              <w:spacing w:after="0"/>
              <w:rPr>
                <w:sz w:val="18"/>
                <w:szCs w:val="18"/>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(6,911,897)</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(46,536,187)</w:t>
            </w:r>
          </w:p>
        </w:tc>
        <w:tc>
          <w:tcPr>
            <w:tcW w:w="22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(53,566,122)</w:t>
            </w:r>
          </w:p>
        </w:tc>
        <w:tc>
          <w:tcPr>
            <w:tcW w:w="0" w:type="dxa"/>
            <w:vAlign w:val="bottom"/>
          </w:tcPr>
          <w:p>
            <w:pPr>
              <w:spacing w:after="0"/>
              <w:rPr>
                <w:sz w:val="1"/>
                <w:szCs w:val="1"/>
                <w:color w:val="auto"/>
              </w:rPr>
            </w:pPr>
          </w:p>
        </w:tc>
      </w:tr>
      <w:tr>
        <w:trPr>
          <w:trHeight w:val="540"/>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18,264,205</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18,264,205</w:t>
            </w:r>
          </w:p>
        </w:tc>
        <w:tc>
          <w:tcPr>
            <w:tcW w:w="0" w:type="dxa"/>
            <w:vAlign w:val="bottom"/>
          </w:tcPr>
          <w:p>
            <w:pPr>
              <w:spacing w:after="0"/>
              <w:rPr>
                <w:sz w:val="1"/>
                <w:szCs w:val="1"/>
                <w:color w:val="auto"/>
              </w:rPr>
            </w:pPr>
          </w:p>
        </w:tc>
      </w:tr>
      <w:tr>
        <w:trPr>
          <w:trHeight w:val="243"/>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(56,058,218)</w:t>
            </w:r>
          </w:p>
        </w:tc>
        <w:tc>
          <w:tcPr>
            <w:tcW w:w="220" w:type="dxa"/>
            <w:vAlign w:val="bottom"/>
          </w:tcPr>
          <w:p>
            <w:pPr>
              <w:spacing w:after="0"/>
              <w:rPr>
                <w:sz w:val="21"/>
                <w:szCs w:val="21"/>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(56,058,218)</w:t>
            </w:r>
          </w:p>
        </w:tc>
        <w:tc>
          <w:tcPr>
            <w:tcW w:w="0" w:type="dxa"/>
            <w:vAlign w:val="bottom"/>
          </w:tcPr>
          <w:p>
            <w:pPr>
              <w:spacing w:after="0"/>
              <w:rPr>
                <w:sz w:val="1"/>
                <w:szCs w:val="1"/>
                <w:color w:val="auto"/>
              </w:rPr>
            </w:pPr>
          </w:p>
        </w:tc>
      </w:tr>
      <w:tr>
        <w:trPr>
          <w:trHeight w:val="216"/>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206,733,664</w:t>
            </w:r>
          </w:p>
        </w:tc>
        <w:tc>
          <w:tcPr>
            <w:tcW w:w="22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206,733,664</w:t>
            </w:r>
          </w:p>
        </w:tc>
        <w:tc>
          <w:tcPr>
            <w:tcW w:w="0" w:type="dxa"/>
            <w:vAlign w:val="bottom"/>
          </w:tcPr>
          <w:p>
            <w:pPr>
              <w:spacing w:after="0"/>
              <w:rPr>
                <w:sz w:val="1"/>
                <w:szCs w:val="1"/>
                <w:color w:val="auto"/>
              </w:rPr>
            </w:pPr>
          </w:p>
        </w:tc>
      </w:tr>
      <w:tr>
        <w:trPr>
          <w:trHeight w:val="220"/>
        </w:trPr>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900,166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900,166</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233,429,994</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14,005,799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942,660,764</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$ 1,252,525,531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(13,242,768)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$ 2,195,949,326</w:t>
            </w:r>
          </w:p>
        </w:tc>
        <w:tc>
          <w:tcPr>
            <w:tcW w:w="0" w:type="dxa"/>
            <w:vAlign w:val="bottom"/>
          </w:tcPr>
          <w:p>
            <w:pPr>
              <w:spacing w:after="0"/>
              <w:rPr>
                <w:sz w:val="1"/>
                <w:szCs w:val="1"/>
                <w:color w:val="auto"/>
              </w:rPr>
            </w:pPr>
          </w:p>
        </w:tc>
      </w:tr>
      <w:tr>
        <w:trPr>
          <w:trHeight w:val="25"/>
        </w:trPr>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-3308350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-2931160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-2451100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-2159635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-1868170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-1559560</wp:posOffset>
            </wp:positionV>
            <wp:extent cx="713232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-1079500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-599440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-307975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3340" w:space="40"/>
            <w:col w:w="784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7" w:name="page8"/>
    <w:bookmarkEnd w:id="7"/>
    <w:p>
      <w:pPr>
        <w:jc w:val="center"/>
        <w:ind w:left="340" w:right="2340"/>
        <w:spacing w:after="0" w:line="395"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CASH FLOWS For the Six Months Ended June 30,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 w:type="dxa"/>
            <w:vAlign w:val="bottom"/>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4"/>
                <w:szCs w:val="14"/>
                <w:b w:val="1"/>
                <w:bCs w:val="1"/>
                <w:color w:val="auto"/>
              </w:rPr>
              <w:t>2024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194,271,153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206,733,664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47,942,132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48,841,936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(Gain) on disposal of assets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(1,261,727)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(214,593)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disposal of assets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220,568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(Gain) on sale of investments and technology investment income</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(4,708,185)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(2,747,586)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sale of investments and technology investment losses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29,061,771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4,201,138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Deferred tax expense</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(11,232,239)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(5,122,661)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36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Stock-based compensation expense related to employee stock options, employee</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21,396,790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18,264,205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stock purchases and restricted stock</w:t>
            </w: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Change in operating assets and liabilities: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Accounts receivable, net</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15,244,187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(73,915,719)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780"/>
              <w:spacing w:after="0"/>
              <w:rPr>
                <w:sz w:val="20"/>
                <w:szCs w:val="20"/>
                <w:color w:val="auto"/>
              </w:rPr>
            </w:pPr>
            <w:r>
              <w:rPr>
                <w:rFonts w:ascii="Arial" w:cs="Arial" w:eastAsia="Arial" w:hAnsi="Arial"/>
                <w:sz w:val="18"/>
                <w:szCs w:val="18"/>
                <w:color w:val="auto"/>
              </w:rPr>
              <w:t>Inventories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(61,019,277)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14,334,001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Prepaid expenses and other</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(3,559,130)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(2,722,437)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780"/>
              <w:spacing w:after="0"/>
              <w:rPr>
                <w:sz w:val="20"/>
                <w:szCs w:val="20"/>
                <w:color w:val="auto"/>
              </w:rPr>
            </w:pPr>
            <w:r>
              <w:rPr>
                <w:rFonts w:ascii="Arial" w:cs="Arial" w:eastAsia="Arial" w:hAnsi="Arial"/>
                <w:sz w:val="18"/>
                <w:szCs w:val="18"/>
                <w:color w:val="auto"/>
              </w:rPr>
              <w:t>Accounts payable</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17,318,424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22,410,431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Accrued liabilities, excluding dividends declared</w:t>
            </w: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15,643,764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11,483,186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259,127,445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241,766,133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7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Activity in investments: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Sales proceeds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19,649,880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21,523,990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and calls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6,260,000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(60,360,047)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(65,945,596)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Plant and equipment additions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(63,634,852)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(90,277,995)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Proceeds from sale of plant and equipment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140,610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in other assets</w:t>
            </w: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(4,120,881)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Net cash used for investing activities</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(102,078,900)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(126,395,275)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Issuance of common stock from stock plan transactions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20,242,309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13,882,810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Cash dividends paid</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(55,517,709)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(56,146,939)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Repurchases of common stock</w:t>
            </w: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(87,966,213)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(54,195,766)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Net cash used for financing activities</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(123,241,613)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(96,459,895)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33,806,932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18,910,963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3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226,435,019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218,754,638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7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260,241,951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237,665,601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8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3400" w:type="dxa"/>
            <w:vAlign w:val="bottom"/>
            <w:tcBorders>
              <w:bottom w:val="single" w:sz="8" w:color="auto"/>
            </w:tcBorders>
            <w:gridSpan w:val="7"/>
            <w:shd w:val="clear" w:color="auto" w:fill="CCEEFF"/>
          </w:tcPr>
          <w:p>
            <w:pPr>
              <w:jc w:val="right"/>
              <w:ind w:right="9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SUPPLEMENTAL CASH FLOW DATA</w:t>
            </w: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investing and financing activities:</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360" w:type="dxa"/>
            <w:vAlign w:val="bottom"/>
          </w:tcPr>
          <w:p>
            <w:pPr>
              <w:ind w:left="200"/>
              <w:spacing w:after="0" w:line="176" w:lineRule="exact"/>
              <w:rPr>
                <w:sz w:val="20"/>
                <w:szCs w:val="20"/>
                <w:color w:val="auto"/>
              </w:rPr>
            </w:pPr>
            <w:r>
              <w:rPr>
                <w:rFonts w:ascii="Arial" w:cs="Arial" w:eastAsia="Arial" w:hAnsi="Arial"/>
                <w:sz w:val="18"/>
                <w:szCs w:val="18"/>
                <w:color w:val="auto"/>
              </w:rPr>
              <w:t>Change in property and equipment in accounts payable and accrued expenses and other</w:t>
            </w: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(912,142)</w:t>
            </w:r>
          </w:p>
        </w:tc>
        <w:tc>
          <w:tcPr>
            <w:tcW w:w="40" w:type="dxa"/>
            <w:vAlign w:val="bottom"/>
          </w:tcPr>
          <w:p>
            <w:pPr>
              <w:spacing w:after="0"/>
              <w:rPr>
                <w:sz w:val="15"/>
                <w:szCs w:val="15"/>
                <w:color w:val="auto"/>
              </w:rPr>
            </w:pPr>
          </w:p>
        </w:tc>
        <w:tc>
          <w:tcPr>
            <w:tcW w:w="4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5,064,356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44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7"/>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73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unaudited condensed consolidated financial statements included herein have been prepared by the Company, pursuant to the rules and regulations of the Securities and Exchange Commission.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2023 annual report on Form 10-K. In the opinion of management, the accompanying unaudited condensed consolidated financial statements contain all adjustments, consisting of only a normal and recurring nature, necessary to present fairly the financial position of the Company as of June 30, 2024, and the results of operations and cash flows for the interim periods presented.</w:t>
      </w:r>
    </w:p>
    <w:p>
      <w:pPr>
        <w:spacing w:after="0" w:line="208"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Adoption of New Accounting Standards</w:t>
      </w:r>
    </w:p>
    <w:p>
      <w:pPr>
        <w:spacing w:after="0" w:line="252" w:lineRule="exact"/>
        <w:rPr>
          <w:sz w:val="20"/>
          <w:szCs w:val="20"/>
          <w:color w:val="auto"/>
        </w:rPr>
      </w:pPr>
    </w:p>
    <w:p>
      <w:pPr>
        <w:ind w:left="660" w:right="40"/>
        <w:spacing w:after="0" w:line="254" w:lineRule="auto"/>
        <w:rPr>
          <w:sz w:val="20"/>
          <w:szCs w:val="20"/>
          <w:color w:val="auto"/>
        </w:rPr>
      </w:pPr>
      <w:r>
        <w:rPr>
          <w:rFonts w:ascii="Arial" w:cs="Arial" w:eastAsia="Arial" w:hAnsi="Arial"/>
          <w:sz w:val="18"/>
          <w:szCs w:val="18"/>
          <w:color w:val="auto"/>
        </w:rPr>
        <w:t xml:space="preserve">In November 2023, the Financial Accounting Standards Board (“FASB”) issued Accounting Standards Update ("ASU") No. 2023-07,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This ASU updates reportable segment disclosure requirements by requiring</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Early adoption is also permitted. The Company will likely include additional disclosures when this ASU is adopted by the Company. The Company is currently evaluating the provisions of this ASU and expects to adopt the ASU for the year ending December 31, 2024.</w:t>
      </w:r>
    </w:p>
    <w:p>
      <w:pPr>
        <w:spacing w:after="0" w:line="212"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Under this ASU, public benefit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 is effective on a prospective basis for the Company in the fiscal year ending December 31, 2025. This ASU will result in additional disclosures being included in the consolidated financial statements once adopted.</w:t>
      </w:r>
    </w:p>
    <w:p>
      <w:pPr>
        <w:spacing w:after="0" w:line="209"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52" w:lineRule="exact"/>
        <w:rPr>
          <w:sz w:val="20"/>
          <w:szCs w:val="20"/>
          <w:color w:val="auto"/>
        </w:rPr>
      </w:pPr>
    </w:p>
    <w:p>
      <w:pPr>
        <w:jc w:val="both"/>
        <w:ind w:left="660"/>
        <w:spacing w:after="0" w:line="244" w:lineRule="auto"/>
        <w:rPr>
          <w:sz w:val="20"/>
          <w:szCs w:val="20"/>
          <w:color w:val="auto"/>
        </w:rPr>
      </w:pPr>
      <w:r>
        <w:rPr>
          <w:rFonts w:ascii="Arial" w:cs="Arial" w:eastAsia="Arial" w:hAnsi="Arial"/>
          <w:sz w:val="18"/>
          <w:szCs w:val="18"/>
          <w:color w:val="auto"/>
        </w:rPr>
        <w:t>Goodwill represents the cost of an acquisition in excess of the fair values assigned to identifiable net assets acquired. The Company recorded Goodwill of: $307.4 million as part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in 2013; $3.7 million as part of the acquisition of Vaporsens, Inc. ("Vaporsens") in 2020; $0.2 million as part of the acquisition of Air-Craftglass Production BV ("Air-Craftglass") in 2020; $1.0 million as a part of the acquisition of Argil, Inc. ("Argil") in 2020; $2.0 million as part of the acquisition of Guardian Optical Technologies ("Guardian") in 2021; and $26.7 million as part of the acquisition of eSight in the fourth quarter of 2023. The carrying value of Goodwill as of both June 30, 2024 and December 31, 2023 was $340.1 million, as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9"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8080" w:type="dxa"/>
            <w:vAlign w:val="bottom"/>
            <w:shd w:val="clear" w:color="auto" w:fill="CCEEFF"/>
          </w:tcPr>
          <w:p>
            <w:pPr>
              <w:spacing w:after="0"/>
              <w:rPr>
                <w:sz w:val="17"/>
                <w:szCs w:val="17"/>
                <w:color w:val="auto"/>
              </w:rPr>
            </w:pPr>
          </w:p>
        </w:tc>
        <w:tc>
          <w:tcPr>
            <w:tcW w:w="20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Carrying Amount</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Balance as of December 31, 2023</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340,105,631</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Divestitures</w:t>
            </w:r>
          </w:p>
        </w:tc>
        <w:tc>
          <w:tcPr>
            <w:tcW w:w="5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Impairments</w:t>
            </w: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2024</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340,105,631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annual impairment testing, which is performed as of the first day of the fourth quarter, the Company continuously monitors for events and circumstances that could negatively impact the key assumptions in determining fair value of goodwill or other intangible assets thus resulting in the need for interim impairment testing, including long-term revenue growth projections, profitability, discount rates, recent market valuations from transactions by comparable companies, volatility in the Company's market capitalization, and general industry, market and macroeconomic conditions. No such events or circumstances that might negatively impact the key assumptions were observed in the second quarter of 2024 and, as such, nothing indicated the need for interim impairment testing.</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also acquired In-Process Research &amp; Development ("In-Process R &amp; D") as part of the acquisitions of: Vaporsens; Air-Craftglass; Argil; and Guardian, each of which has been previously disclosed.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2024:</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Other Intangible Assets</w:t>
            </w:r>
          </w:p>
        </w:tc>
        <w:tc>
          <w:tcPr>
            <w:tcW w:w="280" w:type="dxa"/>
            <w:vAlign w:val="bottom"/>
          </w:tcPr>
          <w:p>
            <w:pPr>
              <w:spacing w:after="0"/>
              <w:rPr>
                <w:sz w:val="14"/>
                <w:szCs w:val="14"/>
                <w:color w:val="auto"/>
              </w:rPr>
            </w:pPr>
          </w:p>
        </w:tc>
        <w:tc>
          <w:tcPr>
            <w:tcW w:w="12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420" w:type="dxa"/>
            <w:vAlign w:val="bottom"/>
          </w:tcPr>
          <w:p>
            <w:pPr>
              <w:ind w:left="1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20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Net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89"/>
        </w:trPr>
        <w:tc>
          <w:tcPr>
            <w:tcW w:w="40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39,013,180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(27,602,158)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11,411,022</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52,000,000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 $</w:t>
            </w:r>
          </w:p>
        </w:tc>
        <w:tc>
          <w:tcPr>
            <w:tcW w:w="1200" w:type="dxa"/>
            <w:vAlign w:val="bottom"/>
          </w:tcPr>
          <w:p>
            <w:pPr>
              <w:jc w:val="right"/>
              <w:spacing w:after="0"/>
              <w:rPr>
                <w:sz w:val="20"/>
                <w:szCs w:val="20"/>
                <w:color w:val="auto"/>
              </w:rPr>
            </w:pPr>
            <w:r>
              <w:rPr>
                <w:rFonts w:ascii="Arial" w:cs="Arial" w:eastAsia="Arial" w:hAnsi="Arial"/>
                <w:sz w:val="18"/>
                <w:szCs w:val="18"/>
                <w:color w:val="auto"/>
              </w:rPr>
              <w:t>52,000,000</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(161,250,000)</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Existing Customer Platforms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eSight Technology</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12,000,000</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(666,667)</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11,333,333</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eSight Trade Names and Trademarks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870,000</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(48,333)</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821,667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Vaporsens In-Process R&amp;D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11,000,000</w:t>
            </w:r>
          </w:p>
        </w:tc>
        <w:tc>
          <w:tcPr>
            <w:tcW w:w="280" w:type="dxa"/>
            <w:vAlign w:val="bottom"/>
          </w:tcPr>
          <w:p>
            <w:pPr>
              <w:spacing w:after="0"/>
              <w:rPr>
                <w:sz w:val="19"/>
                <w:szCs w:val="19"/>
                <w:color w:val="auto"/>
              </w:rPr>
            </w:pP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11,000,000</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Argil In-Process R&amp;D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Air-Craftglass In-Process R&amp;D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1,507,778</w:t>
            </w:r>
          </w:p>
        </w:tc>
        <w:tc>
          <w:tcPr>
            <w:tcW w:w="280" w:type="dxa"/>
            <w:vAlign w:val="bottom"/>
          </w:tcPr>
          <w:p>
            <w:pPr>
              <w:spacing w:after="0"/>
              <w:rPr>
                <w:sz w:val="19"/>
                <w:szCs w:val="19"/>
                <w:color w:val="auto"/>
              </w:rPr>
            </w:pP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1,507,778</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Guardian Trade Names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Guardian In-Process R&amp;D</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410,755,910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(204,965,000)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205,790,910</w:t>
            </w: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449,769,090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(232,567,158)</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217,201,932</w:t>
            </w: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2023:</w:t>
      </w:r>
    </w:p>
    <w:p>
      <w:pPr>
        <w:spacing w:after="0" w:line="4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6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Other Intangible Assets</w:t>
            </w:r>
          </w:p>
        </w:tc>
        <w:tc>
          <w:tcPr>
            <w:tcW w:w="260" w:type="dxa"/>
            <w:vAlign w:val="bottom"/>
          </w:tcPr>
          <w:p>
            <w:pPr>
              <w:spacing w:after="0"/>
              <w:rPr>
                <w:sz w:val="14"/>
                <w:szCs w:val="14"/>
                <w:color w:val="auto"/>
              </w:rPr>
            </w:pPr>
          </w:p>
        </w:tc>
        <w:tc>
          <w:tcPr>
            <w:tcW w:w="11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Net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85"/>
        </w:trPr>
        <w:tc>
          <w:tcPr>
            <w:tcW w:w="4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39,199,107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(27,769,803)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11,429,304</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Various</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240"/>
              <w:spacing w:after="0" w:line="223"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52,000,000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100"/>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52,000,000</w:t>
            </w:r>
          </w:p>
        </w:tc>
        <w:tc>
          <w:tcPr>
            <w:tcW w:w="110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(153,750,000)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Existing Customer Platforms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Arial" w:cs="Arial" w:eastAsia="Arial" w:hAnsi="Arial"/>
                <w:sz w:val="18"/>
                <w:szCs w:val="18"/>
                <w:color w:val="auto"/>
              </w:rPr>
              <w:t>eSight Technology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12,000,000</w:t>
            </w:r>
          </w:p>
        </w:tc>
        <w:tc>
          <w:tcPr>
            <w:tcW w:w="28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12,000,000</w:t>
            </w:r>
          </w:p>
        </w:tc>
        <w:tc>
          <w:tcPr>
            <w:tcW w:w="1100" w:type="dxa"/>
            <w:vAlign w:val="bottom"/>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eSight Trade Names and Trademarks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Arial" w:cs="Arial" w:eastAsia="Arial" w:hAnsi="Arial"/>
                <w:sz w:val="18"/>
                <w:szCs w:val="18"/>
                <w:color w:val="auto"/>
              </w:rPr>
              <w:t>Vaporsens In-Process R&amp;D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11,000,000</w:t>
            </w:r>
          </w:p>
        </w:tc>
        <w:tc>
          <w:tcPr>
            <w:tcW w:w="28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11,000,000</w:t>
            </w:r>
          </w:p>
        </w:tc>
        <w:tc>
          <w:tcPr>
            <w:tcW w:w="110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Argil In-Process R&amp;D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Arial" w:cs="Arial" w:eastAsia="Arial" w:hAnsi="Arial"/>
                <w:sz w:val="18"/>
                <w:szCs w:val="18"/>
                <w:color w:val="auto"/>
              </w:rPr>
              <w:t>Air-Craftglass In-Process R&amp;D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1,507,778</w:t>
            </w:r>
          </w:p>
        </w:tc>
        <w:tc>
          <w:tcPr>
            <w:tcW w:w="28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1,507,778</w:t>
            </w:r>
          </w:p>
        </w:tc>
        <w:tc>
          <w:tcPr>
            <w:tcW w:w="110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Guardian Trade Names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Guardian In-Process R&amp;D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11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410,755,910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(196,750,000)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214,005,910</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449,955,017</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(224,519,803)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225,435,214</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on patents and intangible assets was approximately $4.4 million and $8.7 million during the three and six</w:t>
      </w:r>
    </w:p>
    <w:p>
      <w:pPr>
        <w:spacing w:after="0" w:line="50"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months ended June 30, 2024, respectively, compared to approximately $5.2 million and $10.5 million for the same periods ended June 30, 2023, respectively.</w:t>
      </w:r>
    </w:p>
    <w:p>
      <w:pPr>
        <w:spacing w:after="0" w:line="180"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Excluding the impact of any future acquisitions, the Company estimates amortization expense for the year ending December 31, 2024 to be approximately $ 18 million, for the year ending December 31, 2025 to be approximately $15 million, and for each of the years ending December 31, 2026, December 31, 2027, and December 31, 2028 to be approximately $3 million.</w:t>
      </w:r>
    </w:p>
    <w:p>
      <w:pPr>
        <w:spacing w:after="0" w:line="200" w:lineRule="exact"/>
        <w:rPr>
          <w:sz w:val="20"/>
          <w:szCs w:val="20"/>
          <w:color w:val="auto"/>
        </w:rPr>
      </w:pPr>
    </w:p>
    <w:p>
      <w:pPr>
        <w:spacing w:after="0" w:line="241"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Available for sale securities</w:t>
      </w:r>
    </w:p>
    <w:p>
      <w:pPr>
        <w:spacing w:after="0" w:line="15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The Company follows the provisions of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with respect to a company’s use of fair-value measurements, including the effect of such measurements on earnings. The cost of securities sold is based on the specific identification method.</w:t>
      </w:r>
    </w:p>
    <w:p>
      <w:pPr>
        <w:spacing w:after="0" w:line="11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determines the fair value of its government securities, asset-backed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90"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Company's certificates of deposit are classified as available for sale and are considered as Level 1 assets. These investments are carried at cost, which approximates fair value.</w:t>
      </w:r>
    </w:p>
    <w:p>
      <w:pPr>
        <w:spacing w:after="0" w:line="200" w:lineRule="exact"/>
        <w:rPr>
          <w:sz w:val="20"/>
          <w:szCs w:val="20"/>
          <w:color w:val="auto"/>
        </w:rPr>
      </w:pPr>
    </w:p>
    <w:p>
      <w:pPr>
        <w:spacing w:after="0" w:line="33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October 4, 2023, the Company entered into a Stock Purchase Agreement to acquire up to 3,137,500 shares of VOXX International Corporation ("VOXX") Class A Common Stock. The Company agreed to purchase the shares in two tranches: (1) on October 6, 2023, the Company purchased 1,568,750 shares of Class A Common Stock at a price of $10 per share, and (2) on January 5, 2024, the Company purchased 1,568,750 shares of Class A Common Stock at a price of $10 per share. The VOXX shares held by the Company are publicly traded and have a readily determinable fair market value and are considered Level 1 assets. As of June 30, 2024, the Company holds a total of 3,311,308 shares of VOXX. The investment is accounted for in accordance with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with changes in fair value recorded in Investment income, net in consolidated statements of income. During the three and six months ended June 30, 2024, the Company recorded $16.6 million and $23.8 million, respectively, of mark to market adjustments in investment income.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Investments</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 also periodically makes strategic investments in the non-marketable debt or equity securities of non-consolidated third parties ("Technology Investments"). Such Technology Investments totaled approximately $146.2 million as of June 30, 2024, of which $142.7 million and $3.5 million are recorded in long-term investments and short-term investments, respectively, on the consolidated balance sheet, and $128.0 million as of December 31, 2023, of which $124.6 million and $3.4 million are recorded in long-term investments and short-term investments, respectively, on the consolidated balance sheet. Depending on the form of investment, and the degree of influence the Company has over the investee, the Company primarily accounts for the Technology Investments in accordance with ASC 321, </w:t>
      </w:r>
      <w:r>
        <w:rPr>
          <w:rFonts w:ascii="Arial" w:cs="Arial" w:eastAsia="Arial" w:hAnsi="Arial"/>
          <w:sz w:val="18"/>
          <w:szCs w:val="18"/>
          <w:i w:val="1"/>
          <w:iCs w:val="1"/>
          <w:color w:val="auto"/>
        </w:rPr>
        <w:t>Investments- Equity Securities</w:t>
      </w:r>
      <w:r>
        <w:rPr>
          <w:rFonts w:ascii="Arial" w:cs="Arial" w:eastAsia="Arial" w:hAnsi="Arial"/>
          <w:sz w:val="18"/>
          <w:szCs w:val="18"/>
          <w:color w:val="auto"/>
        </w:rPr>
        <w:t xml:space="preserve"> or ASC 323 – </w:t>
      </w:r>
      <w:r>
        <w:rPr>
          <w:rFonts w:ascii="Arial" w:cs="Arial" w:eastAsia="Arial" w:hAnsi="Arial"/>
          <w:sz w:val="18"/>
          <w:szCs w:val="18"/>
          <w:i w:val="1"/>
          <w:iCs w:val="1"/>
          <w:color w:val="auto"/>
        </w:rPr>
        <w:t>Investments – Equity Method and Joint Venture</w:t>
      </w:r>
      <w:r>
        <w:rPr>
          <w:rFonts w:ascii="Arial" w:cs="Arial" w:eastAsia="Arial" w:hAnsi="Arial"/>
          <w:sz w:val="18"/>
          <w:szCs w:val="18"/>
          <w:color w:val="auto"/>
        </w:rPr>
        <w:t>. The Company accounts for equity securities in non-controlled affiliates through which the Company exercises significant influence but do not have control over the investee under the equity method, with the Company’s share of the earnings or losses of non-controlled affiliates recognized within Other (loss) income, net in the Company's consolidated statement of income. All other Technology Investments that the Company holds are primarily accounted for under the measurement alternative of ASC 321. Under the measurement alternative, the carrying value is measured at cost, less any impairment, plus or minus changes resulting from observable price changes in orderly transactions for identical or similar investments of the same issuer.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Assets or liabilities that have recurring fair value measurements are shown below as of June 30, 2024 and December 31, 2023: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gridSpan w:val="7"/>
          </w:tcPr>
          <w:p>
            <w:pPr>
              <w:jc w:val="center"/>
              <w:ind w:right="75"/>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7"/>
        </w:trPr>
        <w:tc>
          <w:tcPr>
            <w:tcW w:w="2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58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360" w:type="dxa"/>
            <w:vAlign w:val="bottom"/>
          </w:tcPr>
          <w:p>
            <w:pPr>
              <w:jc w:val="center"/>
              <w:ind w:right="135"/>
              <w:spacing w:after="0" w:line="147"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2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vMerge w:val="restart"/>
          </w:tcPr>
          <w:p>
            <w:pPr>
              <w:jc w:val="center"/>
              <w:ind w:right="173"/>
              <w:spacing w:after="0"/>
              <w:rPr>
                <w:sz w:val="20"/>
                <w:szCs w:val="20"/>
                <w:color w:val="auto"/>
              </w:rPr>
            </w:pPr>
            <w:r>
              <w:rPr>
                <w:rFonts w:ascii="Arial" w:cs="Arial" w:eastAsia="Arial" w:hAnsi="Arial"/>
                <w:sz w:val="14"/>
                <w:szCs w:val="14"/>
                <w:b w:val="1"/>
                <w:bCs w:val="1"/>
                <w:color w:val="auto"/>
                <w:w w:val="99"/>
              </w:rPr>
              <w:t>Total as of</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Active Markets for</w:t>
            </w:r>
          </w:p>
        </w:tc>
        <w:tc>
          <w:tcPr>
            <w:tcW w:w="180" w:type="dxa"/>
            <w:vAlign w:val="bottom"/>
          </w:tcPr>
          <w:p>
            <w:pPr>
              <w:spacing w:after="0"/>
              <w:rPr>
                <w:sz w:val="12"/>
                <w:szCs w:val="12"/>
                <w:color w:val="auto"/>
              </w:rPr>
            </w:pPr>
          </w:p>
        </w:tc>
        <w:tc>
          <w:tcPr>
            <w:tcW w:w="158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2"/>
                <w:szCs w:val="12"/>
                <w:color w:val="auto"/>
              </w:rPr>
            </w:pPr>
          </w:p>
        </w:tc>
        <w:tc>
          <w:tcPr>
            <w:tcW w:w="1360" w:type="dxa"/>
            <w:vAlign w:val="bottom"/>
          </w:tcPr>
          <w:p>
            <w:pPr>
              <w:jc w:val="center"/>
              <w:ind w:right="115"/>
              <w:spacing w:after="0" w:line="14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Identical Assets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June 30, 2024</w:t>
            </w: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tcPr>
          <w:p>
            <w:pPr>
              <w:jc w:val="center"/>
              <w:ind w:right="135"/>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260,241,951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260,241,951</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995,838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995,838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4,591,123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4,591,123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5,079,264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5,079,264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1,401,088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1,401,088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Asset Backed Securities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40,725,036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40,725,036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62,832,820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62,832,820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8,380,081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8,380,081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43,932,270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43,932,270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Common Stock</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10,463,734</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10,463,734</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438,643,205</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273,102,611</w:t>
            </w:r>
          </w:p>
        </w:tc>
        <w:tc>
          <w:tcPr>
            <w:tcW w:w="1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165,540,594</w:t>
            </w:r>
          </w:p>
        </w:tc>
        <w:tc>
          <w:tcPr>
            <w:tcW w:w="1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2" w:name="page13"/>
    <w:bookmarkEnd w:id="12"/>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60" w:type="dxa"/>
            <w:vAlign w:val="bottom"/>
            <w:tcBorders>
              <w:bottom w:val="single" w:sz="8" w:color="auto"/>
            </w:tcBorders>
            <w:gridSpan w:val="7"/>
          </w:tcPr>
          <w:p>
            <w:pPr>
              <w:jc w:val="center"/>
              <w:ind w:right="55"/>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7"/>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5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340" w:type="dxa"/>
            <w:vAlign w:val="bottom"/>
          </w:tcPr>
          <w:p>
            <w:pPr>
              <w:jc w:val="center"/>
              <w:ind w:right="115"/>
              <w:spacing w:after="0" w:line="147"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Active Markets for</w:t>
            </w:r>
          </w:p>
        </w:tc>
        <w:tc>
          <w:tcPr>
            <w:tcW w:w="160" w:type="dxa"/>
            <w:vAlign w:val="bottom"/>
          </w:tcPr>
          <w:p>
            <w:pPr>
              <w:spacing w:after="0"/>
              <w:rPr>
                <w:sz w:val="12"/>
                <w:szCs w:val="12"/>
                <w:color w:val="auto"/>
              </w:rPr>
            </w:pPr>
          </w:p>
        </w:tc>
        <w:tc>
          <w:tcPr>
            <w:tcW w:w="15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2"/>
                <w:szCs w:val="12"/>
                <w:color w:val="auto"/>
              </w:rPr>
            </w:pPr>
          </w:p>
        </w:tc>
        <w:tc>
          <w:tcPr>
            <w:tcW w:w="13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85"/>
        </w:trPr>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95"/>
        </w:trPr>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 2023</w:t>
            </w:r>
          </w:p>
        </w:tc>
        <w:tc>
          <w:tcPr>
            <w:tcW w:w="16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6"/>
                <w:szCs w:val="16"/>
                <w:color w:val="auto"/>
              </w:rPr>
            </w:pPr>
          </w:p>
        </w:tc>
        <w:tc>
          <w:tcPr>
            <w:tcW w:w="1340" w:type="dxa"/>
            <w:vAlign w:val="bottom"/>
          </w:tcPr>
          <w:p>
            <w:pPr>
              <w:jc w:val="center"/>
              <w:ind w:right="115"/>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226,435,019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226,435,019</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994,013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1,943,886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1,943,886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4,759,507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4,759,507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1,726,658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1,726,658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1,465,388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27,146,504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27,146,504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748,358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748,358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65,404,340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65,404,340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tcPr>
          <w:p>
            <w:pPr>
              <w:ind w:left="240"/>
              <w:spacing w:after="0"/>
              <w:rPr>
                <w:sz w:val="20"/>
                <w:szCs w:val="20"/>
                <w:color w:val="auto"/>
              </w:rPr>
            </w:pPr>
            <w:r>
              <w:rPr>
                <w:rFonts w:ascii="Arial" w:cs="Arial" w:eastAsia="Arial" w:hAnsi="Arial"/>
                <w:sz w:val="18"/>
                <w:szCs w:val="18"/>
                <w:color w:val="auto"/>
              </w:rPr>
              <w:t>Governmental Securities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6,227,129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6,227,129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56,336,921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56,336,921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18,610,519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18,610,519</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411,798,242</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248,253,297</w:t>
            </w:r>
          </w:p>
        </w:tc>
        <w:tc>
          <w:tcPr>
            <w:tcW w:w="1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163,544,945</w:t>
            </w:r>
          </w:p>
        </w:tc>
        <w:tc>
          <w:tcPr>
            <w:tcW w:w="1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unrealized gains and losses, and market value of investment securities are shown as of June 30, 2024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7"/>
        </w:trPr>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7"/>
                <w:szCs w:val="17"/>
                <w:color w:val="auto"/>
              </w:rPr>
            </w:pPr>
          </w:p>
        </w:tc>
        <w:tc>
          <w:tcPr>
            <w:tcW w:w="1480" w:type="dxa"/>
            <w:vAlign w:val="bottom"/>
          </w:tcPr>
          <w:p>
            <w:pPr>
              <w:jc w:val="right"/>
              <w:ind w:right="352"/>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(4,162)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995,838</w:t>
            </w: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4,608,148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4,591,123</w:t>
            </w: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5,137,053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(57,789)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5,079,264</w:t>
            </w: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1,401,088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1,401,088</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 Backed Securities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40,635,021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40,725,036</w:t>
            </w: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63,561,430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203,037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(931,647)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62,832,820</w:t>
            </w: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8,434,018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8,380,081</w:t>
            </w:r>
          </w:p>
        </w:tc>
      </w:tr>
      <w:tr>
        <w:trPr>
          <w:trHeight w:val="230"/>
        </w:trPr>
        <w:tc>
          <w:tcPr>
            <w:tcW w:w="3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45,668,584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216,797</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(1,953,111)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43,932,270</w:t>
            </w:r>
          </w:p>
        </w:tc>
      </w:tr>
      <w:tr>
        <w:trPr>
          <w:trHeight w:val="24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170,445,342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(3,288,765)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167,937,520</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3" w:name="page14"/>
    <w:bookmarkEnd w:id="13"/>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7"/>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42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260" w:type="dxa"/>
            <w:vAlign w:val="bottom"/>
          </w:tcPr>
          <w:p>
            <w:pPr>
              <w:spacing w:after="0"/>
              <w:rPr>
                <w:sz w:val="17"/>
                <w:szCs w:val="17"/>
                <w:color w:val="auto"/>
              </w:rPr>
            </w:pPr>
          </w:p>
        </w:tc>
        <w:tc>
          <w:tcPr>
            <w:tcW w:w="1460" w:type="dxa"/>
            <w:vAlign w:val="bottom"/>
          </w:tcPr>
          <w:p>
            <w:pPr>
              <w:jc w:val="right"/>
              <w:ind w:right="331"/>
              <w:spacing w:after="0"/>
              <w:rPr>
                <w:sz w:val="20"/>
                <w:szCs w:val="20"/>
                <w:color w:val="auto"/>
              </w:rPr>
            </w:pPr>
            <w:r>
              <w:rPr>
                <w:rFonts w:ascii="Arial" w:cs="Arial" w:eastAsia="Arial" w:hAnsi="Arial"/>
                <w:sz w:val="14"/>
                <w:szCs w:val="14"/>
                <w:b w:val="1"/>
                <w:bCs w:val="1"/>
                <w:color w:val="auto"/>
              </w:rPr>
              <w:t>Market Value</w:t>
            </w:r>
          </w:p>
        </w:tc>
      </w:tr>
      <w:tr>
        <w:trPr>
          <w:trHeight w:val="211"/>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29"/>
        </w:trPr>
        <w:tc>
          <w:tcPr>
            <w:tcW w:w="338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(5,987)</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994,013</w:t>
            </w:r>
          </w:p>
        </w:tc>
      </w:tr>
      <w:tr>
        <w:trPr>
          <w:trHeight w:val="230"/>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1,976,195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1,943,886</w:t>
            </w:r>
          </w:p>
        </w:tc>
      </w:tr>
      <w:tr>
        <w:trPr>
          <w:trHeight w:val="229"/>
        </w:trPr>
        <w:tc>
          <w:tcPr>
            <w:tcW w:w="338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4,754,495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21,141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4,759,507</w:t>
            </w:r>
          </w:p>
        </w:tc>
      </w:tr>
      <w:tr>
        <w:trPr>
          <w:trHeight w:val="230"/>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1,749,038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1,726,658</w:t>
            </w:r>
          </w:p>
        </w:tc>
      </w:tr>
      <w:tr>
        <w:trPr>
          <w:trHeight w:val="229"/>
        </w:trPr>
        <w:tc>
          <w:tcPr>
            <w:tcW w:w="3380" w:type="dxa"/>
            <w:vAlign w:val="bottom"/>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1,465,388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1,465,388</w:t>
            </w: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338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26,923,803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331,847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(109,146)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27,146,504</w:t>
            </w:r>
          </w:p>
        </w:tc>
      </w:tr>
      <w:tr>
        <w:trPr>
          <w:trHeight w:val="229"/>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748,358</w:t>
            </w:r>
          </w:p>
        </w:tc>
      </w:tr>
      <w:tr>
        <w:trPr>
          <w:trHeight w:val="229"/>
        </w:trPr>
        <w:tc>
          <w:tcPr>
            <w:tcW w:w="33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66,214,398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748,471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(1,558,529)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65,404,340</w:t>
            </w:r>
          </w:p>
        </w:tc>
      </w:tr>
      <w:tr>
        <w:trPr>
          <w:trHeight w:val="230"/>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6,217,774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6,227,129</w:t>
            </w:r>
          </w:p>
        </w:tc>
      </w:tr>
      <w:tr>
        <w:trPr>
          <w:trHeight w:val="229"/>
        </w:trPr>
        <w:tc>
          <w:tcPr>
            <w:tcW w:w="338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58,261,615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811,128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(2,735,822)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56,336,921</w:t>
            </w:r>
          </w:p>
        </w:tc>
      </w:tr>
      <w:tr>
        <w:trPr>
          <w:trHeight w:val="230"/>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17,324,886</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1,328,446</w:t>
            </w: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(42,813)</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18,610,519</w:t>
            </w: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186,637,592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3,251,708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(4,526,077)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185,363,223</w:t>
            </w:r>
          </w:p>
        </w:tc>
      </w:tr>
      <w:tr>
        <w:trPr>
          <w:trHeight w:val="21"/>
        </w:trPr>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available-for-sale securities as of June 30, 2024,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455,438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58,239,483</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2,833,327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62,929,099</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3,288,765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121,168,582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available-for-sale securities as of December 31, 2023,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126,074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13,449,592</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4,400,003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76,966,258</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4,526,077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90,415,850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Effective January 1, 2020, the Company adopted ASU 2016-13, </w:t>
      </w:r>
      <w:r>
        <w:rPr>
          <w:rFonts w:ascii="Arial" w:cs="Arial" w:eastAsia="Arial" w:hAnsi="Arial"/>
          <w:sz w:val="18"/>
          <w:szCs w:val="18"/>
          <w:i w:val="1"/>
          <w:iCs w:val="1"/>
          <w:color w:val="auto"/>
        </w:rPr>
        <w:t>Financial Instruments - 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on Financial Instrument</w:t>
      </w:r>
      <w:r>
        <w:rPr>
          <w:rFonts w:ascii="Arial" w:cs="Arial" w:eastAsia="Arial" w:hAnsi="Arial"/>
          <w:sz w:val="18"/>
          <w:szCs w:val="18"/>
          <w:color w:val="auto"/>
        </w:rPr>
        <w:t>s. The guidance modifies the impairment model for available-for-sale debt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 simplified accounting model for purchased financial assets with credit deterioration since their origination. The Company utilized the guidance provided by ASC 326 to determine whether any of the available-for-sale debt securities held by the Company were impaired. No investments were considered to be impaired during the periods presented. The Company has the intention and current ability to hold its debt investments until any amortized cost basis has been recovered.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0" w:type="dxa"/>
            <w:vAlign w:val="bottom"/>
          </w:tcPr>
          <w:p>
            <w:pPr>
              <w:spacing w:after="0"/>
              <w:rPr>
                <w:sz w:val="20"/>
                <w:szCs w:val="20"/>
                <w:color w:val="auto"/>
              </w:rPr>
            </w:pPr>
            <w:r>
              <w:rPr>
                <w:rFonts w:ascii="Arial" w:cs="Arial" w:eastAsia="Arial" w:hAnsi="Arial"/>
                <w:sz w:val="18"/>
                <w:szCs w:val="18"/>
                <w:color w:val="auto"/>
              </w:rPr>
              <w:t>Fixed</w:t>
            </w:r>
          </w:p>
        </w:tc>
        <w:tc>
          <w:tcPr>
            <w:tcW w:w="1080" w:type="dxa"/>
            <w:vAlign w:val="bottom"/>
          </w:tcPr>
          <w:p>
            <w:pPr>
              <w:ind w:left="200"/>
              <w:spacing w:after="0"/>
              <w:rPr>
                <w:sz w:val="20"/>
                <w:szCs w:val="20"/>
                <w:color w:val="auto"/>
              </w:rPr>
            </w:pPr>
            <w:r>
              <w:rPr>
                <w:rFonts w:ascii="Arial" w:cs="Arial" w:eastAsia="Arial" w:hAnsi="Arial"/>
                <w:sz w:val="18"/>
                <w:szCs w:val="18"/>
                <w:color w:val="auto"/>
              </w:rPr>
              <w:t>income</w:t>
            </w:r>
          </w:p>
        </w:tc>
        <w:tc>
          <w:tcPr>
            <w:tcW w:w="1060" w:type="dxa"/>
            <w:vAlign w:val="bottom"/>
          </w:tcPr>
          <w:p>
            <w:pPr>
              <w:ind w:left="80"/>
              <w:spacing w:after="0"/>
              <w:rPr>
                <w:sz w:val="20"/>
                <w:szCs w:val="20"/>
                <w:color w:val="auto"/>
              </w:rPr>
            </w:pPr>
            <w:r>
              <w:rPr>
                <w:rFonts w:ascii="Arial" w:cs="Arial" w:eastAsia="Arial" w:hAnsi="Arial"/>
                <w:sz w:val="18"/>
                <w:szCs w:val="18"/>
                <w:color w:val="auto"/>
              </w:rPr>
              <w:t>securities</w:t>
            </w:r>
          </w:p>
        </w:tc>
        <w:tc>
          <w:tcPr>
            <w:tcW w:w="540" w:type="dxa"/>
            <w:vAlign w:val="bottom"/>
          </w:tcPr>
          <w:p>
            <w:pPr>
              <w:ind w:left="160"/>
              <w:spacing w:after="0"/>
              <w:rPr>
                <w:sz w:val="20"/>
                <w:szCs w:val="20"/>
                <w:color w:val="auto"/>
              </w:rPr>
            </w:pPr>
            <w:r>
              <w:rPr>
                <w:rFonts w:ascii="Arial" w:cs="Arial" w:eastAsia="Arial" w:hAnsi="Arial"/>
                <w:sz w:val="18"/>
                <w:szCs w:val="18"/>
                <w:color w:val="auto"/>
              </w:rPr>
              <w:t>as</w:t>
            </w:r>
          </w:p>
        </w:tc>
        <w:tc>
          <w:tcPr>
            <w:tcW w:w="540" w:type="dxa"/>
            <w:vAlign w:val="bottom"/>
          </w:tcPr>
          <w:p>
            <w:pPr>
              <w:ind w:left="200"/>
              <w:spacing w:after="0"/>
              <w:rPr>
                <w:sz w:val="20"/>
                <w:szCs w:val="20"/>
                <w:color w:val="auto"/>
              </w:rPr>
            </w:pPr>
            <w:r>
              <w:rPr>
                <w:rFonts w:ascii="Arial" w:cs="Arial" w:eastAsia="Arial" w:hAnsi="Arial"/>
                <w:sz w:val="18"/>
                <w:szCs w:val="18"/>
                <w:color w:val="auto"/>
              </w:rPr>
              <w:t>of</w:t>
            </w:r>
          </w:p>
        </w:tc>
        <w:tc>
          <w:tcPr>
            <w:tcW w:w="760" w:type="dxa"/>
            <w:vAlign w:val="bottom"/>
          </w:tcPr>
          <w:p>
            <w:pPr>
              <w:ind w:left="180"/>
              <w:spacing w:after="0"/>
              <w:rPr>
                <w:sz w:val="20"/>
                <w:szCs w:val="20"/>
                <w:color w:val="auto"/>
              </w:rPr>
            </w:pPr>
            <w:r>
              <w:rPr>
                <w:rFonts w:ascii="Arial" w:cs="Arial" w:eastAsia="Arial" w:hAnsi="Arial"/>
                <w:sz w:val="18"/>
                <w:szCs w:val="18"/>
                <w:color w:val="auto"/>
              </w:rPr>
              <w:t>June</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2024</w:t>
            </w:r>
          </w:p>
        </w:tc>
        <w:tc>
          <w:tcPr>
            <w:tcW w:w="780" w:type="dxa"/>
            <w:vAlign w:val="bottom"/>
          </w:tcPr>
          <w:p>
            <w:pPr>
              <w:ind w:left="200"/>
              <w:spacing w:after="0"/>
              <w:rPr>
                <w:sz w:val="20"/>
                <w:szCs w:val="20"/>
                <w:color w:val="auto"/>
              </w:rPr>
            </w:pPr>
            <w:r>
              <w:rPr>
                <w:rFonts w:ascii="Arial" w:cs="Arial" w:eastAsia="Arial" w:hAnsi="Arial"/>
                <w:sz w:val="18"/>
                <w:szCs w:val="18"/>
                <w:color w:val="auto"/>
              </w:rPr>
              <w:t>have</w:t>
            </w:r>
          </w:p>
        </w:tc>
        <w:tc>
          <w:tcPr>
            <w:tcW w:w="1320" w:type="dxa"/>
            <w:vAlign w:val="bottom"/>
            <w:gridSpan w:val="2"/>
          </w:tcPr>
          <w:p>
            <w:pPr>
              <w:jc w:val="right"/>
              <w:ind w:right="170"/>
              <w:spacing w:after="0"/>
              <w:rPr>
                <w:sz w:val="20"/>
                <w:szCs w:val="20"/>
                <w:color w:val="auto"/>
              </w:rPr>
            </w:pPr>
            <w:r>
              <w:rPr>
                <w:rFonts w:ascii="Arial" w:cs="Arial" w:eastAsia="Arial" w:hAnsi="Arial"/>
                <w:sz w:val="18"/>
                <w:szCs w:val="18"/>
                <w:color w:val="auto"/>
              </w:rPr>
              <w:t>contractual</w:t>
            </w:r>
          </w:p>
        </w:tc>
        <w:tc>
          <w:tcPr>
            <w:tcW w:w="1100" w:type="dxa"/>
            <w:vAlign w:val="bottom"/>
          </w:tcPr>
          <w:p>
            <w:pPr>
              <w:ind w:left="120"/>
              <w:spacing w:after="0"/>
              <w:rPr>
                <w:sz w:val="20"/>
                <w:szCs w:val="20"/>
                <w:color w:val="auto"/>
              </w:rPr>
            </w:pPr>
            <w:r>
              <w:rPr>
                <w:rFonts w:ascii="Arial" w:cs="Arial" w:eastAsia="Arial" w:hAnsi="Arial"/>
                <w:sz w:val="18"/>
                <w:szCs w:val="18"/>
                <w:color w:val="auto"/>
              </w:rPr>
              <w:t>maturities</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as</w:t>
            </w:r>
          </w:p>
        </w:tc>
        <w:tc>
          <w:tcPr>
            <w:tcW w:w="760" w:type="dxa"/>
            <w:vAlign w:val="bottom"/>
          </w:tcPr>
          <w:p>
            <w:pPr>
              <w:ind w:left="160"/>
              <w:spacing w:after="0"/>
              <w:rPr>
                <w:sz w:val="20"/>
                <w:szCs w:val="20"/>
                <w:color w:val="auto"/>
              </w:rPr>
            </w:pPr>
            <w:r>
              <w:rPr>
                <w:rFonts w:ascii="Arial" w:cs="Arial" w:eastAsia="Arial" w:hAnsi="Arial"/>
                <w:sz w:val="18"/>
                <w:szCs w:val="18"/>
                <w:color w:val="auto"/>
                <w:w w:val="96"/>
              </w:rPr>
              <w:t>follows:</w:t>
            </w:r>
          </w:p>
        </w:tc>
      </w:tr>
      <w:tr>
        <w:trPr>
          <w:trHeight w:val="23"/>
        </w:trPr>
        <w:tc>
          <w:tcPr>
            <w:tcW w:w="17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10,666,225</w:t>
            </w:r>
          </w:p>
        </w:tc>
        <w:tc>
          <w:tcPr>
            <w:tcW w:w="760" w:type="dxa"/>
            <w:vAlign w:val="bottom"/>
          </w:tcPr>
          <w:p>
            <w:pPr>
              <w:spacing w:after="0"/>
              <w:rPr>
                <w:sz w:val="19"/>
                <w:szCs w:val="19"/>
                <w:color w:val="auto"/>
              </w:rPr>
            </w:pPr>
          </w:p>
        </w:tc>
      </w:tr>
      <w:tr>
        <w:trPr>
          <w:trHeight w:val="230"/>
        </w:trPr>
        <w:tc>
          <w:tcPr>
            <w:tcW w:w="2760" w:type="dxa"/>
            <w:vAlign w:val="bottom"/>
            <w:gridSpan w:val="3"/>
          </w:tcPr>
          <w:p>
            <w:pPr>
              <w:ind w:left="20"/>
              <w:spacing w:after="0"/>
              <w:rPr>
                <w:sz w:val="20"/>
                <w:szCs w:val="20"/>
                <w:color w:val="auto"/>
              </w:rPr>
            </w:pPr>
            <w:r>
              <w:rPr>
                <w:rFonts w:ascii="Arial" w:cs="Arial" w:eastAsia="Arial" w:hAnsi="Arial"/>
                <w:sz w:val="18"/>
                <w:szCs w:val="18"/>
                <w:color w:val="auto"/>
              </w:rPr>
              <w:t>Due between one and five years</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89,477,474</w:t>
            </w:r>
          </w:p>
        </w:tc>
        <w:tc>
          <w:tcPr>
            <w:tcW w:w="760" w:type="dxa"/>
            <w:vAlign w:val="bottom"/>
          </w:tcPr>
          <w:p>
            <w:pPr>
              <w:spacing w:after="0"/>
              <w:rPr>
                <w:sz w:val="19"/>
                <w:szCs w:val="19"/>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over five years</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66,392,732</w:t>
            </w:r>
          </w:p>
        </w:tc>
        <w:tc>
          <w:tcPr>
            <w:tcW w:w="76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166,536,431</w:t>
            </w:r>
          </w:p>
        </w:tc>
        <w:tc>
          <w:tcPr>
            <w:tcW w:w="76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80"/>
          </w:cols>
          <w:pgMar w:left="980" w:top="364"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Inventories, net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at the respective balance sheet dates:</w:t>
      </w:r>
    </w:p>
    <w:p>
      <w:pPr>
        <w:spacing w:after="0" w:line="59"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6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2024</w:t>
            </w:r>
          </w:p>
        </w:tc>
        <w:tc>
          <w:tcPr>
            <w:tcW w:w="160" w:type="dxa"/>
            <w:vAlign w:val="bottom"/>
          </w:tcPr>
          <w:p>
            <w:pPr>
              <w:spacing w:after="0"/>
              <w:rPr>
                <w:sz w:val="17"/>
                <w:szCs w:val="17"/>
                <w:color w:val="auto"/>
              </w:rPr>
            </w:pPr>
          </w:p>
        </w:tc>
        <w:tc>
          <w:tcPr>
            <w:tcW w:w="152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322,616,747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283,126,566</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52,272,636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46,343,955</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88,602,922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73,002,507</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463,492,305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402,473,028</w:t>
            </w: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 For a period of net loss, net loss is not allocated to participating securities.</w:t>
      </w:r>
    </w:p>
    <w:p>
      <w:pPr>
        <w:spacing w:after="0" w:line="210"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following table sets forth the computation of basic and diluted net income per common share under the two-class method for the three and six months ended June 30, 2024 and June 30, 2023:</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4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7"/>
                <w:szCs w:val="17"/>
                <w:color w:val="auto"/>
              </w:rPr>
            </w:pPr>
          </w:p>
        </w:tc>
        <w:tc>
          <w:tcPr>
            <w:tcW w:w="264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86,040,438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109,155,403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194,271,153</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206,733,664</w:t>
            </w: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Less: Dividends and undistributed earnings</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1,202,737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1,616,981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2,782,172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3,095,900</w:t>
            </w: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allocated to participating securities</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40"/>
              <w:spacing w:after="0"/>
              <w:rPr>
                <w:sz w:val="20"/>
                <w:szCs w:val="20"/>
                <w:color w:val="auto"/>
              </w:rPr>
            </w:pPr>
            <w:r>
              <w:rPr>
                <w:rFonts w:ascii="Arial" w:cs="Arial" w:eastAsia="Arial" w:hAnsi="Arial"/>
                <w:sz w:val="18"/>
                <w:szCs w:val="18"/>
                <w:color w:val="auto"/>
              </w:rPr>
              <w:t>Net Income available to common shareholders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84,837,701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107,538,422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191,488,981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203,637,764</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40"/>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227,377,169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230,005,782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227,490,367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230,135,955</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per share - Basic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40"/>
              <w:spacing w:after="0" w:line="176" w:lineRule="exact"/>
              <w:rPr>
                <w:sz w:val="20"/>
                <w:szCs w:val="20"/>
                <w:color w:val="auto"/>
              </w:rPr>
            </w:pPr>
            <w:r>
              <w:rPr>
                <w:rFonts w:ascii="Arial" w:cs="Arial" w:eastAsia="Arial" w:hAnsi="Arial"/>
                <w:sz w:val="18"/>
                <w:szCs w:val="18"/>
                <w:color w:val="auto"/>
              </w:rPr>
              <w:t>Allocation of Net Income used in basic</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84,837,701</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107,538,422</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191,488,981</w:t>
            </w:r>
          </w:p>
        </w:tc>
        <w:tc>
          <w:tcPr>
            <w:tcW w:w="8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203,637,764</w:t>
            </w:r>
          </w:p>
        </w:tc>
        <w:tc>
          <w:tcPr>
            <w:tcW w:w="0" w:type="dxa"/>
            <w:vAlign w:val="bottom"/>
          </w:tcPr>
          <w:p>
            <w:pPr>
              <w:spacing w:after="0"/>
              <w:rPr>
                <w:sz w:val="1"/>
                <w:szCs w:val="1"/>
                <w:color w:val="auto"/>
              </w:rPr>
            </w:pPr>
          </w:p>
        </w:tc>
      </w:tr>
      <w:tr>
        <w:trPr>
          <w:trHeight w:val="243"/>
        </w:trPr>
        <w:tc>
          <w:tcPr>
            <w:tcW w:w="4040" w:type="dxa"/>
            <w:vAlign w:val="bottom"/>
          </w:tcPr>
          <w:p>
            <w:pPr>
              <w:ind w:left="240"/>
              <w:spacing w:after="0"/>
              <w:rPr>
                <w:sz w:val="20"/>
                <w:szCs w:val="20"/>
                <w:color w:val="auto"/>
              </w:rPr>
            </w:pPr>
            <w:r>
              <w:rPr>
                <w:rFonts w:ascii="Arial" w:cs="Arial" w:eastAsia="Arial" w:hAnsi="Arial"/>
                <w:sz w:val="18"/>
                <w:szCs w:val="18"/>
                <w:color w:val="auto"/>
              </w:rPr>
              <w:t>computation</w:t>
            </w:r>
          </w:p>
        </w:tc>
        <w:tc>
          <w:tcPr>
            <w:tcW w:w="20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Reallocation of undistributed earnings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156"/>
        </w:trPr>
        <w:tc>
          <w:tcPr>
            <w:tcW w:w="4040" w:type="dxa"/>
            <w:vAlign w:val="bottom"/>
          </w:tcPr>
          <w:p>
            <w:pPr>
              <w:ind w:left="240"/>
              <w:spacing w:after="0" w:line="156" w:lineRule="exact"/>
              <w:rPr>
                <w:sz w:val="20"/>
                <w:szCs w:val="20"/>
                <w:color w:val="auto"/>
              </w:rPr>
            </w:pPr>
            <w:r>
              <w:rPr>
                <w:rFonts w:ascii="Arial" w:cs="Arial" w:eastAsia="Arial" w:hAnsi="Arial"/>
                <w:sz w:val="18"/>
                <w:szCs w:val="18"/>
                <w:color w:val="auto"/>
              </w:rPr>
              <w:t>Net Income available to common shareholders</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84,839,279</w:t>
            </w:r>
          </w:p>
        </w:tc>
        <w:tc>
          <w:tcPr>
            <w:tcW w:w="10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107,539,569</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191,492,949</w:t>
            </w:r>
          </w:p>
        </w:tc>
        <w:tc>
          <w:tcPr>
            <w:tcW w:w="8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203,640,226</w:t>
            </w:r>
          </w:p>
        </w:tc>
        <w:tc>
          <w:tcPr>
            <w:tcW w:w="0" w:type="dxa"/>
            <w:vAlign w:val="bottom"/>
          </w:tcPr>
          <w:p>
            <w:pPr>
              <w:spacing w:after="0"/>
              <w:rPr>
                <w:sz w:val="1"/>
                <w:szCs w:val="1"/>
                <w:color w:val="auto"/>
              </w:rPr>
            </w:pPr>
          </w:p>
        </w:tc>
      </w:tr>
      <w:tr>
        <w:trPr>
          <w:trHeight w:val="243"/>
        </w:trPr>
        <w:tc>
          <w:tcPr>
            <w:tcW w:w="4040" w:type="dxa"/>
            <w:vAlign w:val="bottom"/>
          </w:tcPr>
          <w:p>
            <w:pPr>
              <w:ind w:left="240"/>
              <w:spacing w:after="0"/>
              <w:rPr>
                <w:sz w:val="20"/>
                <w:szCs w:val="20"/>
                <w:color w:val="auto"/>
              </w:rPr>
            </w:pPr>
            <w:r>
              <w:rPr>
                <w:rFonts w:ascii="Arial" w:cs="Arial" w:eastAsia="Arial" w:hAnsi="Arial"/>
                <w:sz w:val="18"/>
                <w:szCs w:val="18"/>
                <w:color w:val="auto"/>
              </w:rPr>
              <w:t>- Diluted</w:t>
            </w:r>
          </w:p>
        </w:tc>
        <w:tc>
          <w:tcPr>
            <w:tcW w:w="20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4" w:right="339" w:bottom="1440" w:gutter="0" w:footer="0" w:header="0"/>
        </w:sectPr>
      </w:pPr>
    </w:p>
    <w:p>
      <w:pPr>
        <w:ind w:left="900"/>
        <w:spacing w:after="0"/>
        <w:rPr>
          <w:sz w:val="20"/>
          <w:szCs w:val="20"/>
          <w:color w:val="auto"/>
        </w:rPr>
      </w:pPr>
      <w:r>
        <w:rPr>
          <w:rFonts w:ascii="Arial" w:cs="Arial" w:eastAsia="Arial" w:hAnsi="Arial"/>
          <w:sz w:val="18"/>
          <w:szCs w:val="18"/>
          <w:color w:val="auto"/>
        </w:rPr>
        <w:t>Number of shares used in basic computation</w:t>
      </w:r>
    </w:p>
    <w:p>
      <w:pPr>
        <w:spacing w:after="0" w:line="27" w:lineRule="exact"/>
        <w:rPr>
          <w:sz w:val="20"/>
          <w:szCs w:val="20"/>
          <w:color w:val="auto"/>
        </w:rPr>
      </w:pPr>
    </w:p>
    <w:p>
      <w:pPr>
        <w:ind w:left="1000"/>
        <w:spacing w:after="0" w:line="234" w:lineRule="auto"/>
        <w:rPr>
          <w:sz w:val="20"/>
          <w:szCs w:val="20"/>
          <w:color w:val="auto"/>
        </w:rPr>
      </w:pPr>
      <w:r>
        <w:rPr>
          <w:rFonts w:ascii="Arial" w:cs="Arial" w:eastAsia="Arial" w:hAnsi="Arial"/>
          <w:sz w:val="18"/>
          <w:szCs w:val="18"/>
          <w:color w:val="auto"/>
        </w:rPr>
        <w:t>Additional weighted average dilutive common stock equivalents</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Diluted weighted average shares outstanding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520" w:type="dxa"/>
            <w:vAlign w:val="bottom"/>
          </w:tcPr>
          <w:p>
            <w:pPr>
              <w:jc w:val="right"/>
              <w:ind w:right="130"/>
              <w:spacing w:after="0"/>
              <w:rPr>
                <w:sz w:val="20"/>
                <w:szCs w:val="20"/>
                <w:color w:val="auto"/>
              </w:rPr>
            </w:pPr>
            <w:r>
              <w:rPr>
                <w:rFonts w:ascii="Arial" w:cs="Arial" w:eastAsia="Arial" w:hAnsi="Arial"/>
                <w:sz w:val="18"/>
                <w:szCs w:val="18"/>
                <w:color w:val="auto"/>
              </w:rPr>
              <w:t>227,377,169</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230,005,782</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227,490,367</w:t>
            </w:r>
          </w:p>
        </w:tc>
        <w:tc>
          <w:tcPr>
            <w:tcW w:w="1300" w:type="dxa"/>
            <w:vAlign w:val="bottom"/>
          </w:tcPr>
          <w:p>
            <w:pPr>
              <w:jc w:val="right"/>
              <w:spacing w:after="0"/>
              <w:rPr>
                <w:sz w:val="20"/>
                <w:szCs w:val="20"/>
                <w:color w:val="auto"/>
              </w:rPr>
            </w:pPr>
            <w:r>
              <w:rPr>
                <w:rFonts w:ascii="Arial" w:cs="Arial" w:eastAsia="Arial" w:hAnsi="Arial"/>
                <w:sz w:val="18"/>
                <w:szCs w:val="18"/>
                <w:color w:val="auto"/>
              </w:rPr>
              <w:t>230,135,955</w:t>
            </w:r>
          </w:p>
        </w:tc>
      </w:tr>
      <w:tr>
        <w:trPr>
          <w:trHeight w:val="409"/>
        </w:trPr>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431,760</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222,568</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454,753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255,153</w:t>
            </w:r>
          </w:p>
        </w:tc>
      </w:tr>
      <w:tr>
        <w:trPr>
          <w:trHeight w:val="223"/>
        </w:trPr>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227,808,929</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230,228,350</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227,945,120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230,391,108</w:t>
            </w:r>
          </w:p>
        </w:tc>
      </w:tr>
      <w:tr>
        <w:trPr>
          <w:trHeight w:val="21"/>
        </w:trPr>
        <w:tc>
          <w:tcPr>
            <w:tcW w:w="1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-453390</wp:posOffset>
            </wp:positionV>
            <wp:extent cx="624078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40780" cy="26543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600" w:space="100"/>
            <w:col w:w="6540"/>
          </w:cols>
          <w:pgMar w:left="320" w:top="364" w:right="339" w:bottom="1440" w:gutter="0" w:footer="0" w:header="0"/>
          <w:type w:val="continuous"/>
        </w:sectPr>
      </w:pPr>
    </w:p>
    <w:tbl>
      <w:tblPr>
        <w:tblLayout w:type="fixed"/>
        <w:tblInd w:w="660" w:type="dxa"/>
        <w:tblCellMar>
          <w:top w:w="0" w:type="dxa"/>
          <w:left w:w="0" w:type="dxa"/>
          <w:bottom w:w="0" w:type="dxa"/>
          <w:right w:w="0" w:type="dxa"/>
        </w:tblCellMar>
      </w:tblPr>
      <w:tr>
        <w:trPr>
          <w:trHeight w:val="223"/>
        </w:trPr>
        <w:tc>
          <w:tcPr>
            <w:tcW w:w="3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40"/>
              <w:spacing w:after="0"/>
              <w:rPr>
                <w:sz w:val="20"/>
                <w:szCs w:val="20"/>
                <w:color w:val="auto"/>
              </w:rPr>
            </w:pPr>
            <w:r>
              <w:rPr>
                <w:rFonts w:ascii="Arial" w:cs="Arial" w:eastAsia="Arial" w:hAnsi="Arial"/>
                <w:sz w:val="18"/>
                <w:szCs w:val="18"/>
                <w:color w:val="auto"/>
              </w:rPr>
              <w:t>Net Income per share - Diluted</w:t>
            </w: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0.47</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0.84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70"/>
        </w:trPr>
        <w:tc>
          <w:tcPr>
            <w:tcW w:w="38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800" w:type="dxa"/>
            <w:vAlign w:val="bottom"/>
          </w:tcPr>
          <w:p>
            <w:pPr>
              <w:ind w:left="20"/>
              <w:spacing w:after="0" w:line="176" w:lineRule="exact"/>
              <w:rPr>
                <w:sz w:val="20"/>
                <w:szCs w:val="20"/>
                <w:color w:val="auto"/>
              </w:rPr>
            </w:pPr>
            <w:r>
              <w:rPr>
                <w:rFonts w:ascii="Arial" w:cs="Arial" w:eastAsia="Arial" w:hAnsi="Arial"/>
                <w:sz w:val="18"/>
                <w:szCs w:val="18"/>
                <w:color w:val="auto"/>
              </w:rPr>
              <w:t>Shares related to stock plans not included in</w:t>
            </w: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00" w:type="dxa"/>
            <w:vAlign w:val="bottom"/>
          </w:tcPr>
          <w:p>
            <w:pPr>
              <w:ind w:left="20"/>
              <w:spacing w:after="0" w:line="183" w:lineRule="exact"/>
              <w:rPr>
                <w:sz w:val="20"/>
                <w:szCs w:val="20"/>
                <w:color w:val="auto"/>
              </w:rPr>
            </w:pPr>
            <w:r>
              <w:rPr>
                <w:rFonts w:ascii="Arial" w:cs="Arial" w:eastAsia="Arial" w:hAnsi="Arial"/>
                <w:sz w:val="18"/>
                <w:szCs w:val="18"/>
                <w:color w:val="auto"/>
              </w:rPr>
              <w:t>diluted average common shares outstanding</w:t>
            </w:r>
          </w:p>
        </w:tc>
        <w:tc>
          <w:tcPr>
            <w:tcW w:w="6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435,981</w:t>
            </w:r>
          </w:p>
        </w:tc>
        <w:tc>
          <w:tcPr>
            <w:tcW w:w="400" w:type="dxa"/>
            <w:vAlign w:val="bottom"/>
          </w:tcPr>
          <w:p>
            <w:pPr>
              <w:spacing w:after="0"/>
              <w:rPr>
                <w:sz w:val="15"/>
                <w:szCs w:val="15"/>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2,355,346</w:t>
            </w:r>
          </w:p>
        </w:tc>
        <w:tc>
          <w:tcPr>
            <w:tcW w:w="460" w:type="dxa"/>
            <w:vAlign w:val="bottom"/>
          </w:tcPr>
          <w:p>
            <w:pPr>
              <w:spacing w:after="0"/>
              <w:rPr>
                <w:sz w:val="15"/>
                <w:szCs w:val="15"/>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422,639</w:t>
            </w:r>
          </w:p>
        </w:tc>
        <w:tc>
          <w:tcPr>
            <w:tcW w:w="3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1,549,824</w:t>
            </w:r>
          </w:p>
        </w:tc>
        <w:tc>
          <w:tcPr>
            <w:tcW w:w="0" w:type="dxa"/>
            <w:vAlign w:val="bottom"/>
          </w:tcPr>
          <w:p>
            <w:pPr>
              <w:spacing w:after="0"/>
              <w:rPr>
                <w:sz w:val="1"/>
                <w:szCs w:val="1"/>
                <w:color w:val="auto"/>
              </w:rPr>
            </w:pPr>
          </w:p>
        </w:tc>
      </w:tr>
      <w:tr>
        <w:trPr>
          <w:trHeight w:val="239"/>
        </w:trPr>
        <w:tc>
          <w:tcPr>
            <w:tcW w:w="3800" w:type="dxa"/>
            <w:vAlign w:val="bottom"/>
          </w:tcPr>
          <w:p>
            <w:pPr>
              <w:ind w:left="20"/>
              <w:spacing w:after="0"/>
              <w:rPr>
                <w:sz w:val="20"/>
                <w:szCs w:val="20"/>
                <w:color w:val="auto"/>
              </w:rPr>
            </w:pPr>
            <w:r>
              <w:rPr>
                <w:rFonts w:ascii="Arial" w:cs="Arial" w:eastAsia="Arial" w:hAnsi="Arial"/>
                <w:sz w:val="18"/>
                <w:szCs w:val="18"/>
                <w:color w:val="auto"/>
              </w:rPr>
              <w:t>because their effect would be anti-dilutive</w:t>
            </w:r>
          </w:p>
        </w:tc>
        <w:tc>
          <w:tcPr>
            <w:tcW w:w="6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Stock-Based Compensation Plans</w:t>
      </w:r>
    </w:p>
    <w:p>
      <w:pPr>
        <w:spacing w:after="0" w:line="144"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As of June 30, 2024, the Company had two equity incentive plans, which include the Gentex Corporation 2019 Omnibus Incentive Plan ("2019 Omnibus Plan"), and an employee stock purchase plan. Those plans and any prior material amendments thereto have previously been approved by shareholders.</w:t>
      </w:r>
    </w:p>
    <w:p>
      <w:pPr>
        <w:spacing w:after="0" w:line="103"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awards and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6" w:name="page17"/>
    <w:bookmarkEnd w:id="16"/>
    <w:p>
      <w:pPr>
        <w:jc w:val="center"/>
        <w:ind w:right="636"/>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8"/>
          <w:szCs w:val="18"/>
          <w:color w:val="auto"/>
        </w:rPr>
        <w:t xml:space="preserve">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the consolidated financial statements in the Company's Annual Report on Form 10-K for the calendar year ended December 31, 2023, for additional information related to the Prior Plans.</w:t>
      </w:r>
    </w:p>
    <w:p>
      <w:pPr>
        <w:spacing w:after="0" w:line="72" w:lineRule="exact"/>
        <w:rPr>
          <w:sz w:val="20"/>
          <w:szCs w:val="20"/>
          <w:color w:val="auto"/>
        </w:rPr>
      </w:pPr>
    </w:p>
    <w:p>
      <w:pPr>
        <w:jc w:val="both"/>
        <w:ind w:left="4"/>
        <w:spacing w:after="0" w:line="262" w:lineRule="auto"/>
        <w:rPr>
          <w:sz w:val="20"/>
          <w:szCs w:val="20"/>
          <w:color w:val="auto"/>
        </w:rPr>
      </w:pPr>
      <w:r>
        <w:rPr>
          <w:rFonts w:ascii="Arial" w:cs="Arial" w:eastAsia="Arial" w:hAnsi="Arial"/>
          <w:sz w:val="18"/>
          <w:szCs w:val="18"/>
          <w:color w:val="auto"/>
        </w:rPr>
        <w:t>The Company recognized total compensation expense for share-based payments of $10,964,419 and $21,451,680 for the three and six months ended June 30, 2024, respectively. The Company recognized compensation expense for share-based payments of $9,744,670 and $18,264,205 for the three and six months ended June 30, 2023, respectively. A portion of the compensation cost for share based payment awards is capitalized as part of inventory.</w:t>
      </w:r>
    </w:p>
    <w:p>
      <w:pPr>
        <w:spacing w:after="0" w:line="10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2019 Omnibus Incentive Plan</w:t>
      </w:r>
    </w:p>
    <w:p>
      <w:pPr>
        <w:spacing w:after="0" w:line="252"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The purpose of the 2019 Omnibus Plan is to attract and retain employees, officers, and directors of the Company and its subsidiaries and to motivate and provide such persons incentives and rewards for performance. Pursuant to the terms of the 2019 Omnibus Plan, each type of award counts against the available shares based on a predetermined conversion rate (shown in the table below). As of June 30, 2024, 10,767,342 share awards have been made under the Plan, resulting in 28,493,236 shares granted of the 45,000,000 total shares available to be issued under the Plan. The shares issued are presented net of shares from canceled/expired options and shares.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388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Shares Granted</w:t>
            </w:r>
          </w:p>
        </w:tc>
        <w:tc>
          <w:tcPr>
            <w:tcW w:w="10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vMerge w:val="restart"/>
            <w:shd w:val="clear" w:color="auto" w:fill="CCEEFF"/>
          </w:tcPr>
          <w:p>
            <w:pPr>
              <w:jc w:val="right"/>
              <w:ind w:right="319"/>
              <w:spacing w:after="0"/>
              <w:rPr>
                <w:sz w:val="20"/>
                <w:szCs w:val="20"/>
                <w:color w:val="auto"/>
              </w:rPr>
            </w:pPr>
            <w:r>
              <w:rPr>
                <w:rFonts w:ascii="Arial" w:cs="Arial" w:eastAsia="Arial" w:hAnsi="Arial"/>
                <w:sz w:val="14"/>
                <w:szCs w:val="14"/>
                <w:b w:val="1"/>
                <w:bCs w:val="1"/>
                <w:color w:val="auto"/>
              </w:rPr>
              <w:t>Conversion Rate</w:t>
            </w:r>
          </w:p>
        </w:tc>
        <w:tc>
          <w:tcPr>
            <w:tcW w:w="120" w:type="dxa"/>
            <w:vAlign w:val="bottom"/>
            <w:tcBorders>
              <w:top w:val="single" w:sz="8" w:color="CCEEFF"/>
            </w:tcBorders>
            <w:vMerge w:val="restart"/>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4"/>
                <w:szCs w:val="14"/>
                <w:b w:val="1"/>
                <w:bCs w:val="1"/>
                <w:color w:val="auto"/>
              </w:rPr>
              <w:t>Total Shares Under 2019</w:t>
            </w:r>
          </w:p>
        </w:tc>
        <w:tc>
          <w:tcPr>
            <w:tcW w:w="0" w:type="dxa"/>
            <w:vAlign w:val="bottom"/>
          </w:tcPr>
          <w:p>
            <w:pPr>
              <w:spacing w:after="0"/>
              <w:rPr>
                <w:sz w:val="1"/>
                <w:szCs w:val="1"/>
                <w:color w:val="auto"/>
              </w:rPr>
            </w:pPr>
          </w:p>
        </w:tc>
      </w:tr>
      <w:tr>
        <w:trPr>
          <w:trHeight w:val="185"/>
        </w:trPr>
        <w:tc>
          <w:tcPr>
            <w:tcW w:w="3880" w:type="dxa"/>
            <w:vAlign w:val="bottom"/>
            <w:shd w:val="clear" w:color="auto" w:fill="CCEEFF"/>
          </w:tcPr>
          <w:p>
            <w:pPr>
              <w:spacing w:after="0"/>
              <w:rPr>
                <w:sz w:val="16"/>
                <w:szCs w:val="16"/>
                <w:color w:val="auto"/>
              </w:rPr>
            </w:pPr>
          </w:p>
        </w:tc>
        <w:tc>
          <w:tcPr>
            <w:tcW w:w="1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4"/>
                <w:szCs w:val="14"/>
                <w:b w:val="1"/>
                <w:bCs w:val="1"/>
                <w:color w:val="auto"/>
              </w:rPr>
              <w:t>Omnibus Plan</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color w:val="auto"/>
              </w:rPr>
              <w:t>Non-Qualified Stock Options</w:t>
            </w:r>
          </w:p>
        </w:tc>
        <w:tc>
          <w:tcPr>
            <w:tcW w:w="1960" w:type="dxa"/>
            <w:vAlign w:val="bottom"/>
          </w:tcPr>
          <w:p>
            <w:pPr>
              <w:jc w:val="right"/>
              <w:spacing w:after="0"/>
              <w:rPr>
                <w:sz w:val="20"/>
                <w:szCs w:val="20"/>
                <w:color w:val="auto"/>
              </w:rPr>
            </w:pPr>
            <w:r>
              <w:rPr>
                <w:rFonts w:ascii="Arial" w:cs="Arial" w:eastAsia="Arial" w:hAnsi="Arial"/>
                <w:sz w:val="18"/>
                <w:szCs w:val="18"/>
                <w:color w:val="auto"/>
              </w:rPr>
              <w:t>4,974,566</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4,974,566</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4,784,639</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19,425,634</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Performance Shares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1,008,137</w:t>
            </w:r>
          </w:p>
        </w:tc>
        <w:tc>
          <w:tcPr>
            <w:tcW w:w="2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4,093,036</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10,767,342</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28,493,236</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Employee Stock Options</w:t>
      </w:r>
    </w:p>
    <w:p>
      <w:pPr>
        <w:spacing w:after="0" w:line="158" w:lineRule="exact"/>
        <w:rPr>
          <w:sz w:val="20"/>
          <w:szCs w:val="20"/>
          <w:color w:val="auto"/>
        </w:rPr>
      </w:pPr>
    </w:p>
    <w:p>
      <w:pPr>
        <w:jc w:val="both"/>
        <w:ind w:left="4"/>
        <w:spacing w:after="0" w:line="262" w:lineRule="auto"/>
        <w:rPr>
          <w:sz w:val="20"/>
          <w:szCs w:val="20"/>
          <w:color w:val="auto"/>
        </w:rPr>
      </w:pPr>
      <w:r>
        <w:rPr>
          <w:rFonts w:ascii="Arial" w:cs="Arial" w:eastAsia="Arial" w:hAnsi="Arial"/>
          <w:sz w:val="18"/>
          <w:szCs w:val="18"/>
          <w:color w:val="auto"/>
        </w:rPr>
        <w:t>Under the 2019 Omnibus Plan and the Employee Stock Option Plan, the option exercise price equals the stock’s market price on the date of grant. The options vest after one to five years and expire after five to ten years. As of June 30, 2024, there was $6,433,486 of unearned compensation cost associated with stock options granted under the 2019 Omnibus Incentive Plan and the Employee Stock Option Plan, which is expected to be recognized over the remaining vesting periods.</w:t>
      </w:r>
    </w:p>
    <w:p>
      <w:pPr>
        <w:spacing w:after="0" w:line="109" w:lineRule="exact"/>
        <w:rPr>
          <w:sz w:val="20"/>
          <w:szCs w:val="20"/>
          <w:color w:val="auto"/>
        </w:rPr>
      </w:pPr>
    </w:p>
    <w:p>
      <w:pPr>
        <w:ind w:left="4" w:right="740"/>
        <w:spacing w:after="0" w:line="287"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for the indicated periods:</w:t>
      </w:r>
    </w:p>
    <w:p>
      <w:pPr>
        <w:spacing w:after="0" w:line="122" w:lineRule="exact"/>
        <w:rPr>
          <w:sz w:val="20"/>
          <w:szCs w:val="20"/>
          <w:color w:val="auto"/>
        </w:rPr>
      </w:pPr>
    </w:p>
    <w:tbl>
      <w:tblPr>
        <w:tblLayout w:type="fixed"/>
        <w:tblInd w:w="4" w:type="dxa"/>
        <w:tblCellMar>
          <w:top w:w="0" w:type="dxa"/>
          <w:left w:w="0" w:type="dxa"/>
          <w:bottom w:w="0" w:type="dxa"/>
          <w:right w:w="0" w:type="dxa"/>
        </w:tblCellMar>
      </w:tblPr>
      <w:tr>
        <w:trPr>
          <w:trHeight w:val="197"/>
        </w:trPr>
        <w:tc>
          <w:tcPr>
            <w:tcW w:w="3360" w:type="dxa"/>
            <w:vAlign w:val="bottom"/>
          </w:tcPr>
          <w:p>
            <w:pPr>
              <w:spacing w:after="0"/>
              <w:rPr>
                <w:sz w:val="17"/>
                <w:szCs w:val="17"/>
                <w:color w:val="auto"/>
              </w:rPr>
            </w:pPr>
          </w:p>
        </w:tc>
        <w:tc>
          <w:tcPr>
            <w:tcW w:w="3280" w:type="dxa"/>
            <w:vAlign w:val="bottom"/>
            <w:gridSpan w:val="4"/>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3180" w:type="dxa"/>
            <w:vAlign w:val="bottom"/>
            <w:gridSpan w:val="3"/>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36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r>
      <w:tr>
        <w:trPr>
          <w:trHeight w:val="224"/>
        </w:trPr>
        <w:tc>
          <w:tcPr>
            <w:tcW w:w="33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1.76 %</w:t>
            </w:r>
          </w:p>
        </w:tc>
      </w:tr>
      <w:tr>
        <w:trPr>
          <w:trHeight w:val="230"/>
        </w:trPr>
        <w:tc>
          <w:tcPr>
            <w:tcW w:w="3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tc>
        <w:tc>
          <w:tcPr>
            <w:tcW w:w="1520" w:type="dxa"/>
            <w:vAlign w:val="bottom"/>
          </w:tcPr>
          <w:p>
            <w:pPr>
              <w:jc w:val="right"/>
              <w:spacing w:after="0"/>
              <w:rPr>
                <w:sz w:val="20"/>
                <w:szCs w:val="20"/>
                <w:color w:val="auto"/>
              </w:rPr>
            </w:pPr>
            <w:r>
              <w:rPr>
                <w:rFonts w:ascii="Arial" w:cs="Arial" w:eastAsia="Arial" w:hAnsi="Arial"/>
                <w:sz w:val="18"/>
                <w:szCs w:val="18"/>
                <w:color w:val="auto"/>
              </w:rPr>
              <w:t>28.00 %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28.97 %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28.15 %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29.01 %</w:t>
            </w:r>
          </w:p>
        </w:tc>
      </w:tr>
      <w:tr>
        <w:trPr>
          <w:trHeight w:val="230"/>
        </w:trPr>
        <w:tc>
          <w:tcPr>
            <w:tcW w:w="3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3.87 %</w:t>
            </w:r>
          </w:p>
        </w:tc>
      </w:tr>
      <w:tr>
        <w:trPr>
          <w:trHeight w:val="230"/>
        </w:trPr>
        <w:tc>
          <w:tcPr>
            <w:tcW w:w="3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term of options (years) </w:t>
            </w:r>
            <w:r>
              <w:rPr>
                <w:rFonts w:ascii="Arial" w:cs="Arial" w:eastAsia="Arial" w:hAnsi="Arial"/>
                <w:sz w:val="23"/>
                <w:szCs w:val="23"/>
                <w:color w:val="auto"/>
                <w:vertAlign w:val="superscript"/>
              </w:rPr>
              <w:t>(4)</w:t>
            </w:r>
          </w:p>
        </w:tc>
        <w:tc>
          <w:tcPr>
            <w:tcW w:w="152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Weighted-avg. grant date fair value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r>
    </w:tbl>
    <w:p>
      <w:pPr>
        <w:spacing w:after="0" w:line="56" w:lineRule="exact"/>
        <w:rPr>
          <w:sz w:val="20"/>
          <w:szCs w:val="20"/>
          <w:color w:val="auto"/>
        </w:rPr>
      </w:pPr>
    </w:p>
    <w:p>
      <w:pPr>
        <w:ind w:left="324" w:hanging="324"/>
        <w:spacing w:after="0"/>
        <w:tabs>
          <w:tab w:leader="none" w:pos="324"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Represents the Company’s estimated cash dividend yield over the expected term of option grant.</w:t>
      </w:r>
    </w:p>
    <w:p>
      <w:pPr>
        <w:ind w:left="324" w:right="260" w:hanging="324"/>
        <w:spacing w:after="0" w:line="213" w:lineRule="auto"/>
        <w:tabs>
          <w:tab w:leader="none" w:pos="321"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ind w:left="324" w:hanging="324"/>
        <w:spacing w:after="0"/>
        <w:tabs>
          <w:tab w:leader="none" w:pos="324"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the U.S. Treasury yield over the expected term of the option grant.</w:t>
      </w:r>
    </w:p>
    <w:p>
      <w:pPr>
        <w:spacing w:after="0" w:line="14" w:lineRule="exact"/>
        <w:rPr>
          <w:rFonts w:ascii="Arial" w:cs="Arial" w:eastAsia="Arial" w:hAnsi="Arial"/>
          <w:sz w:val="9"/>
          <w:szCs w:val="9"/>
          <w:color w:val="auto"/>
        </w:rPr>
      </w:pPr>
    </w:p>
    <w:p>
      <w:pPr>
        <w:ind w:left="324" w:right="20" w:hanging="324"/>
        <w:spacing w:after="0" w:line="222" w:lineRule="auto"/>
        <w:tabs>
          <w:tab w:leader="none" w:pos="321"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200" w:lineRule="exact"/>
        <w:rPr>
          <w:sz w:val="20"/>
          <w:szCs w:val="20"/>
          <w:color w:val="auto"/>
        </w:rPr>
      </w:pPr>
    </w:p>
    <w:p>
      <w:pPr>
        <w:spacing w:after="0" w:line="23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Restricted Shares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364" w:right="339" w:bottom="1440" w:gutter="0" w:footer="0" w:header="0"/>
        </w:sectPr>
      </w:pPr>
    </w:p>
    <w:bookmarkStart w:id="17" w:name="page18"/>
    <w:bookmarkEnd w:id="17"/>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Restricted shares awarded under the 2019 Omnibus Plan and the Second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such plans. As of June 30, 2024, the Company had unearned stock-based compensation of $51,380,007 associated with the restricted stock grants issued under the 2019 Omnibus Plan and the Second Restricted Stock Plan. The unearned stock-based compensation related to these grants is being amortized to compensation expense over the applicable restriction periods. Compensation expense from restricted stock grants in the three and six months ended June 30, 2024 was $6,883,839 and $13,571,180, respectively. Compensation expense from restricted stock grants in the three and six months ended June 30, 2023 was $5,862,755 and $11,808,809, respectively.</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Shares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average closing stock price on the twenty days preceding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2024, the Company had unearned stock-based compensation of $18,244,290 associated with these performance share grants. The unearned stock-based compensation related to these grants is being amortized to compensation expense over the applicable performance periods. Compensation expense related to these performance share grants in the three and six months ended June 30, 2024 was $2,023,635 and $3,796,264, respectively. Compensation expense related to these performance share grants in the three and six months ended June 30, 2023 was $1,635,022 and $2,137,228, respectively.</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its objective of attracting and retaining management to fulfill the Company's strategic goals, the Compensation Committee recommended and the Board approved on February 16, 2023, a retention grant of performance share awards ("PSAs"). In addition to the retention of management, the PSAs have been granted to further align management goals with those of the Company's shareholders. For that reason, the PSAs have been granted with performance criteria and will be based upon achievement of the Company's relative total shareholder return ("TSR") over a four year period (2023-2026), against a predetermined peer group. The grant date fair value of PSAs with TSR targets was determined using a Monte Carlo simulation. Compensation expense related to these retention grants in the three and six months ended June 30, 2024 was $445,793 and $888,639, respectively. Compensation expense related to these retention grants in the three and six months ended June 30, 2023 was $516,493 and $641,218,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Prior to July 1, 2022, the Company had in place an employee stock purchase plan covering 2,000,000 shares of common stock. Under that plan, the Company sold shares at 85% of the stock’s market price at date of purchase. Under ASC 718,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Stock Compensation</w:t>
      </w:r>
      <w:r>
        <w:rPr>
          <w:rFonts w:ascii="Arial" w:cs="Arial" w:eastAsia="Arial" w:hAnsi="Arial"/>
          <w:sz w:val="18"/>
          <w:szCs w:val="18"/>
          <w:color w:val="auto"/>
        </w:rPr>
        <w:t>, the 15% discounted value was recognized as compensation expense. As of June 30, 2024,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1,624,122 shares under this prior plan.</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May 2022, the 2022 Gentex Corporation Employee Stock Purchase Plan covering 2,000,000 shares of common stock was approved by shareholders replacing the above referenced prior plan effective July 1, 2022. Under the plan, the Company sells shares at 85% of the stock's market price at date of purchase. Under ASC 718, the 15% discounted value is recognized as compensation expense. As of June 30, 2024, the Company has issued 362,488 shares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Comprehensive Income (Loss)</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Comprehensive income (loss) reflects the change in equity of a business enterprise during a period from transactions and other events and circumstances from non-owner sources. For the Company, comprehensive income represents net income adjusted for unrealized gains and losses on certain debt investments and foreign currency translation adjustments.</w:t>
      </w:r>
    </w:p>
    <w:p>
      <w:pPr>
        <w:spacing w:after="0" w:line="198" w:lineRule="exact"/>
        <w:rPr>
          <w:sz w:val="20"/>
          <w:szCs w:val="20"/>
          <w:color w:val="auto"/>
        </w:rPr>
      </w:pPr>
    </w:p>
    <w:p>
      <w:pPr>
        <w:jc w:val="both"/>
        <w:ind w:left="660"/>
        <w:spacing w:after="0" w:line="279" w:lineRule="auto"/>
        <w:rPr>
          <w:sz w:val="20"/>
          <w:szCs w:val="20"/>
          <w:color w:val="auto"/>
        </w:rPr>
      </w:pPr>
      <w:r>
        <w:rPr>
          <w:rFonts w:ascii="Arial" w:cs="Arial" w:eastAsia="Arial" w:hAnsi="Arial"/>
          <w:sz w:val="18"/>
          <w:szCs w:val="18"/>
          <w:color w:val="auto"/>
        </w:rPr>
        <w:t>The following table presents the net changes in the Company's accumulated other comprehensive loss by component (all amounts shown are net of tax):</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46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4"/>
        </w:trPr>
        <w:tc>
          <w:tcPr>
            <w:tcW w:w="4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(5,484,932)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(4,153,406)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(4,534,719)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(4,032,239)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loss before reclassifications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(509,541)</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(1,456,377)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(1,459,754)</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(1,577,544)</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current-period change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(509,541)</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(1,456,377)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(1,459,754)</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(1,577,544)</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(5,994,473)</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(5,609,783)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(5,994,473)</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(5,609,783)</w:t>
            </w:r>
          </w:p>
        </w:tc>
        <w:tc>
          <w:tcPr>
            <w:tcW w:w="0" w:type="dxa"/>
            <w:vAlign w:val="bottom"/>
          </w:tcPr>
          <w:p>
            <w:pPr>
              <w:spacing w:after="0"/>
              <w:rPr>
                <w:sz w:val="1"/>
                <w:szCs w:val="1"/>
                <w:color w:val="auto"/>
              </w:rPr>
            </w:pPr>
          </w:p>
        </w:tc>
      </w:tr>
      <w:tr>
        <w:trPr>
          <w:trHeight w:val="88"/>
        </w:trPr>
        <w:tc>
          <w:tcPr>
            <w:tcW w:w="4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Unrealized (losses) gains on available-for-sale debt</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(1,981,394)</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(8,071,091)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(2,022,403)</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(10,110,695)</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Other Comprehensive (loss) income before</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(281,297)</w:t>
            </w:r>
          </w:p>
        </w:tc>
        <w:tc>
          <w:tcPr>
            <w:tcW w:w="2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547,342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(829,754)</w:t>
            </w:r>
          </w:p>
        </w:tc>
        <w:tc>
          <w:tcPr>
            <w:tcW w:w="2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825,060</w:t>
            </w: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reclassifications</w:t>
            </w:r>
          </w:p>
        </w:tc>
        <w:tc>
          <w:tcPr>
            <w:tcW w:w="22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24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281,511</w:t>
            </w:r>
          </w:p>
        </w:tc>
        <w:tc>
          <w:tcPr>
            <w:tcW w:w="2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(109,236)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870,977</w:t>
            </w:r>
          </w:p>
        </w:tc>
        <w:tc>
          <w:tcPr>
            <w:tcW w:w="2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1,652,650</w:t>
            </w: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current-period change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41,223</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2,477,710</w:t>
            </w:r>
          </w:p>
        </w:tc>
        <w:tc>
          <w:tcPr>
            <w:tcW w:w="0" w:type="dxa"/>
            <w:vAlign w:val="bottom"/>
          </w:tcPr>
          <w:p>
            <w:pPr>
              <w:spacing w:after="0"/>
              <w:rPr>
                <w:sz w:val="1"/>
                <w:szCs w:val="1"/>
                <w:color w:val="auto"/>
              </w:rPr>
            </w:pPr>
          </w:p>
        </w:tc>
      </w:tr>
      <w:tr>
        <w:trPr>
          <w:trHeight w:val="262"/>
        </w:trPr>
        <w:tc>
          <w:tcPr>
            <w:tcW w:w="4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(1,981,180)</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(7,632,985)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(1,981,180)</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(7,632,985)</w:t>
            </w:r>
          </w:p>
        </w:tc>
        <w:tc>
          <w:tcPr>
            <w:tcW w:w="0" w:type="dxa"/>
            <w:vAlign w:val="bottom"/>
          </w:tcPr>
          <w:p>
            <w:pPr>
              <w:spacing w:after="0"/>
              <w:rPr>
                <w:sz w:val="1"/>
                <w:szCs w:val="1"/>
                <w:color w:val="auto"/>
              </w:rPr>
            </w:pPr>
          </w:p>
        </w:tc>
      </w:tr>
      <w:tr>
        <w:trPr>
          <w:trHeight w:val="230"/>
        </w:trPr>
        <w:tc>
          <w:tcPr>
            <w:tcW w:w="454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Accumulated other comprehensive loss, end of period $</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(7,975,653)</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(13,242,768)</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(7,975,653)</w:t>
            </w:r>
          </w:p>
        </w:tc>
        <w:tc>
          <w:tcPr>
            <w:tcW w:w="2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(13,242,768)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300"/>
        <w:spacing w:after="0" w:line="287" w:lineRule="auto"/>
        <w:rPr>
          <w:sz w:val="20"/>
          <w:szCs w:val="20"/>
          <w:color w:val="auto"/>
        </w:rPr>
      </w:pPr>
      <w:r>
        <w:rPr>
          <w:rFonts w:ascii="Arial" w:cs="Arial" w:eastAsia="Arial" w:hAnsi="Arial"/>
          <w:sz w:val="18"/>
          <w:szCs w:val="18"/>
          <w:color w:val="auto"/>
        </w:rPr>
        <w:t>The following table presents details of reclassifications out of accumulated other comprehensive loss for the three and six months ended June 30, 2024 and 2023:</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800" w:type="dxa"/>
            <w:vAlign w:val="bottom"/>
            <w:vMerge w:val="restart"/>
          </w:tcPr>
          <w:p>
            <w:pPr>
              <w:jc w:val="center"/>
              <w:ind w:right="33"/>
              <w:spacing w:after="0"/>
              <w:rPr>
                <w:sz w:val="20"/>
                <w:szCs w:val="20"/>
                <w:color w:val="auto"/>
              </w:rPr>
            </w:pPr>
            <w:r>
              <w:rPr>
                <w:rFonts w:ascii="Arial" w:cs="Arial" w:eastAsia="Arial" w:hAnsi="Arial"/>
                <w:sz w:val="16"/>
                <w:szCs w:val="16"/>
                <w:b w:val="1"/>
                <w:bCs w:val="1"/>
                <w:color w:val="auto"/>
              </w:rPr>
              <w:t>Details about Accumulated Other</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60" w:type="dxa"/>
            <w:vAlign w:val="bottom"/>
          </w:tcPr>
          <w:p>
            <w:pPr>
              <w:ind w:left="140"/>
              <w:spacing w:after="0"/>
              <w:rPr>
                <w:sz w:val="20"/>
                <w:szCs w:val="20"/>
                <w:color w:val="auto"/>
              </w:rPr>
            </w:pPr>
            <w:r>
              <w:rPr>
                <w:rFonts w:ascii="Arial" w:cs="Arial" w:eastAsia="Arial" w:hAnsi="Arial"/>
                <w:sz w:val="16"/>
                <w:szCs w:val="16"/>
                <w:b w:val="1"/>
                <w:bCs w:val="1"/>
                <w:color w:val="auto"/>
              </w:rPr>
              <w:t>Affected Line item in</w:t>
            </w:r>
          </w:p>
        </w:tc>
        <w:tc>
          <w:tcPr>
            <w:tcW w:w="0" w:type="dxa"/>
            <w:vAlign w:val="bottom"/>
          </w:tcPr>
          <w:p>
            <w:pPr>
              <w:spacing w:after="0"/>
              <w:rPr>
                <w:sz w:val="1"/>
                <w:szCs w:val="1"/>
                <w:color w:val="auto"/>
              </w:rPr>
            </w:pPr>
          </w:p>
        </w:tc>
      </w:tr>
      <w:tr>
        <w:trPr>
          <w:trHeight w:val="162"/>
        </w:trPr>
        <w:tc>
          <w:tcPr>
            <w:tcW w:w="2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60" w:type="dxa"/>
            <w:vAlign w:val="bottom"/>
          </w:tcPr>
          <w:p>
            <w:pPr>
              <w:jc w:val="center"/>
              <w:ind w:left="35"/>
              <w:spacing w:after="0" w:line="162" w:lineRule="exact"/>
              <w:rPr>
                <w:sz w:val="20"/>
                <w:szCs w:val="20"/>
                <w:color w:val="auto"/>
              </w:rPr>
            </w:pPr>
            <w:r>
              <w:rPr>
                <w:rFonts w:ascii="Arial" w:cs="Arial" w:eastAsia="Arial" w:hAnsi="Arial"/>
                <w:sz w:val="16"/>
                <w:szCs w:val="16"/>
                <w:b w:val="1"/>
                <w:bCs w:val="1"/>
                <w:color w:val="auto"/>
              </w:rPr>
              <w:t>the Consolidated</w:t>
            </w:r>
          </w:p>
        </w:tc>
        <w:tc>
          <w:tcPr>
            <w:tcW w:w="0" w:type="dxa"/>
            <w:vAlign w:val="bottom"/>
          </w:tcPr>
          <w:p>
            <w:pPr>
              <w:spacing w:after="0"/>
              <w:rPr>
                <w:sz w:val="1"/>
                <w:szCs w:val="1"/>
                <w:color w:val="auto"/>
              </w:rPr>
            </w:pPr>
          </w:p>
        </w:tc>
      </w:tr>
      <w:tr>
        <w:trPr>
          <w:trHeight w:val="162"/>
        </w:trPr>
        <w:tc>
          <w:tcPr>
            <w:tcW w:w="280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rPr>
              <w:t>Comprehensive Loss</w:t>
            </w:r>
          </w:p>
        </w:tc>
        <w:tc>
          <w:tcPr>
            <w:tcW w:w="200" w:type="dxa"/>
            <w:vAlign w:val="bottom"/>
          </w:tcPr>
          <w:p>
            <w:pPr>
              <w:spacing w:after="0"/>
              <w:rPr>
                <w:sz w:val="14"/>
                <w:szCs w:val="14"/>
                <w:color w:val="auto"/>
              </w:rPr>
            </w:pPr>
          </w:p>
        </w:tc>
        <w:tc>
          <w:tcPr>
            <w:tcW w:w="5060" w:type="dxa"/>
            <w:vAlign w:val="bottom"/>
            <w:gridSpan w:val="8"/>
            <w:vMerge w:val="restart"/>
          </w:tcPr>
          <w:p>
            <w:pPr>
              <w:ind w:left="300"/>
              <w:spacing w:after="0"/>
              <w:rPr>
                <w:sz w:val="20"/>
                <w:szCs w:val="20"/>
                <w:color w:val="auto"/>
              </w:rPr>
            </w:pPr>
            <w:r>
              <w:rPr>
                <w:rFonts w:ascii="Arial" w:cs="Arial" w:eastAsia="Arial" w:hAnsi="Arial"/>
                <w:sz w:val="16"/>
                <w:szCs w:val="16"/>
                <w:b w:val="1"/>
                <w:bCs w:val="1"/>
                <w:color w:val="auto"/>
              </w:rPr>
              <w:t>Amounts Reclassified from Other Comprehensive Loss</w:t>
            </w:r>
          </w:p>
        </w:tc>
        <w:tc>
          <w:tcPr>
            <w:tcW w:w="1760" w:type="dxa"/>
            <w:vAlign w:val="bottom"/>
          </w:tcPr>
          <w:p>
            <w:pPr>
              <w:jc w:val="center"/>
              <w:ind w:left="15"/>
              <w:spacing w:after="0" w:line="162" w:lineRule="exact"/>
              <w:rPr>
                <w:sz w:val="20"/>
                <w:szCs w:val="20"/>
                <w:color w:val="auto"/>
              </w:rPr>
            </w:pPr>
            <w:r>
              <w:rPr>
                <w:rFonts w:ascii="Arial" w:cs="Arial" w:eastAsia="Arial" w:hAnsi="Arial"/>
                <w:sz w:val="16"/>
                <w:szCs w:val="16"/>
                <w:b w:val="1"/>
                <w:bCs w:val="1"/>
                <w:color w:val="auto"/>
              </w:rPr>
              <w:t>Statements of</w:t>
            </w:r>
          </w:p>
        </w:tc>
        <w:tc>
          <w:tcPr>
            <w:tcW w:w="0" w:type="dxa"/>
            <w:vAlign w:val="bottom"/>
          </w:tcPr>
          <w:p>
            <w:pPr>
              <w:spacing w:after="0"/>
              <w:rPr>
                <w:sz w:val="1"/>
                <w:szCs w:val="1"/>
                <w:color w:val="auto"/>
              </w:rPr>
            </w:pPr>
          </w:p>
        </w:tc>
      </w:tr>
      <w:tr>
        <w:trPr>
          <w:trHeight w:val="216"/>
        </w:trPr>
        <w:tc>
          <w:tcPr>
            <w:tcW w:w="2800" w:type="dxa"/>
            <w:vAlign w:val="bottom"/>
            <w:tcBorders>
              <w:bottom w:val="single" w:sz="8" w:color="auto"/>
            </w:tcBorders>
          </w:tcPr>
          <w:p>
            <w:pPr>
              <w:jc w:val="center"/>
              <w:ind w:right="13"/>
              <w:spacing w:after="0"/>
              <w:rPr>
                <w:sz w:val="20"/>
                <w:szCs w:val="20"/>
                <w:color w:val="auto"/>
              </w:rPr>
            </w:pPr>
            <w:r>
              <w:rPr>
                <w:rFonts w:ascii="Arial" w:cs="Arial" w:eastAsia="Arial" w:hAnsi="Arial"/>
                <w:sz w:val="16"/>
                <w:szCs w:val="16"/>
                <w:b w:val="1"/>
                <w:bCs w:val="1"/>
                <w:color w:val="auto"/>
              </w:rPr>
              <w:t>Components</w:t>
            </w:r>
          </w:p>
        </w:tc>
        <w:tc>
          <w:tcPr>
            <w:tcW w:w="200" w:type="dxa"/>
            <w:vAlign w:val="bottom"/>
            <w:tcBorders>
              <w:bottom w:val="single" w:sz="8" w:color="auto"/>
            </w:tcBorders>
          </w:tcPr>
          <w:p>
            <w:pPr>
              <w:spacing w:after="0"/>
              <w:rPr>
                <w:sz w:val="18"/>
                <w:szCs w:val="18"/>
                <w:color w:val="auto"/>
              </w:rPr>
            </w:pPr>
          </w:p>
        </w:tc>
        <w:tc>
          <w:tcPr>
            <w:tcW w:w="5060" w:type="dxa"/>
            <w:vAlign w:val="bottom"/>
            <w:tcBorders>
              <w:bottom w:val="single" w:sz="8" w:color="auto"/>
            </w:tcBorders>
            <w:gridSpan w:val="8"/>
            <w:vMerge w:val="continue"/>
          </w:tcPr>
          <w:p>
            <w:pPr>
              <w:spacing w:after="0"/>
              <w:rPr>
                <w:sz w:val="18"/>
                <w:szCs w:val="18"/>
                <w:color w:val="auto"/>
              </w:rPr>
            </w:pPr>
          </w:p>
        </w:tc>
        <w:tc>
          <w:tcPr>
            <w:tcW w:w="1760" w:type="dxa"/>
            <w:vAlign w:val="bottom"/>
            <w:tcBorders>
              <w:bottom w:val="single" w:sz="8" w:color="auto"/>
            </w:tcBorders>
          </w:tcPr>
          <w:p>
            <w:pPr>
              <w:jc w:val="center"/>
              <w:ind w:left="35"/>
              <w:spacing w:after="0"/>
              <w:rPr>
                <w:sz w:val="20"/>
                <w:szCs w:val="20"/>
                <w:color w:val="auto"/>
              </w:rPr>
            </w:pPr>
            <w:r>
              <w:rPr>
                <w:rFonts w:ascii="Arial" w:cs="Arial" w:eastAsia="Arial" w:hAnsi="Arial"/>
                <w:sz w:val="16"/>
                <w:szCs w:val="16"/>
                <w:b w:val="1"/>
                <w:bCs w:val="1"/>
                <w:color w:val="auto"/>
                <w:w w:val="99"/>
              </w:rPr>
              <w:t>Income</w:t>
            </w:r>
          </w:p>
        </w:tc>
        <w:tc>
          <w:tcPr>
            <w:tcW w:w="0" w:type="dxa"/>
            <w:vAlign w:val="bottom"/>
          </w:tcPr>
          <w:p>
            <w:pPr>
              <w:spacing w:after="0"/>
              <w:rPr>
                <w:sz w:val="1"/>
                <w:szCs w:val="1"/>
                <w:color w:val="auto"/>
              </w:rPr>
            </w:pPr>
          </w:p>
        </w:tc>
      </w:tr>
      <w:tr>
        <w:trPr>
          <w:trHeight w:val="194"/>
        </w:trPr>
        <w:tc>
          <w:tcPr>
            <w:tcW w:w="2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2280" w:type="dxa"/>
            <w:vAlign w:val="bottom"/>
            <w:gridSpan w:val="3"/>
          </w:tcPr>
          <w:p>
            <w:pPr>
              <w:jc w:val="right"/>
              <w:ind w:right="241"/>
              <w:spacing w:after="0"/>
              <w:rPr>
                <w:sz w:val="20"/>
                <w:szCs w:val="20"/>
                <w:color w:val="auto"/>
              </w:rPr>
            </w:pPr>
            <w:r>
              <w:rPr>
                <w:rFonts w:ascii="Arial" w:cs="Arial" w:eastAsia="Arial" w:hAnsi="Arial"/>
                <w:sz w:val="14"/>
                <w:szCs w:val="14"/>
                <w:b w:val="1"/>
                <w:bCs w:val="1"/>
                <w:color w:val="auto"/>
              </w:rPr>
              <w:t>Six Months Ended June 30,</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8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17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80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Unrealized gains (losses) on</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debt securities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00" w:type="dxa"/>
            <w:vAlign w:val="bottom"/>
          </w:tcPr>
          <w:p>
            <w:pPr>
              <w:ind w:left="240"/>
              <w:spacing w:after="0" w:line="176" w:lineRule="exact"/>
              <w:rPr>
                <w:sz w:val="20"/>
                <w:szCs w:val="20"/>
                <w:color w:val="auto"/>
              </w:rPr>
            </w:pPr>
            <w:r>
              <w:rPr>
                <w:rFonts w:ascii="Arial" w:cs="Arial" w:eastAsia="Arial" w:hAnsi="Arial"/>
                <w:sz w:val="18"/>
                <w:szCs w:val="18"/>
                <w:color w:val="auto"/>
              </w:rPr>
              <w:t>Realized gain (loss) on sale of</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vMerge w:val="restart"/>
          </w:tcPr>
          <w:p>
            <w:pPr>
              <w:ind w:left="120"/>
              <w:spacing w:after="0"/>
              <w:rPr>
                <w:sz w:val="20"/>
                <w:szCs w:val="20"/>
                <w:color w:val="auto"/>
              </w:rPr>
            </w:pPr>
            <w:r>
              <w:rPr>
                <w:rFonts w:ascii="Arial" w:cs="Arial" w:eastAsia="Arial" w:hAnsi="Arial"/>
                <w:sz w:val="18"/>
                <w:szCs w:val="18"/>
                <w:color w:val="auto"/>
              </w:rPr>
              <w:t>Investment income</w:t>
            </w:r>
          </w:p>
        </w:tc>
        <w:tc>
          <w:tcPr>
            <w:tcW w:w="0" w:type="dxa"/>
            <w:vAlign w:val="bottom"/>
          </w:tcPr>
          <w:p>
            <w:pPr>
              <w:spacing w:after="0"/>
              <w:rPr>
                <w:sz w:val="1"/>
                <w:szCs w:val="1"/>
                <w:color w:val="auto"/>
              </w:rPr>
            </w:pPr>
          </w:p>
        </w:tc>
      </w:tr>
      <w:tr>
        <w:trPr>
          <w:trHeight w:val="243"/>
        </w:trPr>
        <w:tc>
          <w:tcPr>
            <w:tcW w:w="2800" w:type="dxa"/>
            <w:vAlign w:val="bottom"/>
          </w:tcPr>
          <w:p>
            <w:pPr>
              <w:ind w:left="240"/>
              <w:spacing w:after="0"/>
              <w:rPr>
                <w:sz w:val="20"/>
                <w:szCs w:val="20"/>
                <w:color w:val="auto"/>
              </w:rPr>
            </w:pPr>
            <w:r>
              <w:rPr>
                <w:rFonts w:ascii="Arial" w:cs="Arial" w:eastAsia="Arial" w:hAnsi="Arial"/>
                <w:sz w:val="18"/>
                <w:szCs w:val="18"/>
                <w:color w:val="auto"/>
              </w:rPr>
              <w:t>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(356,343)</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138,274</w:t>
            </w:r>
          </w:p>
        </w:tc>
        <w:tc>
          <w:tcPr>
            <w:tcW w:w="14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(1,102,503)</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(2,091,962)</w:t>
            </w: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0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7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Provision for</w:t>
            </w:r>
          </w:p>
        </w:tc>
        <w:tc>
          <w:tcPr>
            <w:tcW w:w="0" w:type="dxa"/>
            <w:vAlign w:val="bottom"/>
          </w:tcPr>
          <w:p>
            <w:pPr>
              <w:spacing w:after="0"/>
              <w:rPr>
                <w:sz w:val="1"/>
                <w:szCs w:val="1"/>
                <w:color w:val="auto"/>
              </w:rPr>
            </w:pPr>
          </w:p>
        </w:tc>
      </w:tr>
      <w:tr>
        <w:trPr>
          <w:trHeight w:val="243"/>
        </w:trPr>
        <w:tc>
          <w:tcPr>
            <w:tcW w:w="2800" w:type="dxa"/>
            <w:vAlign w:val="bottom"/>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74,832</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(29,038)</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231,526</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439,312</w:t>
            </w:r>
          </w:p>
        </w:tc>
        <w:tc>
          <w:tcPr>
            <w:tcW w:w="1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155"/>
        </w:trPr>
        <w:tc>
          <w:tcPr>
            <w:tcW w:w="2800" w:type="dxa"/>
            <w:vAlign w:val="bottom"/>
          </w:tcPr>
          <w:p>
            <w:pPr>
              <w:ind w:left="20"/>
              <w:spacing w:after="0" w:line="156" w:lineRule="exact"/>
              <w:rPr>
                <w:sz w:val="20"/>
                <w:szCs w:val="20"/>
                <w:color w:val="auto"/>
              </w:rPr>
            </w:pPr>
            <w:r>
              <w:rPr>
                <w:rFonts w:ascii="Arial" w:cs="Arial" w:eastAsia="Arial" w:hAnsi="Arial"/>
                <w:sz w:val="18"/>
                <w:szCs w:val="18"/>
                <w:color w:val="auto"/>
              </w:rPr>
              <w:t>Total net reclassifications for the</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(281,511)</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109,236</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(870,977)</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(1,652,650)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Debt and Financing Arrangements</w:t>
      </w:r>
    </w:p>
    <w:p>
      <w:pPr>
        <w:spacing w:after="0" w:line="252"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On October 15, 2018, the Company entered into a credit agreement with PNC as the administrative agent and sole lender, which has now been amended and restated as discussed below.</w:t>
      </w:r>
    </w:p>
    <w:p>
      <w:pPr>
        <w:spacing w:after="0" w:line="18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On February 21, 2023, as previously disclosed, the Company entered into an amended and restated credit agreement ("Credit Agreement") that provides for, among other things, a three-year unsecured revolving credit facility with a borrowing capacity of up to $250.0 million ("Revolver") that matures on February 21, 2026, replacing in its entirety the Company's above referenced prior $150.0 million revolving credit facility scheduled to mature on October 15, 2023. Included in the Revolver is a $20.0 million sublimit for standby letters of credit and a $35.0 million sublimit for swingline loans, each subject to certain conditions. Funds are available under the Revolver for working capital, capital expenditures, and other lawful corporate purposes, including, but not limited to, acquisitions and common stock repurchases, subject in each case to compliance with certain financial covenants, as defined in the Credit Agreement. As of June 30, 2024, there was no outstanding balance on the Revolver.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2024, the Company is in compliance with its covenants under the Credit Agreement.</w:t>
      </w:r>
    </w:p>
    <w:p>
      <w:pPr>
        <w:spacing w:after="0" w:line="200" w:lineRule="exact"/>
        <w:rPr>
          <w:sz w:val="20"/>
          <w:szCs w:val="20"/>
          <w:color w:val="auto"/>
        </w:rPr>
      </w:pPr>
    </w:p>
    <w:p>
      <w:pPr>
        <w:spacing w:after="0" w:line="295"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Equity</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decrease in common stock during the six months ended June 30, 2024, was primarily due to the repurchases of 2.6 million shares, partially offset by the issuance of 1.4 million shares of the Company’s common stock, net of cancellations, under the Company’s stock-based compensation plans. The total net decrease was 1.2 million shares.</w:t>
      </w:r>
    </w:p>
    <w:p>
      <w:pPr>
        <w:spacing w:after="0" w:line="19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recorded a cash dividend of $0.120 per share during the second quarter of 2024 as compared to a cash dividend of $0.120 per share during the second quarter of 2023. The second quarter 2024 dividend of $27.6 million was declared on May 29, 2024 and was paid on July 17, 2024.</w:t>
      </w:r>
    </w:p>
    <w:p>
      <w:pPr>
        <w:spacing w:after="0" w:line="200" w:lineRule="exact"/>
        <w:rPr>
          <w:sz w:val="20"/>
          <w:szCs w:val="20"/>
          <w:color w:val="auto"/>
        </w:rPr>
      </w:pPr>
    </w:p>
    <w:p>
      <w:pPr>
        <w:spacing w:after="0" w:line="241"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5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regulatory,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200" w:lineRule="exact"/>
        <w:rPr>
          <w:sz w:val="20"/>
          <w:szCs w:val="20"/>
          <w:color w:val="auto"/>
        </w:rPr>
      </w:pPr>
    </w:p>
    <w:p>
      <w:pPr>
        <w:spacing w:after="0" w:line="384"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Segment Reporting</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Company's automotive segment develops and manufactures digital vision and connected car products and electronics, including: automatic-dimming rearview mirrors with and without electronic features; non-auto dimming rearview mirrors with and without electronic features; and other electronics. The Company also develops and manufactures variably dimming windows and laminate products for the aerospace industry and fire protection products for the commercial construction industry. In 2020, the Company acquired Vaporsens, which specializes in nanofiber chemical sensing. In 2023, the Company acquired certain technology assets from eSight, which provides advanced and versatile low-vision smart glasses for those with visual impairments and is compatible with more than 20 eye conditions including Macular Degeneration, Diabetic Retinopathy, and Stargardt disease. These four non-automotive segments are combined into the "Other" segment as shown below.</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2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7"/>
                <w:szCs w:val="17"/>
                <w:color w:val="auto"/>
              </w:rPr>
            </w:pPr>
          </w:p>
        </w:tc>
        <w:tc>
          <w:tcPr>
            <w:tcW w:w="3120" w:type="dxa"/>
            <w:vAlign w:val="bottom"/>
            <w:gridSpan w:val="3"/>
          </w:tcPr>
          <w:p>
            <w:pPr>
              <w:jc w:val="right"/>
              <w:ind w:right="693"/>
              <w:spacing w:after="0"/>
              <w:rPr>
                <w:sz w:val="20"/>
                <w:szCs w:val="20"/>
                <w:color w:val="auto"/>
              </w:rPr>
            </w:pPr>
            <w:r>
              <w:rPr>
                <w:rFonts w:ascii="Arial" w:cs="Arial" w:eastAsia="Arial" w:hAnsi="Arial"/>
                <w:sz w:val="14"/>
                <w:szCs w:val="14"/>
                <w:b w:val="1"/>
                <w:bCs w:val="1"/>
                <w:color w:val="auto"/>
              </w:rPr>
              <w:t>Six Months Ended June 30,</w:t>
            </w:r>
          </w:p>
        </w:tc>
      </w:tr>
      <w:tr>
        <w:trPr>
          <w:trHeight w:val="204"/>
        </w:trPr>
        <w:tc>
          <w:tcPr>
            <w:tcW w:w="29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2023</w:t>
            </w:r>
          </w:p>
        </w:tc>
      </w:tr>
      <w:tr>
        <w:trPr>
          <w:trHeight w:val="21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296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559,290,095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574,109,748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1,136,892,291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1,111,532,736</w:t>
            </w:r>
          </w:p>
        </w:tc>
      </w:tr>
      <w:tr>
        <w:trPr>
          <w:trHeight w:val="230"/>
        </w:trPr>
        <w:tc>
          <w:tcPr>
            <w:tcW w:w="2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13,635,683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9,363,098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26,258,698</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22,701,421</w:t>
            </w:r>
          </w:p>
        </w:tc>
      </w:tr>
      <w:tr>
        <w:trPr>
          <w:trHeight w:val="223"/>
        </w:trPr>
        <w:tc>
          <w:tcPr>
            <w:tcW w:w="2960" w:type="dxa"/>
            <w:vAlign w:val="bottom"/>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572,925,778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583,472,846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1,163,150,989</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1,134,234,157</w:t>
            </w: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2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2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Automotive Products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114,652,174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128,729,058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244,198,314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240,168,856</w:t>
            </w:r>
          </w:p>
        </w:tc>
      </w:tr>
      <w:tr>
        <w:trPr>
          <w:trHeight w:val="230"/>
        </w:trPr>
        <w:tc>
          <w:tcPr>
            <w:tcW w:w="2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(1,439,670)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32,020</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371,179</w:t>
            </w:r>
          </w:p>
        </w:tc>
      </w:tr>
      <w:tr>
        <w:trPr>
          <w:trHeight w:val="248"/>
        </w:trPr>
        <w:tc>
          <w:tcPr>
            <w:tcW w:w="2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114,884,022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127,289,388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244,230,334</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240,540,035</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44"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effective tax rate was 15.2% in the six months ended June 30, 2024, compared to an effective tax rate of 15.5% for the same period in 2023. Generally, effective tax rates for these periods differ from statutory federal income tax rates, due to provisions for state and local income taxes, permanent tax differences, the foreign-derived intangible income tax deduction, and research and development tax credits.</w:t>
      </w:r>
    </w:p>
    <w:p>
      <w:pPr>
        <w:spacing w:after="0" w:line="203"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w:t>
      </w:r>
    </w:p>
    <w:p>
      <w:pPr>
        <w:spacing w:after="0" w:line="252" w:lineRule="exact"/>
        <w:rPr>
          <w:sz w:val="20"/>
          <w:szCs w:val="20"/>
          <w:color w:val="auto"/>
        </w:rPr>
      </w:pPr>
    </w:p>
    <w:p>
      <w:pPr>
        <w:jc w:val="both"/>
        <w:ind w:left="660"/>
        <w:spacing w:after="0" w:line="279" w:lineRule="auto"/>
        <w:rPr>
          <w:sz w:val="20"/>
          <w:szCs w:val="20"/>
          <w:color w:val="auto"/>
        </w:rPr>
      </w:pPr>
      <w:r>
        <w:rPr>
          <w:rFonts w:ascii="Arial" w:cs="Arial" w:eastAsia="Arial" w:hAnsi="Arial"/>
          <w:sz w:val="18"/>
          <w:szCs w:val="18"/>
          <w:color w:val="auto"/>
        </w:rPr>
        <w:t>The following table shows the Company’s Automotive revenue and Other Products revenue disaggregated by geographical location for Automotive Products for the three and six month periods ended June 30, 2024 and June 30, 2023, respectively:</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2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6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7"/>
                <w:szCs w:val="17"/>
                <w:color w:val="auto"/>
              </w:rPr>
            </w:pPr>
          </w:p>
        </w:tc>
        <w:tc>
          <w:tcPr>
            <w:tcW w:w="316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 June 30,</w:t>
            </w:r>
          </w:p>
        </w:tc>
      </w:tr>
      <w:tr>
        <w:trPr>
          <w:trHeight w:val="203"/>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r>
      <w:tr>
        <w:trPr>
          <w:trHeight w:val="224"/>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Products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2840" w:type="dxa"/>
            <w:vAlign w:val="bottom"/>
          </w:tcPr>
          <w:p>
            <w:pPr>
              <w:ind w:left="12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164,948,637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177,940,475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330,089,259</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348,722,079</w:t>
            </w:r>
          </w:p>
        </w:tc>
      </w:tr>
      <w:tr>
        <w:trPr>
          <w:trHeight w:val="230"/>
        </w:trPr>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Japan</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82,261,793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84,178,567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171,266,421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156,334,551</w:t>
            </w:r>
          </w:p>
        </w:tc>
      </w:tr>
      <w:tr>
        <w:trPr>
          <w:trHeight w:val="230"/>
        </w:trPr>
        <w:tc>
          <w:tcPr>
            <w:tcW w:w="2840" w:type="dxa"/>
            <w:vAlign w:val="bottom"/>
          </w:tcPr>
          <w:p>
            <w:pPr>
              <w:ind w:left="120"/>
              <w:spacing w:after="0"/>
              <w:rPr>
                <w:sz w:val="20"/>
                <w:szCs w:val="20"/>
                <w:color w:val="auto"/>
              </w:rPr>
            </w:pPr>
            <w:r>
              <w:rPr>
                <w:rFonts w:ascii="Arial" w:cs="Arial" w:eastAsia="Arial" w:hAnsi="Arial"/>
                <w:sz w:val="18"/>
                <w:szCs w:val="18"/>
                <w:color w:val="auto"/>
              </w:rPr>
              <w:t>Germany</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71,510,830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73,990,846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147,205,718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154,570,310</w:t>
            </w:r>
          </w:p>
        </w:tc>
      </w:tr>
      <w:tr>
        <w:trPr>
          <w:trHeight w:val="230"/>
        </w:trPr>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Korea</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31,457,450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33,920,149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85,152,562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57,398,619</w:t>
            </w:r>
          </w:p>
        </w:tc>
      </w:tr>
      <w:tr>
        <w:trPr>
          <w:trHeight w:val="229"/>
        </w:trPr>
        <w:tc>
          <w:tcPr>
            <w:tcW w:w="2840" w:type="dxa"/>
            <w:vAlign w:val="bottom"/>
          </w:tcPr>
          <w:p>
            <w:pPr>
              <w:ind w:left="120"/>
              <w:spacing w:after="0"/>
              <w:rPr>
                <w:sz w:val="20"/>
                <w:szCs w:val="20"/>
                <w:color w:val="auto"/>
              </w:rPr>
            </w:pPr>
            <w:r>
              <w:rPr>
                <w:rFonts w:ascii="Arial" w:cs="Arial" w:eastAsia="Arial" w:hAnsi="Arial"/>
                <w:sz w:val="18"/>
                <w:szCs w:val="18"/>
                <w:color w:val="auto"/>
              </w:rPr>
              <w:t>Mexico</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47,955,922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36,803,254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85,577,085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71,090,798</w:t>
            </w:r>
          </w:p>
        </w:tc>
      </w:tr>
      <w:tr>
        <w:trPr>
          <w:trHeight w:val="230"/>
        </w:trPr>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161,155,463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167,276,457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317,601,246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323,416,379</w:t>
            </w:r>
          </w:p>
        </w:tc>
      </w:tr>
      <w:tr>
        <w:trPr>
          <w:trHeight w:val="223"/>
        </w:trPr>
        <w:tc>
          <w:tcPr>
            <w:tcW w:w="2840" w:type="dxa"/>
            <w:vAlign w:val="bottom"/>
          </w:tcPr>
          <w:p>
            <w:pPr>
              <w:ind w:left="20"/>
              <w:spacing w:after="0"/>
              <w:rPr>
                <w:sz w:val="20"/>
                <w:szCs w:val="20"/>
                <w:color w:val="auto"/>
              </w:rPr>
            </w:pPr>
            <w:r>
              <w:rPr>
                <w:rFonts w:ascii="Arial" w:cs="Arial" w:eastAsia="Arial" w:hAnsi="Arial"/>
                <w:sz w:val="18"/>
                <w:szCs w:val="18"/>
                <w:color w:val="auto"/>
              </w:rPr>
              <w:t>Total Automotive Products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559,290,095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574,109,748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1,136,892,291</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1,111,532,736</w:t>
            </w:r>
          </w:p>
        </w:tc>
      </w:tr>
      <w:tr>
        <w:trPr>
          <w:trHeight w:val="230"/>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Products (U.S.)</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13,635,683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9,363,098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26,258,698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22,701,421</w:t>
            </w:r>
          </w:p>
        </w:tc>
      </w:tr>
      <w:tr>
        <w:trPr>
          <w:trHeight w:val="223"/>
        </w:trPr>
        <w:tc>
          <w:tcPr>
            <w:tcW w:w="28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572,925,778</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583,472,846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1,163,150,989</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1,134,234,157</w:t>
            </w:r>
          </w:p>
        </w:tc>
      </w:tr>
      <w:tr>
        <w:trPr>
          <w:trHeight w:val="20"/>
        </w:trPr>
        <w:tc>
          <w:tcPr>
            <w:tcW w:w="2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global supply chain constraints; unexpected changes in laws, regulations, trade or monetary or fiscal policy, including interest rates, foreign currency exchange rates and changes in the rate of inflation in the U.S. and other foreign countries; labor strikes, armed conflicts and acts of terrorism and war; and tariffs, quotas, customs and other import or export restrictions and other trade barriers.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right="480"/>
        <w:spacing w:after="0" w:line="279" w:lineRule="auto"/>
        <w:rPr>
          <w:sz w:val="20"/>
          <w:szCs w:val="20"/>
          <w:color w:val="auto"/>
        </w:rPr>
      </w:pPr>
      <w:r>
        <w:rPr>
          <w:rFonts w:ascii="Arial" w:cs="Arial" w:eastAsia="Arial" w:hAnsi="Arial"/>
          <w:sz w:val="18"/>
          <w:szCs w:val="18"/>
          <w:color w:val="auto"/>
        </w:rPr>
        <w:t>The following table disaggregates the Company’s Automotive revenue and Other revenue by major source for the three and six month periods ended June 30, 2024 and June 30, 2023:</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346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17"/>
                <w:szCs w:val="17"/>
                <w:color w:val="auto"/>
              </w:rPr>
            </w:pPr>
          </w:p>
        </w:tc>
        <w:tc>
          <w:tcPr>
            <w:tcW w:w="29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7"/>
                <w:szCs w:val="17"/>
                <w:color w:val="auto"/>
              </w:rPr>
            </w:pPr>
          </w:p>
        </w:tc>
        <w:tc>
          <w:tcPr>
            <w:tcW w:w="294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2"/>
        </w:trPr>
        <w:tc>
          <w:tcPr>
            <w:tcW w:w="346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Segment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240"/>
              <w:spacing w:after="0"/>
              <w:rPr>
                <w:sz w:val="20"/>
                <w:szCs w:val="20"/>
                <w:color w:val="auto"/>
              </w:rPr>
            </w:pPr>
            <w:r>
              <w:rPr>
                <w:rFonts w:ascii="Arial" w:cs="Arial" w:eastAsia="Arial" w:hAnsi="Arial"/>
                <w:sz w:val="18"/>
                <w:szCs w:val="18"/>
                <w:color w:val="auto"/>
              </w:rPr>
              <w:t>Automotive Mirrors &amp; Electronics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530,558,700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540,636,798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1,080,743,130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1,046,368,374</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HomeLink Modules*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28,731,395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33,472,950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56,149,161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65,164,362</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Total Automotive Products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559,290,095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574,109,748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1,136,892,291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1,111,532,736</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Other Segment</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Fire Protection Products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7,353,664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6,018,930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14,189,702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15,320,083</w:t>
            </w:r>
          </w:p>
        </w:tc>
        <w:tc>
          <w:tcPr>
            <w:tcW w:w="0" w:type="dxa"/>
            <w:vAlign w:val="bottom"/>
          </w:tcPr>
          <w:p>
            <w:pPr>
              <w:spacing w:after="0"/>
              <w:rPr>
                <w:sz w:val="1"/>
                <w:szCs w:val="1"/>
                <w:color w:val="auto"/>
              </w:rPr>
            </w:pPr>
          </w:p>
        </w:tc>
      </w:tr>
      <w:tr>
        <w:trPr>
          <w:trHeight w:val="230"/>
        </w:trPr>
        <w:tc>
          <w:tcPr>
            <w:tcW w:w="3460" w:type="dxa"/>
            <w:vAlign w:val="bottom"/>
          </w:tcPr>
          <w:p>
            <w:pPr>
              <w:ind w:left="240"/>
              <w:spacing w:after="0"/>
              <w:rPr>
                <w:sz w:val="20"/>
                <w:szCs w:val="20"/>
                <w:color w:val="auto"/>
              </w:rPr>
            </w:pPr>
            <w:r>
              <w:rPr>
                <w:rFonts w:ascii="Arial" w:cs="Arial" w:eastAsia="Arial" w:hAnsi="Arial"/>
                <w:sz w:val="18"/>
                <w:szCs w:val="18"/>
                <w:color w:val="auto"/>
              </w:rPr>
              <w:t>Aerospace Products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6,286,593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3,344,168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12,057,394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7,381,338</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Medical Products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Total Other</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13,635,683</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9,363,098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26,258,698</w:t>
            </w: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22,701,421</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680"/>
        <w:spacing w:after="0"/>
        <w:rPr>
          <w:sz w:val="20"/>
          <w:szCs w:val="20"/>
          <w:color w:val="auto"/>
        </w:rPr>
      </w:pPr>
      <w:r>
        <w:rPr>
          <w:rFonts w:ascii="Arial" w:cs="Arial" w:eastAsia="Arial" w:hAnsi="Arial"/>
          <w:sz w:val="18"/>
          <w:szCs w:val="18"/>
          <w:color w:val="auto"/>
        </w:rPr>
        <w:t>*Excludes HomeLink revenue where HomeLink electronics are integrated into interior auto-dimming mirrors.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Leases</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 has operating leases for certain sales, manufacturing, and engineering offices, as well as other vehicles and equipment, which are included within "Plant and Equipment - Net" section of the condensed consolidated balance sheets. The leases have remaining lease terms of 1 year to 5 years. The weighted average remaining lease term for operating leases as of June 30, 2024 was 4 years, with a weighted average discount rate of 6.3%.</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for operating leases as of June 30,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620649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06490" cy="1289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62064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06490" cy="8890"/>
                    </a:xfrm>
                    <a:prstGeom prst="rect">
                      <a:avLst/>
                    </a:prstGeom>
                    <a:noFill/>
                  </pic:spPr>
                </pic:pic>
              </a:graphicData>
            </a:graphic>
          </wp:anchor>
        </w:drawing>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(excluding the six months ended June 30, 2024)</w:t>
            </w:r>
          </w:p>
        </w:tc>
        <w:tc>
          <w:tcPr>
            <w:tcW w:w="86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1,186,804</w:t>
            </w:r>
          </w:p>
        </w:tc>
        <w:tc>
          <w:tcPr>
            <w:tcW w:w="60" w:type="dxa"/>
            <w:vAlign w:val="bottom"/>
          </w:tcPr>
          <w:p>
            <w:pPr>
              <w:spacing w:after="0"/>
              <w:rPr>
                <w:sz w:val="19"/>
                <w:szCs w:val="19"/>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1,801,961</w:t>
            </w:r>
          </w:p>
        </w:tc>
        <w:tc>
          <w:tcPr>
            <w:tcW w:w="60" w:type="dxa"/>
            <w:vAlign w:val="bottom"/>
          </w:tcPr>
          <w:p>
            <w:pPr>
              <w:spacing w:after="0"/>
              <w:rPr>
                <w:sz w:val="19"/>
                <w:szCs w:val="19"/>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1,269,701</w:t>
            </w:r>
          </w:p>
        </w:tc>
        <w:tc>
          <w:tcPr>
            <w:tcW w:w="60" w:type="dxa"/>
            <w:vAlign w:val="bottom"/>
          </w:tcPr>
          <w:p>
            <w:pPr>
              <w:spacing w:after="0"/>
              <w:rPr>
                <w:sz w:val="19"/>
                <w:szCs w:val="19"/>
                <w:color w:val="auto"/>
              </w:rPr>
            </w:pP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2027</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937,622</w:t>
            </w:r>
          </w:p>
        </w:tc>
        <w:tc>
          <w:tcPr>
            <w:tcW w:w="60" w:type="dxa"/>
            <w:vAlign w:val="bottom"/>
          </w:tcPr>
          <w:p>
            <w:pPr>
              <w:spacing w:after="0"/>
              <w:rPr>
                <w:sz w:val="19"/>
                <w:szCs w:val="19"/>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697,246</w:t>
            </w:r>
          </w:p>
        </w:tc>
        <w:tc>
          <w:tcPr>
            <w:tcW w:w="60" w:type="dxa"/>
            <w:vAlign w:val="bottom"/>
          </w:tcPr>
          <w:p>
            <w:pPr>
              <w:spacing w:after="0"/>
              <w:rPr>
                <w:sz w:val="19"/>
                <w:szCs w:val="19"/>
                <w:color w:val="auto"/>
              </w:rPr>
            </w:pPr>
          </w:p>
        </w:tc>
      </w:tr>
      <w:tr>
        <w:trPr>
          <w:trHeight w:val="22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83,429</w:t>
            </w:r>
          </w:p>
        </w:tc>
        <w:tc>
          <w:tcPr>
            <w:tcW w:w="60" w:type="dxa"/>
            <w:vAlign w:val="bottom"/>
          </w:tcPr>
          <w:p>
            <w:pPr>
              <w:spacing w:after="0"/>
              <w:rPr>
                <w:sz w:val="19"/>
                <w:szCs w:val="19"/>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5,976,763</w:t>
            </w:r>
          </w:p>
        </w:tc>
        <w:tc>
          <w:tcPr>
            <w:tcW w:w="60" w:type="dxa"/>
            <w:vAlign w:val="bottom"/>
          </w:tcPr>
          <w:p>
            <w:pPr>
              <w:spacing w:after="0"/>
              <w:rPr>
                <w:sz w:val="19"/>
                <w:szCs w:val="19"/>
                <w:color w:val="auto"/>
              </w:rPr>
            </w:pPr>
          </w:p>
        </w:tc>
      </w:tr>
      <w:tr>
        <w:trPr>
          <w:trHeight w:val="22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(441,169)</w:t>
            </w:r>
          </w:p>
        </w:tc>
        <w:tc>
          <w:tcPr>
            <w:tcW w:w="60" w:type="dxa"/>
            <w:vAlign w:val="bottom"/>
          </w:tcPr>
          <w:p>
            <w:pPr>
              <w:spacing w:after="0"/>
              <w:rPr>
                <w:sz w:val="19"/>
                <w:szCs w:val="19"/>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5,535,594</w:t>
            </w:r>
          </w:p>
        </w:tc>
        <w:tc>
          <w:tcPr>
            <w:tcW w:w="60" w:type="dxa"/>
            <w:vAlign w:val="bottom"/>
          </w:tcPr>
          <w:p>
            <w:pPr>
              <w:spacing w:after="0"/>
              <w:rPr>
                <w:sz w:val="19"/>
                <w:szCs w:val="19"/>
                <w:color w:val="auto"/>
              </w:rPr>
            </w:pPr>
          </w:p>
        </w:tc>
      </w:tr>
      <w:tr>
        <w:trPr>
          <w:trHeight w:val="364"/>
        </w:trPr>
        <w:tc>
          <w:tcPr>
            <w:tcW w:w="7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2"/>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Reported as of June 30, 2024</w:t>
            </w:r>
          </w:p>
        </w:tc>
        <w:tc>
          <w:tcPr>
            <w:tcW w:w="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r>
      <w:tr>
        <w:trPr>
          <w:trHeight w:val="251"/>
        </w:trPr>
        <w:tc>
          <w:tcPr>
            <w:tcW w:w="7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8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2,132,686</w:t>
            </w:r>
          </w:p>
        </w:tc>
        <w:tc>
          <w:tcPr>
            <w:tcW w:w="60" w:type="dxa"/>
            <w:vAlign w:val="bottom"/>
            <w:shd w:val="clear" w:color="auto" w:fill="CCEEFF"/>
          </w:tcPr>
          <w:p>
            <w:pPr>
              <w:spacing w:after="0"/>
              <w:rPr>
                <w:sz w:val="19"/>
                <w:szCs w:val="19"/>
                <w:color w:val="auto"/>
              </w:rPr>
            </w:pPr>
          </w:p>
        </w:tc>
      </w:tr>
      <w:tr>
        <w:trPr>
          <w:trHeight w:val="22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3,402,908</w:t>
            </w:r>
          </w:p>
        </w:tc>
        <w:tc>
          <w:tcPr>
            <w:tcW w:w="60" w:type="dxa"/>
            <w:vAlign w:val="bottom"/>
            <w:tcBorders>
              <w:bottom w:val="single" w:sz="8" w:color="auto"/>
            </w:tcBorders>
          </w:tcPr>
          <w:p>
            <w:pPr>
              <w:spacing w:after="0"/>
              <w:rPr>
                <w:sz w:val="19"/>
                <w:szCs w:val="19"/>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5,535,594</w:t>
            </w:r>
          </w:p>
        </w:tc>
        <w:tc>
          <w:tcPr>
            <w:tcW w:w="60" w:type="dxa"/>
            <w:vAlign w:val="bottom"/>
            <w:tcBorders>
              <w:bottom w:val="single" w:sz="8" w:color="auto"/>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On November 2, 2023, the Company, in the ordinary course of business, acquired certain technology assets from eSight for approximately $18.9 million in cash, the assumption of a $9.4 million promissory note given in exchange for the 20% equity the Company previously held in the assets, as well as an earn out provision over a ten year period. The earn out provision consists of multiple potential payments based on the revenue over the next ten calendar years, with the total earn out not to exceed $70 million. The Company funded the acquisition with cash on hand. The technology acquired from eSight provides advanced and versatile low-vision smart glasses for those with visual impairments and is compatible with more than 20 eye conditions including Macular Degeneration, Diabetic Retinopathy, and Stargardt disease. These assets are classified within the Company's Other segment.</w:t>
      </w:r>
    </w:p>
    <w:p>
      <w:pPr>
        <w:spacing w:after="0" w:line="21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The Company will account for the acquisition under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is still in the process of verifying data and finalizing information related to the valuation and recording of identifiable intangible assets, net working capital, contingent liabilities, and the resulting effects on the amount of recorded goodwill. The Company expects to finalize these matters within the measurement period, which is currently expected to remain open through the third quarter of 2024. Less than $0.1 million of revenue of the business of eSight was included in the Company's consolidated statement of income and comprehensive income for the year to date June 30, 2024.</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fair values of the assets acquired, and the liabilities assumed, as of the acquisition date of</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November 2, 2023:</w:t>
      </w:r>
    </w:p>
    <w:p>
      <w:pPr>
        <w:spacing w:after="0" w:line="280"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68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jc w:val="right"/>
              <w:ind w:right="1072"/>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441,228</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Personal Property</w:t>
            </w:r>
          </w:p>
        </w:tc>
        <w:tc>
          <w:tcPr>
            <w:tcW w:w="64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Right of Use Asset (Lease)</w:t>
            </w:r>
          </w:p>
        </w:tc>
        <w:tc>
          <w:tcPr>
            <w:tcW w:w="64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116,562</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ESight Technology</w:t>
            </w:r>
          </w:p>
        </w:tc>
        <w:tc>
          <w:tcPr>
            <w:tcW w:w="64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64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870,000</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4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26,696,012</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40,198,802</w:t>
            </w:r>
          </w:p>
        </w:tc>
      </w:tr>
      <w:tr>
        <w:trPr>
          <w:trHeight w:val="270"/>
        </w:trPr>
        <w:tc>
          <w:tcPr>
            <w:tcW w:w="68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116,562</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Earn Out Liability</w:t>
            </w:r>
          </w:p>
        </w:tc>
        <w:tc>
          <w:tcPr>
            <w:tcW w:w="64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12,000,000</w:t>
            </w:r>
          </w:p>
        </w:tc>
      </w:tr>
      <w:tr>
        <w:trPr>
          <w:trHeight w:val="232"/>
        </w:trPr>
        <w:tc>
          <w:tcPr>
            <w:tcW w:w="68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12,116,562</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SECOND QUARTER 2024 VERSUS SECOND QUARTER 2023</w:t>
      </w:r>
    </w:p>
    <w:p>
      <w:pPr>
        <w:spacing w:after="0" w:line="144"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second quarter of 2024 decreased by $10.5 million or 2%, when compared with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2023.</w:t>
      </w:r>
    </w:p>
    <w:p>
      <w:pPr>
        <w:spacing w:after="0" w:line="8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Automotive net sales for the second quarter of 2024 were $559.3 million, a 3% decrease when compared with automotive net sales of $574.1 million in the second quarter of 2023. The 6% decrease in automotive mirror unit shipments in the second quarter of 2024 to 12.2 million units, compared with 12.9 million units in the second quarter of 2023, was driven by a 6% quarter over quarter decrease in interior auto-dimming mirror unit shipments, and a 5% quarter over quarter decrease in exterior auto-dimming mirror unit shipments.</w:t>
      </w:r>
    </w:p>
    <w:p>
      <w:pPr>
        <w:spacing w:after="0" w:line="206" w:lineRule="exact"/>
        <w:rPr>
          <w:sz w:val="20"/>
          <w:szCs w:val="20"/>
          <w:color w:val="auto"/>
        </w:rPr>
      </w:pPr>
    </w:p>
    <w:p>
      <w:pPr>
        <w:ind w:left="660" w:right="220"/>
        <w:spacing w:after="0" w:line="287"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and six months ended June 30, 2024, and 2023 </w:t>
      </w:r>
      <w:r>
        <w:rPr>
          <w:rFonts w:ascii="Arial" w:cs="Arial" w:eastAsia="Arial" w:hAnsi="Arial"/>
          <w:sz w:val="18"/>
          <w:szCs w:val="18"/>
          <w:i w:val="1"/>
          <w:iCs w:val="1"/>
          <w:color w:val="auto"/>
        </w:rPr>
        <w:t>(in thousands):</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3280" w:type="dxa"/>
            <w:vAlign w:val="bottom"/>
          </w:tcPr>
          <w:p>
            <w:pPr>
              <w:spacing w:after="0"/>
              <w:rPr>
                <w:sz w:val="17"/>
                <w:szCs w:val="17"/>
                <w:color w:val="auto"/>
              </w:rPr>
            </w:pPr>
          </w:p>
        </w:tc>
        <w:tc>
          <w:tcPr>
            <w:tcW w:w="338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Three Months Ended June 30,</w:t>
            </w:r>
          </w:p>
        </w:tc>
        <w:tc>
          <w:tcPr>
            <w:tcW w:w="31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2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 Change</w:t>
            </w: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(2)%</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4,608</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4,825</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2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9"/>
              </w:rPr>
              <w:t>(5)%</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3,326</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3,419</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w:t>
            </w:r>
          </w:p>
        </w:tc>
      </w:tr>
      <w:tr>
        <w:trPr>
          <w:trHeight w:val="223"/>
        </w:trPr>
        <w:tc>
          <w:tcPr>
            <w:tcW w:w="3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Total North American Mirror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(4)%</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7,934</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8,244</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70"/>
        </w:trPr>
        <w:tc>
          <w:tcPr>
            <w:tcW w:w="3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(8)%</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10,744</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11,391</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r>
      <w:tr>
        <w:trPr>
          <w:trHeight w:val="23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9"/>
              </w:rPr>
              <w:t>(5)%</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5,978</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6,003</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3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International Mirror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(7)%</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16,721</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17,394</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70"/>
        </w:trPr>
        <w:tc>
          <w:tcPr>
            <w:tcW w:w="3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(6)%</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15,352</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16,216</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3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9"/>
              </w:rPr>
              <w:t>(5)%</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9,304</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9,422</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r>
      <w:tr>
        <w:trPr>
          <w:trHeight w:val="248"/>
        </w:trPr>
        <w:tc>
          <w:tcPr>
            <w:tcW w:w="3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Total Auto-Dimming Mirror Units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center"/>
              <w:ind w:right="52"/>
              <w:spacing w:after="0"/>
              <w:rPr>
                <w:sz w:val="20"/>
                <w:szCs w:val="20"/>
                <w:color w:val="auto"/>
              </w:rPr>
            </w:pPr>
            <w:r>
              <w:rPr>
                <w:rFonts w:ascii="Arial" w:cs="Arial" w:eastAsia="Arial" w:hAnsi="Arial"/>
                <w:sz w:val="18"/>
                <w:szCs w:val="18"/>
                <w:color w:val="auto"/>
                <w:w w:val="99"/>
              </w:rPr>
              <w:t>(6)%</w:t>
            </w:r>
          </w:p>
        </w:tc>
        <w:tc>
          <w:tcPr>
            <w:tcW w:w="11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24,655</w:t>
            </w: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25,638</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Note: Percent change and amounts may not total due to rounding.</w:t>
      </w:r>
    </w:p>
    <w:p>
      <w:pPr>
        <w:spacing w:after="0" w:line="250"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Other net sales were $13.6 million in the second quarter of 2024, compared to $ 9.4 million in the second quarter of 2023. Fire protection sales increased to $7.4 million for the second quarter of 2024, compared to $6.0 million in the same quarter of last year. Dimmable aircraft sales increased during the second quarter of 2024 to $6.3 million, compared to $3.3 million in the same quarter of last year.</w:t>
      </w:r>
    </w:p>
    <w:p>
      <w:pPr>
        <w:spacing w:after="0" w:line="203"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to 67.1% for the second quarter of 2024, versus</w:t>
      </w:r>
      <w:r>
        <w:rPr>
          <w:rFonts w:ascii="Arial" w:cs="Arial" w:eastAsia="Arial" w:hAnsi="Arial"/>
          <w:sz w:val="18"/>
          <w:szCs w:val="18"/>
          <w:i w:val="1"/>
          <w:iCs w:val="1"/>
          <w:color w:val="auto"/>
        </w:rPr>
        <w:t xml:space="preserve"> </w:t>
      </w:r>
      <w:r>
        <w:rPr>
          <w:rFonts w:ascii="Arial" w:cs="Arial" w:eastAsia="Arial" w:hAnsi="Arial"/>
          <w:sz w:val="18"/>
          <w:szCs w:val="18"/>
          <w:color w:val="auto"/>
        </w:rPr>
        <w:t>66.9% in the same quarter last year. The quarter over quarter decrease in the gross profit margin was primarily impacted by lower sales levels and unfavorable product mix due to lower than expected shipments of full display mirrors and exterior auto-dimming rearview mirrors. On a quarter over quarter basis, product mix had a negative impact on gross margin of approximately 100-125 basis points. Purchasing cost reductions had a positive impact on gross margin on a quarter over quarter basis of approximately 150-200 basis points.</w:t>
      </w:r>
    </w:p>
    <w:p>
      <w:pPr>
        <w:spacing w:after="0" w:line="358" w:lineRule="exact"/>
        <w:rPr>
          <w:sz w:val="20"/>
          <w:szCs w:val="20"/>
          <w:color w:val="auto"/>
        </w:rPr>
      </w:pPr>
    </w:p>
    <w:p>
      <w:pPr>
        <w:jc w:val="both"/>
        <w:ind w:left="660" w:right="20"/>
        <w:spacing w:after="0" w:line="260"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("E,R&amp;D") expenses for the second quarter of 2024 increased by $6.0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when compared with the second quarter of 2023, primarily due to staffing and engineering related professional fees.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FAAC16"/>
        </w:rPr>
        <w:t>.</w:t>
      </w:r>
    </w:p>
    <w:p>
      <w:pPr>
        <w:spacing w:after="0" w:line="9" w:lineRule="exact"/>
        <w:rPr>
          <w:sz w:val="20"/>
          <w:szCs w:val="20"/>
          <w:color w:val="auto"/>
        </w:rPr>
      </w:pPr>
    </w:p>
    <w:p>
      <w:pPr>
        <w:jc w:val="both"/>
        <w:ind w:left="660" w:right="20"/>
        <w:spacing w:after="0" w:line="258" w:lineRule="auto"/>
        <w:rPr>
          <w:sz w:val="20"/>
          <w:szCs w:val="20"/>
          <w:color w:val="auto"/>
        </w:rPr>
      </w:pPr>
      <w:r>
        <w:rPr>
          <w:rFonts w:ascii="Arial" w:cs="Arial" w:eastAsia="Arial" w:hAnsi="Arial"/>
          <w:sz w:val="18"/>
          <w:szCs w:val="18"/>
          <w:color w:val="auto"/>
        </w:rPr>
        <w:t>Selling, general and administrative ("S, G &amp; A") expenses increased by 7% or $1.9 million for the second quarter of 2024, compared to the second quarter of 2023, primarily due to increased staffing. S, G &amp; A expenses remained at approximately 5% of net sales in the second quarters of 2024 and 2023.</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24" w:name="page25"/>
    <w:bookmarkEnd w:id="24"/>
    <w:p>
      <w:pPr>
        <w:jc w:val="both"/>
        <w:spacing w:after="0" w:line="287" w:lineRule="auto"/>
        <w:rPr>
          <w:sz w:val="20"/>
          <w:szCs w:val="20"/>
          <w:color w:val="auto"/>
        </w:rPr>
      </w:pPr>
      <w:r>
        <w:rPr>
          <w:rFonts w:ascii="Arial" w:cs="Arial" w:eastAsia="Arial" w:hAnsi="Arial"/>
          <w:sz w:val="18"/>
          <w:szCs w:val="18"/>
          <w:color w:val="auto"/>
        </w:rPr>
        <w:t>Total operating expenses were $73.7 million in the second quarter of 2024, an increase of 12% quarter over quarter or $7.9 million, compared to $65.8 million in the second quarter of 2023.</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u w:val="single" w:color="auto"/>
          <w:color w:val="auto"/>
        </w:rPr>
        <w:t>Total Other (Loss)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(loss) income for the second quarter of 2024 decreased by $14.9 million, when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2023.</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15.1% for, and an income tax expense of $15.3 million was recorded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2024, compared to an effective tax rate of 15.1% for, and an income tax expense of $ 19.4 million recorded in, the same quarter of 2023. Typically, effective tax rates for the Company differ from statutory federal income tax rates, due to provisions for state and local income taxes, permanent tax differences, research and development tax credits and the foreign-derived intangible income tax deduction.</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second quarter of 2024 was $86.0 million, down from a net income of $109.2 million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2023. The change in net income was driven by the lower net sales and income from operations.</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second quarter of 2024 of $0.37, which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diluted share of $0.47 for the second quarter of 2023.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JUNE 30, 2024 VERSUS SIX MONTHS ENDED JUNE 30, 2023</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six months ended June 30, 2024 increased by $28.9 million or 3%, when compared with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2023.</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Automotive net sales for the first six months of 2024 were $1.1 billion, up 2.3% compared with automotive net sales of $1.1 billion for the first six months of 2023. Domestic automotive mirror shipments in the six months ended June 30, 2024 decreased 4% to 7.9 million units, compared with 8.2 million units in the same period in 2023. International automotive mirror shipments in the six months ended June 30, 2024 decreased 4% to 16.7 million units, compared with 17.4 million units in the same period in 2023.</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net sales were $26.3 million for the first six months of 2024, compared to $22.7 million for the same period last year. This increase is primarily due to the 63.3% increase in dimmable window aircraft sales for the first six months of 2024 to $12.1 million, from $7.4 million for the same period in 2023. Fire protection sales decreased by 7.4% to $14.2 million for the first six months of 2024, compared to $15.3 million in the same period of 2023.</w:t>
      </w:r>
    </w:p>
    <w:p>
      <w:pPr>
        <w:spacing w:after="0" w:line="1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decreased to 66.4% for the first six months of 2024, versus</w:t>
      </w:r>
      <w:r>
        <w:rPr>
          <w:rFonts w:ascii="Arial" w:cs="Arial" w:eastAsia="Arial" w:hAnsi="Arial"/>
          <w:sz w:val="18"/>
          <w:szCs w:val="18"/>
          <w:i w:val="1"/>
          <w:iCs w:val="1"/>
          <w:color w:val="auto"/>
        </w:rPr>
        <w:t xml:space="preserve"> </w:t>
      </w:r>
      <w:r>
        <w:rPr>
          <w:rFonts w:ascii="Arial" w:cs="Arial" w:eastAsia="Arial" w:hAnsi="Arial"/>
          <w:sz w:val="18"/>
          <w:szCs w:val="18"/>
          <w:color w:val="auto"/>
        </w:rPr>
        <w:t>67.6% in the same period last year. The period over period increase in the gross profit margin was primarily the result of reductions in material costs, improved fixed overhead leverage, freight expense decreases and tariff cost reductions, which were partially offset by customer price reductions.</w:t>
      </w:r>
    </w:p>
    <w:p>
      <w:pPr>
        <w:spacing w:after="0" w:line="3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 R &amp; D expenses for the six months ended June 30, 2024 were $86.2 million, compared with $72.6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last year. The 19% increase in E, R &amp; D expenses, in the first six months of 2024 compared to the same period in 2023, was primarily due to additional staffing, professional fees, and new product development.</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 G &amp; A expenses for the first six months of 2024 increased $5.7 million to $ 60.4 million, when compared to $54.7 million for the same period in 2023. S, G &amp; A expenses were approximately 5% of net sales in the first six months of 2024 and approximately 5% of net sales in the same period in 2023. S, G, &amp; A expenses increased on a year over year basis primarily due to increased staffing.</w:t>
      </w:r>
    </w:p>
    <w:p>
      <w:pPr>
        <w:spacing w:after="0" w:line="9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u w:val="single" w:color="auto"/>
          <w:color w:val="auto"/>
        </w:rPr>
        <w:t>Total Other (Loss)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(loss) income for the six months ended June 30, 2024 was $15.3 million, compared with a</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of $4.1 million for the same period last year.</w:t>
      </w:r>
    </w:p>
    <w:p>
      <w:pPr>
        <w:spacing w:after="0" w:line="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15.2% for the six months ended June 30, 2024, compared to 15.5%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2023. Generally, effective tax rates for the Company differ from</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4" w:right="339" w:bottom="1440" w:gutter="0" w:footer="0" w:header="0"/>
        </w:sectPr>
      </w:pPr>
    </w:p>
    <w:bookmarkStart w:id="25" w:name="page26"/>
    <w:bookmarkEnd w:id="25"/>
    <w:p>
      <w:pPr>
        <w:jc w:val="both"/>
        <w:ind w:right="20"/>
        <w:spacing w:after="0" w:line="287" w:lineRule="auto"/>
        <w:rPr>
          <w:sz w:val="20"/>
          <w:szCs w:val="20"/>
          <w:color w:val="auto"/>
        </w:rPr>
      </w:pPr>
      <w:r>
        <w:rPr>
          <w:rFonts w:ascii="Arial" w:cs="Arial" w:eastAsia="Arial" w:hAnsi="Arial"/>
          <w:sz w:val="18"/>
          <w:szCs w:val="18"/>
          <w:color w:val="auto"/>
        </w:rPr>
        <w:t>statutory federal income tax rates, due to provisions for state and local income taxes, permanent tax differences, the foreign-derived intangible income tax deduction, and research and development tax credits.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six months ended June 30, 2024 decreased by $12.5 million or 6% to $194.3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$206.7 million in the same period last year. The decrease in net income for the six months ended June 30, 2024 was primarily the result of the lower net sales and income from operations compared to the first six months of 2023.</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six months ended June 30, 2024 of $0.84,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diluted share of $0.88 for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44"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The Company's cash and cash equivalents as of June 30, 2024 were $260.2 million, an increase of $33.8 million, compared to $226.4 million as of December 31, 2023. The increase was primarily due to cash flows from operations, which were partially offset by capital expenditures, investment purchases, dividend payments, and share repurchases during the six months ended June 30, 2024.</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Short-term investments as of June 30, 2024 were $15.5 million, up from $14.4 million as of December 31, 2023, and long-term investments were $308.1 million as of June 30, 2024, up from $299.1 million as of December 31, 2023.</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Accounts receivable as of June 30, 2024 decreased approximately $15.2 million compared to December 31, 2023, primarily due to the decrease in sales and timing thereof during the six months ended June 30, 2024.</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Inventories as of June 30, 2024 were $463.5 million, compared to $402.5 million as of December 31, 2023, primarily due to increases in raw materials and finished goods.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Accounts payable as of June 30, 2024 increased approximately $21.6 million to $206.0 million, when compared to December 31, 2023, primarily driven by supplier payment terms and increased inventory purchases.</w:t>
      </w:r>
    </w:p>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Accrued liabilities as of June 30, 2024 increased approximately $11.5 million compared to December 31, 2023, primarily due to an increase in accrued salaries and wages.</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flow from operating activities for the six months ended June 30, 2024 increased $17.4 million to $259.1 million, compared with $241.8 million during the same six month period last year, primarily due to changes in working capital.</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Capital expenditures for the six months ended June 30, 2024 were approximately $63.6 million, compared with approximately $90.3 million for the same period last year. The decrease was primarily due to timing of payments and a decrease in expenditures related to building and facility construction projects previously disclosed as certain manufacturing facility construction was completed, as further described below.</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facility needs. In 2023, the Company completed construction on a 345,000 square-foot manufacturing facility located at a 140 acre site in Zeeland, Michigan. The total cost of the building project was approximately $85 million, which was funded with cash and cash equivalents on hand. The Company began construction on two building expansions during 2022. The Company is expanding its current distribution center for an additional 300,000 square feet, with a total cost still expected to be approximately $40 - $45 million. The Company is also expanding one of its manufacturing facilities for an additional 60,000 feet, with a total cost still expected to be $20 - $30 million. Both expansion projects will be funded with cash and cash equivalents on hand. The Company also entered into a multi-year lease for 32,000 square feet of manufacturing space at a location approximately 20 miles from its main campus that began operations during the second quarter of 2023.</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2023, the Company began the design and initial build phase of the previously announced Gentex Discovery Preschool, an on-site daycare and preschool designed to provide Company employees with convenient, cost-effective access to quality childcare. Construction is expected to begin in 2024, with an expected completion date in 2025. The total cost of the building project is expected to be $12 - $15 million, which will also be funded with cash and cash equivalents on hand.</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estimates that it currently has building capacity to manufacture approximately 42 - 45 million interior mirror units annually and approximately 19 - 22 million exterior mirror units annually, based on current product mix. The Company also evaluates equipment capacity on an ongoing basis and adds equipment as needed.</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considers the current working capital and long-term investments, in addition to internally generated cash flow, its Credit Agreement, and credit worthiness, to be sufficient to cover anticipated cash needs for the foreseeable future considering its contractual obligations and commitments.</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is a summary of working capital and long-term investments: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2024</w:t>
            </w:r>
          </w:p>
        </w:tc>
        <w:tc>
          <w:tcPr>
            <w:tcW w:w="18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779,155,353</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726,129,177</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Fixed Income Long-Term Investments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155,870,206</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155,863,252</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935,025,559</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881,992,429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has a previously announced share repurchase plan under which the Board of Directors has authorized the repurchase of shares of the Company's common stock, which remains a part of the broader publicly disclosed capital allocation strategy. Future share repurchases may vary from time to time and will take into account macroeconomic events, market trends, and other factors the Company deems appropriate (including, but not limited to, the market price of the stock, anti-dilutive effect of repurchases, and available cash). During the three and six months ended June 30, 2024, the Company repurchased 1,402,667 and 2,603,570 shares respectively. The Company has 13,247,609 shares remaining under the plan as of June 30, 2024, as is further detailed in </w:t>
      </w:r>
      <w:r>
        <w:rPr>
          <w:rFonts w:ascii="Arial" w:cs="Arial" w:eastAsia="Arial" w:hAnsi="Arial"/>
          <w:sz w:val="18"/>
          <w:szCs w:val="18"/>
          <w:u w:val="single" w:color="auto"/>
          <w:color w:val="auto"/>
        </w:rPr>
        <w:t>Part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Item 2</w:t>
      </w:r>
      <w:r>
        <w:rPr>
          <w:rFonts w:ascii="Arial" w:cs="Arial" w:eastAsia="Arial" w:hAnsi="Arial"/>
          <w:sz w:val="18"/>
          <w:szCs w:val="18"/>
          <w:color w:val="auto"/>
        </w:rPr>
        <w:t xml:space="preserve"> of this Form 10-Q.</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second quarter of 2024, the Company reported net sales of $572.9 million, compared to net sales of $ 583.5 million in the second quarter of 2023, a 2% decrease quarter over quarter. For the second quarter of 2024, global light vehicle production in North America, Europe, and Japan/Korea decreased approximately 3%, when compared to the second quarter of 2023.</w:t>
      </w:r>
    </w:p>
    <w:p>
      <w:pPr>
        <w:spacing w:after="0" w:line="196"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 the second quarter of 2024, the Company had 32 net new launches of interior and exterior auto-dimming mirrors and electronic features. Over 65% of the launches in the second quarter of 2024 were advanced feature launches, with HomeLink</w:t>
      </w:r>
      <w:r>
        <w:rPr>
          <w:rFonts w:ascii="Arial" w:cs="Arial" w:eastAsia="Arial" w:hAnsi="Arial"/>
          <w:sz w:val="23"/>
          <w:szCs w:val="23"/>
          <w:color w:val="auto"/>
          <w:vertAlign w:val="superscript"/>
        </w:rPr>
        <w:t>®</w:t>
      </w:r>
      <w:r>
        <w:rPr>
          <w:rFonts w:ascii="Arial" w:cs="Arial" w:eastAsia="Arial" w:hAnsi="Arial"/>
          <w:sz w:val="18"/>
          <w:szCs w:val="18"/>
          <w:color w:val="auto"/>
        </w:rPr>
        <w:t>,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and outside auto-dimming mirrors being the bulk of such launches.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Mirror Systems</w:t>
      </w:r>
    </w:p>
    <w:p>
      <w:pPr>
        <w:spacing w:after="0" w:line="25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2023, The People's Republic of China newly issued GB15084 and the related procedures, which allow for the Company's frameless inside mirrors to be used on vehicles in the China domestic market.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Camera Systems</w:t>
      </w:r>
    </w:p>
    <w:p>
      <w:pPr>
        <w:spacing w:after="0" w:line="24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production in 2015. Current automotive design trends are yielding vehicles with small rear windows that are often further obstructed by headrests, passengers, and roof support pillars which can significantly hinder the mirror’s rearward view.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offers bi-modal functionality. In mirror mode, the product functions as an auto -dimming rearview mirror which means that during nighttime driving, digital light 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essential, because in the event of any failure of the camera or display, the product is able to function as a mirror, which meets long-standing safety requirements in the automotive industry. In addition, the driver has the ability to switch between modes to accommodate usage preferences for various weather conditions, lighting conditions, and driving tasks.</w:t>
      </w:r>
    </w:p>
    <w:p>
      <w:pPr>
        <w:spacing w:after="0" w:line="22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of the second quarter of 2024, the Company is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nineteen different automaker customers. The Company remains confident that ongoing discussions with certain other customers may in the future cause such customers to consider adding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into their product road-map for future vehicles.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9" w:right="339" w:bottom="1440" w:gutter="0" w:footer="0" w:header="0"/>
        </w:sectPr>
      </w:pPr>
    </w:p>
    <w:bookmarkStart w:id="28" w:name="page29"/>
    <w:bookmarkEnd w:id="28"/>
    <w:p>
      <w:pPr>
        <w:jc w:val="both"/>
        <w:spacing w:after="0" w:line="239" w:lineRule="auto"/>
        <w:rPr>
          <w:sz w:val="20"/>
          <w:szCs w:val="20"/>
          <w:color w:val="auto"/>
        </w:rPr>
      </w:pPr>
      <w:r>
        <w:rPr>
          <w:rFonts w:ascii="Arial" w:cs="Arial" w:eastAsia="Arial" w:hAnsi="Arial"/>
          <w:sz w:val="18"/>
          <w:szCs w:val="18"/>
          <w:color w:val="auto"/>
        </w:rPr>
        <w:t>To enhance capability and usability of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previously introduced its three-camera rear vision system that streams rear video in multiple composite views to its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believes it is the industry’s first practical and comprehensive rear vision solution designed to meet automaker, driver, safety, and regulatory requirements. The Company's rear vision system, known generally as a camera monitoring system ("CMS"), uses three cameras to provide a comprehensive view of the sides and rear of the vehicle. The side-view cameras are discretely housed in downsized, automatic-dimming exterior mirrors. Their video feeds are combined with that of a roof-mounted or rear window based camera and stitched together into multiple composite views, which are streamed to the driver using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thereby enhancing safety by allowing the system to fail safe. During any failures due to weather conditions or otherwise that disrupt the digital view, drivers can still safely use the interior and exterior mirrors. The system also supports user preference by permitting drivers to use standard mirror views, camera views, or both. The system can also be tuned to meet the various regulatory field-of-view requirements around the world by using different types of flat and curved glass, combined with simple alterations to the video viewing modes.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w:t>
      </w:r>
    </w:p>
    <w:p>
      <w:pPr>
        <w:spacing w:after="0" w:line="3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camera monitoring systems to replace mirrors in Japan and European countries. Since January 2017, camera monitoring systems are also permitted as an alternative to replace mirrors in the Korea market. As noted, China released an updated version of its GB15084, effective in 2023, which allows for camera monitoring systems, frameless mirrors and aspheric (free-form) glass surfaces. Notwithstanding the foregoing, the Company continues to believe rearview mirrors provide a robust, simple and cost effective means to view the surrounding areas of a vehicle and remain a primary safety function for rear vision today. 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As noted, the Company has been in production with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since 2015 and has, in the ordinary course of business, been awarded programs with nineteen OEM customers. The Company is currently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all nineteen of these automaker customers. The Company's CMS solution uses three cameras to provide a comprehensive view of the sides and rear of the vehicle while still providing the traditional safety of interior and exterior mirrors, which mirrors continue to function when cameras are obstructed or are not functioning. The Company has also previously announced that it continues development in the areas of imager performance, camera dynamic range, lens design, image processing from the camera to the display, and camera lens cleaning. The Company acknowledges that as such technology evolves over time, such as cameras replacing mirrors and/or autonomous driving, there is increased competition.</w:t>
      </w:r>
    </w:p>
    <w:p>
      <w:pPr>
        <w:spacing w:after="0" w:line="118"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The Company began shipping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Digital Video Recording ("DVR" capability) in 2020. This mirror and system launched in the Japan market and combine the superior functionality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with the added capability to record video from the rearward facing and forward-facing cameras simultaneously. The data is stored to an SD storage card as requested by the customer. This integrated solution provides consumers with the features they want, while allowing the OEM to control the integration and execution in the vehicle.</w:t>
      </w:r>
    </w:p>
    <w:p>
      <w:pPr>
        <w:spacing w:after="0" w:line="12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Company's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are the auto industry's most widely used and trusted car-to-home communication system, with an estimated 50 million units on the road. The system consists of two or three in-vehicle buttons that can be programmed to operate garage doors, security gates, home lighting, and other radio-frequency-controlled devices. In 2017, the Company demonstrated the next generation of HomeLink</w:t>
      </w:r>
      <w:r>
        <w:rPr>
          <w:rFonts w:ascii="Arial" w:cs="Arial" w:eastAsia="Arial" w:hAnsi="Arial"/>
          <w:sz w:val="23"/>
          <w:szCs w:val="23"/>
          <w:color w:val="auto"/>
          <w:vertAlign w:val="superscript"/>
        </w:rPr>
        <w:t>®</w:t>
      </w:r>
      <w:r>
        <w:rPr>
          <w:rFonts w:ascii="Arial" w:cs="Arial" w:eastAsia="Arial" w:hAnsi="Arial"/>
          <w:sz w:val="18"/>
          <w:szCs w:val="18"/>
          <w:color w:val="auto"/>
        </w:rPr>
        <w:t>, commonly referred to as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which uses both RF and wireless cloud-based connectivity to deliver complete vehicle-to-home automation. With HomeLink Connect</w:t>
      </w:r>
      <w:r>
        <w:rPr>
          <w:rFonts w:ascii="Arial" w:cs="Arial" w:eastAsia="Arial" w:hAnsi="Arial"/>
          <w:sz w:val="23"/>
          <w:szCs w:val="23"/>
          <w:color w:val="auto"/>
          <w:vertAlign w:val="superscript"/>
        </w:rPr>
        <w:t>®</w:t>
      </w:r>
      <w:r>
        <w:rPr>
          <w:rFonts w:ascii="Arial" w:cs="Arial" w:eastAsia="Arial" w:hAnsi="Arial"/>
          <w:sz w:val="18"/>
          <w:szCs w:val="18"/>
          <w:color w:val="auto"/>
        </w:rPr>
        <w:t>, a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 press communicates with the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on the user’s smartphone. The app contains</w:t>
      </w: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28" w:right="339" w:bottom="1440" w:gutter="0" w:footer="0" w:header="0"/>
        </w:sectPr>
      </w:pPr>
    </w:p>
    <w:bookmarkStart w:id="29" w:name="page30"/>
    <w:bookmarkEnd w:id="29"/>
    <w:p>
      <w:pPr>
        <w:jc w:val="both"/>
        <w:spacing w:after="0" w:line="228" w:lineRule="auto"/>
        <w:rPr>
          <w:sz w:val="20"/>
          <w:szCs w:val="20"/>
          <w:color w:val="auto"/>
        </w:rPr>
      </w:pPr>
      <w:r>
        <w:rPr>
          <w:rFonts w:ascii="Arial" w:cs="Arial" w:eastAsia="Arial" w:hAnsi="Arial"/>
          <w:sz w:val="18"/>
          <w:szCs w:val="18"/>
          <w:color w:val="auto"/>
        </w:rPr>
        <w:t>predefined, user-programmed actions, from single device operations to entire home automation scenes. The app, in turn, communicates to the home’s smart hub over the cloud activates the appropriate devices, including security systems, door locks, thermostats, lighting, and other home automation devices, providing comprehensive vehicle-to-home automation. The ability to prepare the home for arrival or departure can occur with one button press. For the automaker, it allows them to offer a customizable, yet proven solution without the engineering effort or security concerns associated with integrating third party software into the vehicle’s computer network. The Company also continues to work on providing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for alternative automobile and vehicle types which include, but are not limited to, motorcycles, mopeds, snowmobiles, tractors, combines, lawn mowers, loaders, bulldozers, road-graders, backhoes, and golf carts. In 2021, the Company announced the Volkswagen as the first automaker to offer Bluetooth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enabled mirror for home automation that works in conjunction with HomeLink Connect</w:t>
      </w:r>
      <w:r>
        <w:rPr>
          <w:rFonts w:ascii="Arial" w:cs="Arial" w:eastAsia="Arial" w:hAnsi="Arial"/>
          <w:sz w:val="23"/>
          <w:szCs w:val="23"/>
          <w:color w:val="auto"/>
          <w:vertAlign w:val="superscript"/>
        </w:rPr>
        <w:t>®</w:t>
      </w:r>
      <w:r>
        <w:rPr>
          <w:rFonts w:ascii="Arial" w:cs="Arial" w:eastAsia="Arial" w:hAnsi="Arial"/>
          <w:sz w:val="18"/>
          <w:szCs w:val="18"/>
          <w:color w:val="auto"/>
        </w:rPr>
        <w:t>. The Company further continues to work with compatibility partners for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in other markets, like China. The unique attributes of the China market allow for potential different use cases of these products and offer the potential for additional growth opportunities for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and products. In 2017, the Company began its first volume production shipments of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units on vehicles for the China market.</w:t>
      </w:r>
    </w:p>
    <w:p>
      <w:pPr>
        <w:spacing w:after="0" w:line="22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2016, the Company announced a partnership with TransCore to provide automobile manufacturers with a vehicle-integrated tolling solution that enables motorists to drive on nearly all U.S. toll roads without a traditional toll tag on the windshield. Currently more than 75 percent of new car registrations are in states with toll roads with over 50 million drivers accessing these roads each year. The interior mirror is the optimal location for a vehicle-integrated toll transponder and it eliminates the need to affix multiple toll tags to the windshield and helps automakers seamlessly integrate toll collection into the car. Since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provides transportation agencies with an interoperability solution without costly infrastructure changes to the thousands of miles of toll lanes throughout North America. The Company believes that this product could potentially represent another growth opportunity over the next several years.</w:t>
      </w:r>
    </w:p>
    <w:p>
      <w:pPr>
        <w:spacing w:after="0" w:line="225"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The Company previously announced its first OEM award of ITM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with Audi. Currently, the Company is shipping ITM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on 11 Audi platforms, which are: the A4, A5, A6, A7, A8, Q5, Q5 Sportback, Q7, Q8, e-tron, and the e-tron Sportback. The Company expects further ITM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nameplate launches with Audi throughout the remainder of 2024. The Company is also shipping ITM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to a second OEM customer, Mercedes, on the EQS model. In 2020, the Company was honored with an Automotive News PACE Award for its ITM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which recognizes automotive suppliers for superior innovation, technological advancement, and business performance.</w:t>
      </w:r>
    </w:p>
    <w:p>
      <w:pPr>
        <w:spacing w:after="0" w:line="22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Further, the Company has previously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current biometric systems. The Company's future plans include integrating biometric authentication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3"/>
          <w:szCs w:val="23"/>
          <w:color w:val="auto"/>
          <w:vertAlign w:val="superscript"/>
        </w:rPr>
        <w:t>®</w:t>
      </w:r>
      <w:r>
        <w:rPr>
          <w:rFonts w:ascii="Arial" w:cs="Arial" w:eastAsia="Arial" w:hAnsi="Arial"/>
          <w:sz w:val="18"/>
          <w:szCs w:val="18"/>
          <w:color w:val="auto"/>
        </w:rPr>
        <w:t>. The biometric system will allow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 The Company announced in 2018 that it completed an exclusive licensing agreement, in the ordinary course of business, with Fingerprint Cards AB to deploy its ActiveIRIS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iris-scanning biometric technology in automotive applications.</w:t>
      </w:r>
    </w:p>
    <w:p>
      <w:pPr>
        <w:spacing w:after="0" w:line="22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2020, the Company announced a partnership, in the ordinary course of business, with PayByCar™, to pursue compatibility between the Company's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PayByCar's innovative payment solution that allows drivers to use their smartphones and toll transponder to fuel up at certain gas stations without using cash or a credit card. Compatibility between these two technologies can help to grow each company's respective consumer base, while introducing new users to the benefits of the transactional vehicle.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9" w:right="339" w:bottom="1440" w:gutter="0" w:footer="0" w:header="0"/>
        </w:sectPr>
      </w:pPr>
    </w:p>
    <w:bookmarkStart w:id="30" w:name="page31"/>
    <w:bookmarkEnd w:id="30"/>
    <w:p>
      <w:pPr>
        <w:jc w:val="both"/>
        <w:spacing w:after="0" w:line="239" w:lineRule="auto"/>
        <w:rPr>
          <w:sz w:val="20"/>
          <w:szCs w:val="20"/>
          <w:color w:val="auto"/>
        </w:rPr>
      </w:pPr>
      <w:r>
        <w:rPr>
          <w:rFonts w:ascii="Arial" w:cs="Arial" w:eastAsia="Arial" w:hAnsi="Arial"/>
          <w:sz w:val="18"/>
          <w:szCs w:val="18"/>
          <w:color w:val="auto"/>
        </w:rPr>
        <w:t>In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w:t>
      </w:r>
      <w:r>
        <w:rPr>
          <w:rFonts w:ascii="Arial" w:cs="Arial" w:eastAsia="Arial" w:hAnsi="Arial"/>
          <w:sz w:val="23"/>
          <w:szCs w:val="23"/>
          <w:color w:val="auto"/>
          <w:vertAlign w:val="superscript"/>
        </w:rPr>
        <w:t>®</w:t>
      </w:r>
      <w:r>
        <w:rPr>
          <w:rFonts w:ascii="Arial" w:cs="Arial" w:eastAsia="Arial" w:hAnsi="Arial"/>
          <w:sz w:val="18"/>
          <w:szCs w:val="18"/>
          <w:color w:val="auto"/>
        </w:rPr>
        <w:t>, which, again, is the automotive industry’s leading car-to-home automation system.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consists of vehicle-integrated buttons that can be programmed to operate a myriad of home automation devices. Integration of Simplenight into the Company's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is underway and will allow users to program their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buttons and control cloud-based devices from their vehicles.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Dimmable Devices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other aircraft manufacturers that have an interest in this technology regarding potential additional programs. In 2019, the Company announced that its latest generation of dimmable aircraft windows will be offered as optional content on the new Boeing 777X. In 2019, the first production shipments of variably dimmable windows were made to Boeing for the 777X program. As also previously announced, Airbus is now offering, as optional content, the Company's dimmable aircraft windows on its aircraft, with production having begun in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 month 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 In 2024, the Company continues to further develop and work on the intelligent medical lighting system in order to assess system performance and work toward obtaining any necessary approvals.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 2023, in the ordinary course of business, the Company acquired certain technology assets from eSight Corporation for approximately $18.9 million in cash, the assumption of a $9.4 million promissory note given in exchange for the 20% equity the Company previously held, as well as an earn out provision over a ten year period. The technology acquired from eSight provides the most advanced and versatile low-vision smart glasses available for those with visual impairments and is compatible with more than 20 eye conditions including Macular Degeneration, Diabetic Retinopathy, and Stargardt disease.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Automotive revenues represent approximately 97% - 99% of the Company's total revenue, consisting of interior and exterior electrochromic automatic-dimming rearview mirrors and automotive electronics.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continues to experience pricing pressure from automotive customers and competitors, in addition to raw material cost increases, labor cost increases, and logistics costs, which will continue to cause downward pressure on its sales and profit margins. The Company works continuously to offset these supply chain issues and inflationary pressures with engineering and purchasing cost reductions, productivity improvements, increases in unit sales volume, and negotiations with customers to reduce the impact of the inflationary pressures, but there is no assurance the Company will be able to do so in the future.</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can be affected by uncertain economic conditions that</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31" w:name="page32"/>
    <w:bookmarkEnd w:id="31"/>
    <w:p>
      <w:pPr>
        <w:jc w:val="both"/>
        <w:ind w:right="20"/>
        <w:spacing w:after="0" w:line="287" w:lineRule="auto"/>
        <w:rPr>
          <w:sz w:val="20"/>
          <w:szCs w:val="20"/>
          <w:color w:val="auto"/>
        </w:rPr>
      </w:pPr>
      <w:r>
        <w:rPr>
          <w:rFonts w:ascii="Arial" w:cs="Arial" w:eastAsia="Arial" w:hAnsi="Arial"/>
          <w:sz w:val="18"/>
          <w:szCs w:val="18"/>
          <w:color w:val="auto"/>
        </w:rPr>
        <w:t>can reduce demand for its products, including the current inflationary environment. The Company has been likewise affected by industry-wide parts shortages and global supply constraints and labor shortages.</w:t>
      </w:r>
    </w:p>
    <w:p>
      <w:pPr>
        <w:spacing w:after="0" w:line="18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dimmable devices, electronics, and other features that it offers for the automotive, aerospace, and medical industry.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current forecasts for light vehicle production for the third quarter of 2024, and full years 2024 and 2025, are based on the mid-July 2024 S&amp;P Global Mobility forecast for light vehicle production in North America, Europe, Japan/Korea, and China. Third quarter of 2024, and calendar years 2024 and 2025, forecasted light vehicle production volumes are shown below:</w:t>
      </w:r>
    </w:p>
    <w:p>
      <w:pPr>
        <w:spacing w:after="0" w:line="212" w:lineRule="exact"/>
        <w:rPr>
          <w:sz w:val="20"/>
          <w:szCs w:val="20"/>
          <w:color w:val="auto"/>
        </w:rPr>
      </w:pPr>
    </w:p>
    <w:p>
      <w:pPr>
        <w:jc w:val="center"/>
        <w:ind w:right="4100"/>
        <w:spacing w:after="0"/>
        <w:rPr>
          <w:sz w:val="20"/>
          <w:szCs w:val="20"/>
          <w:color w:val="auto"/>
        </w:rPr>
      </w:pPr>
      <w:r>
        <w:rPr>
          <w:rFonts w:ascii="Arial" w:cs="Arial" w:eastAsia="Arial" w:hAnsi="Arial"/>
          <w:sz w:val="20"/>
          <w:szCs w:val="20"/>
          <w:b w:val="1"/>
          <w:bCs w:val="1"/>
          <w:color w:val="auto"/>
        </w:rPr>
        <w:t>Light Vehicle Production (per S&amp;P Global Mobility mid-July light</w:t>
      </w:r>
    </w:p>
    <w:p>
      <w:pPr>
        <w:jc w:val="center"/>
        <w:ind w:right="4100"/>
        <w:spacing w:after="0"/>
        <w:rPr>
          <w:sz w:val="20"/>
          <w:szCs w:val="20"/>
          <w:color w:val="auto"/>
        </w:rPr>
      </w:pPr>
      <w:r>
        <w:rPr>
          <w:rFonts w:ascii="Arial" w:cs="Arial" w:eastAsia="Arial" w:hAnsi="Arial"/>
          <w:sz w:val="20"/>
          <w:szCs w:val="20"/>
          <w:b w:val="1"/>
          <w:bCs w:val="1"/>
          <w:color w:val="auto"/>
        </w:rPr>
        <w:t>vehicle production forecast)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rPr>
              <w:t>Calendar Calendar Calendar</w:t>
            </w:r>
          </w:p>
        </w:tc>
        <w:tc>
          <w:tcPr>
            <w:tcW w:w="740" w:type="dxa"/>
            <w:vAlign w:val="bottom"/>
          </w:tcPr>
          <w:p>
            <w:pPr>
              <w:jc w:val="right"/>
              <w:ind w:right="38"/>
              <w:spacing w:after="0"/>
              <w:rPr>
                <w:sz w:val="20"/>
                <w:szCs w:val="20"/>
                <w:color w:val="auto"/>
              </w:rPr>
            </w:pPr>
            <w:r>
              <w:rPr>
                <w:rFonts w:ascii="Arial" w:cs="Arial" w:eastAsia="Arial" w:hAnsi="Arial"/>
                <w:sz w:val="14"/>
                <w:szCs w:val="14"/>
                <w:b w:val="1"/>
                <w:bCs w:val="1"/>
                <w:color w:val="auto"/>
              </w:rPr>
              <w:t>2025 vs</w:t>
            </w:r>
          </w:p>
        </w:tc>
        <w:tc>
          <w:tcPr>
            <w:tcW w:w="740" w:type="dxa"/>
            <w:vAlign w:val="bottom"/>
          </w:tcPr>
          <w:p>
            <w:pPr>
              <w:jc w:val="right"/>
              <w:ind w:right="38"/>
              <w:spacing w:after="0"/>
              <w:rPr>
                <w:sz w:val="20"/>
                <w:szCs w:val="20"/>
                <w:color w:val="auto"/>
              </w:rPr>
            </w:pPr>
            <w:r>
              <w:rPr>
                <w:rFonts w:ascii="Arial" w:cs="Arial" w:eastAsia="Arial" w:hAnsi="Arial"/>
                <w:sz w:val="14"/>
                <w:szCs w:val="14"/>
                <w:b w:val="1"/>
                <w:bCs w:val="1"/>
                <w:color w:val="auto"/>
              </w:rPr>
              <w:t>2024 vs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060" w:type="dxa"/>
            <w:vAlign w:val="bottom"/>
            <w:gridSpan w:val="4"/>
            <w:vMerge w:val="continue"/>
          </w:tcPr>
          <w:p>
            <w:pPr>
              <w:spacing w:after="0"/>
              <w:rPr>
                <w:sz w:val="12"/>
                <w:szCs w:val="12"/>
                <w:color w:val="auto"/>
              </w:rPr>
            </w:pPr>
          </w:p>
        </w:tc>
        <w:tc>
          <w:tcPr>
            <w:tcW w:w="74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2024</w:t>
            </w:r>
          </w:p>
        </w:tc>
        <w:tc>
          <w:tcPr>
            <w:tcW w:w="74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39"/>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Region</w:t>
            </w: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Q3 2024 Q3 2023</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180"/>
              <w:spacing w:after="0" w:line="139" w:lineRule="exact"/>
              <w:rPr>
                <w:sz w:val="20"/>
                <w:szCs w:val="20"/>
                <w:color w:val="auto"/>
              </w:rPr>
            </w:pPr>
            <w:r>
              <w:rPr>
                <w:rFonts w:ascii="Arial" w:cs="Arial" w:eastAsia="Arial" w:hAnsi="Arial"/>
                <w:sz w:val="14"/>
                <w:szCs w:val="14"/>
                <w:b w:val="1"/>
                <w:bCs w:val="1"/>
                <w:color w:val="auto"/>
              </w:rPr>
              <w:t>Year</w:t>
            </w:r>
          </w:p>
        </w:tc>
        <w:tc>
          <w:tcPr>
            <w:tcW w:w="6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Year</w:t>
            </w:r>
          </w:p>
        </w:tc>
        <w:tc>
          <w:tcPr>
            <w:tcW w:w="740" w:type="dxa"/>
            <w:vAlign w:val="bottom"/>
            <w:gridSpan w:val="2"/>
          </w:tcPr>
          <w:p>
            <w:pPr>
              <w:ind w:left="180"/>
              <w:spacing w:after="0" w:line="139" w:lineRule="exact"/>
              <w:rPr>
                <w:sz w:val="20"/>
                <w:szCs w:val="20"/>
                <w:color w:val="auto"/>
              </w:rPr>
            </w:pPr>
            <w:r>
              <w:rPr>
                <w:rFonts w:ascii="Arial" w:cs="Arial" w:eastAsia="Arial" w:hAnsi="Arial"/>
                <w:sz w:val="14"/>
                <w:szCs w:val="14"/>
                <w:b w:val="1"/>
                <w:bCs w:val="1"/>
                <w:color w:val="auto"/>
              </w:rPr>
              <w:t>Year</w:t>
            </w:r>
          </w:p>
        </w:tc>
        <w:tc>
          <w:tcPr>
            <w:tcW w:w="740" w:type="dxa"/>
            <w:vAlign w:val="bottom"/>
          </w:tcPr>
          <w:p>
            <w:pPr>
              <w:jc w:val="right"/>
              <w:ind w:right="238"/>
              <w:spacing w:after="0" w:line="139"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38"/>
              <w:spacing w:after="0" w:line="13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96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2025</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2024</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740" w:type="dxa"/>
            <w:vAlign w:val="bottom"/>
          </w:tcPr>
          <w:p>
            <w:pPr>
              <w:jc w:val="right"/>
              <w:ind w:right="38"/>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jc w:val="right"/>
              <w:ind w:right="3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9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North</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3.85</w:t>
            </w:r>
          </w:p>
        </w:tc>
        <w:tc>
          <w:tcPr>
            <w:tcW w:w="660" w:type="dxa"/>
            <w:vAlign w:val="bottom"/>
            <w:tcBorders>
              <w:top w:val="single" w:sz="8" w:color="auto"/>
            </w:tcBorders>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3.94</w:t>
            </w:r>
          </w:p>
        </w:tc>
        <w:tc>
          <w:tcPr>
            <w:tcW w:w="700" w:type="dxa"/>
            <w:vAlign w:val="bottom"/>
            <w:tcBorders>
              <w:top w:val="single" w:sz="8" w:color="auto"/>
            </w:tcBorders>
            <w:vMerge w:val="restart"/>
            <w:shd w:val="clear" w:color="auto" w:fill="CCEEFF"/>
          </w:tcPr>
          <w:p>
            <w:pPr>
              <w:ind w:left="280"/>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20"/>
                <w:szCs w:val="20"/>
                <w:color w:val="auto"/>
                <w:w w:val="99"/>
              </w:rPr>
              <w:t>15.94</w:t>
            </w:r>
          </w:p>
        </w:tc>
        <w:tc>
          <w:tcPr>
            <w:tcW w:w="6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20"/>
                <w:szCs w:val="20"/>
                <w:color w:val="auto"/>
                <w:w w:val="99"/>
              </w:rPr>
              <w:t>15.77</w:t>
            </w:r>
          </w:p>
        </w:tc>
        <w:tc>
          <w:tcPr>
            <w:tcW w:w="6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20"/>
                <w:szCs w:val="20"/>
                <w:color w:val="auto"/>
                <w:w w:val="99"/>
              </w:rPr>
              <w:t>15.68</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74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w:t>
            </w:r>
          </w:p>
        </w:tc>
        <w:tc>
          <w:tcPr>
            <w:tcW w:w="56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tcBorders>
              <w:right w:val="single" w:sz="8" w:color="auto"/>
            </w:tcBorders>
            <w:vMerge w:val="continue"/>
            <w:shd w:val="clear" w:color="auto" w:fill="CCEEFF"/>
          </w:tcPr>
          <w:p>
            <w:pPr>
              <w:spacing w:after="0"/>
              <w:rPr>
                <w:sz w:val="21"/>
                <w:szCs w:val="21"/>
                <w:color w:val="auto"/>
              </w:rPr>
            </w:pPr>
          </w:p>
        </w:tc>
        <w:tc>
          <w:tcPr>
            <w:tcW w:w="740" w:type="dxa"/>
            <w:vAlign w:val="bottom"/>
            <w:tcBorders>
              <w:right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960" w:type="dxa"/>
            <w:vAlign w:val="bottom"/>
          </w:tcPr>
          <w:p>
            <w:pPr>
              <w:ind w:left="20"/>
              <w:spacing w:after="0"/>
              <w:rPr>
                <w:sz w:val="20"/>
                <w:szCs w:val="20"/>
                <w:color w:val="auto"/>
              </w:rPr>
            </w:pPr>
            <w:r>
              <w:rPr>
                <w:rFonts w:ascii="Arial" w:cs="Arial" w:eastAsia="Arial" w:hAnsi="Arial"/>
                <w:sz w:val="18"/>
                <w:szCs w:val="18"/>
                <w:color w:val="auto"/>
              </w:rPr>
              <w:t>Europe</w:t>
            </w:r>
          </w:p>
        </w:tc>
        <w:tc>
          <w:tcPr>
            <w:tcW w:w="560" w:type="dxa"/>
            <w:vAlign w:val="bottom"/>
          </w:tcPr>
          <w:p>
            <w:pPr>
              <w:jc w:val="right"/>
              <w:spacing w:after="0"/>
              <w:rPr>
                <w:sz w:val="20"/>
                <w:szCs w:val="20"/>
                <w:color w:val="auto"/>
              </w:rPr>
            </w:pPr>
            <w:r>
              <w:rPr>
                <w:rFonts w:ascii="Arial" w:cs="Arial" w:eastAsia="Arial" w:hAnsi="Arial"/>
                <w:sz w:val="20"/>
                <w:szCs w:val="20"/>
                <w:color w:val="auto"/>
              </w:rPr>
              <w:t>3.72</w:t>
            </w:r>
          </w:p>
        </w:tc>
        <w:tc>
          <w:tcPr>
            <w:tcW w:w="660" w:type="dxa"/>
            <w:vAlign w:val="bottom"/>
          </w:tcPr>
          <w:p>
            <w:pPr>
              <w:jc w:val="right"/>
              <w:ind w:right="21"/>
              <w:spacing w:after="0"/>
              <w:rPr>
                <w:sz w:val="20"/>
                <w:szCs w:val="20"/>
                <w:color w:val="auto"/>
              </w:rPr>
            </w:pPr>
            <w:r>
              <w:rPr>
                <w:rFonts w:ascii="Arial" w:cs="Arial" w:eastAsia="Arial" w:hAnsi="Arial"/>
                <w:sz w:val="20"/>
                <w:szCs w:val="20"/>
                <w:color w:val="auto"/>
              </w:rPr>
              <w:t>3.94</w:t>
            </w:r>
          </w:p>
        </w:tc>
        <w:tc>
          <w:tcPr>
            <w:tcW w:w="700" w:type="dxa"/>
            <w:vAlign w:val="bottom"/>
          </w:tcPr>
          <w:p>
            <w:pPr>
              <w:ind w:left="2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20"/>
                <w:szCs w:val="20"/>
                <w:color w:val="auto"/>
                <w:w w:val="99"/>
              </w:rPr>
              <w:t>17.26</w:t>
            </w:r>
          </w:p>
        </w:tc>
        <w:tc>
          <w:tcPr>
            <w:tcW w:w="660" w:type="dxa"/>
            <w:vAlign w:val="bottom"/>
          </w:tcPr>
          <w:p>
            <w:pPr>
              <w:jc w:val="center"/>
              <w:spacing w:after="0"/>
              <w:rPr>
                <w:sz w:val="20"/>
                <w:szCs w:val="20"/>
                <w:color w:val="auto"/>
              </w:rPr>
            </w:pPr>
            <w:r>
              <w:rPr>
                <w:rFonts w:ascii="Arial" w:cs="Arial" w:eastAsia="Arial" w:hAnsi="Arial"/>
                <w:sz w:val="20"/>
                <w:szCs w:val="20"/>
                <w:color w:val="auto"/>
                <w:w w:val="99"/>
              </w:rPr>
              <w:t>17.14</w:t>
            </w:r>
          </w:p>
        </w:tc>
        <w:tc>
          <w:tcPr>
            <w:tcW w:w="660" w:type="dxa"/>
            <w:vAlign w:val="bottom"/>
          </w:tcPr>
          <w:p>
            <w:pPr>
              <w:jc w:val="center"/>
              <w:spacing w:after="0"/>
              <w:rPr>
                <w:sz w:val="20"/>
                <w:szCs w:val="20"/>
                <w:color w:val="auto"/>
              </w:rPr>
            </w:pPr>
            <w:r>
              <w:rPr>
                <w:rFonts w:ascii="Arial" w:cs="Arial" w:eastAsia="Arial" w:hAnsi="Arial"/>
                <w:sz w:val="20"/>
                <w:szCs w:val="20"/>
                <w:color w:val="auto"/>
                <w:w w:val="99"/>
              </w:rPr>
              <w:t>17.97</w:t>
            </w:r>
          </w:p>
        </w:tc>
        <w:tc>
          <w:tcPr>
            <w:tcW w:w="80" w:type="dxa"/>
            <w:vAlign w:val="bottom"/>
          </w:tcPr>
          <w:p>
            <w:pPr>
              <w:spacing w:after="0"/>
              <w:rPr>
                <w:sz w:val="22"/>
                <w:szCs w:val="22"/>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5"/>
        </w:trPr>
        <w:tc>
          <w:tcPr>
            <w:tcW w:w="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Japan and</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3.07</w:t>
            </w:r>
          </w:p>
        </w:tc>
        <w:tc>
          <w:tcPr>
            <w:tcW w:w="66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3.13</w:t>
            </w:r>
          </w:p>
        </w:tc>
        <w:tc>
          <w:tcPr>
            <w:tcW w:w="70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20"/>
                <w:szCs w:val="20"/>
                <w:color w:val="auto"/>
                <w:w w:val="99"/>
              </w:rPr>
              <w:t>12.05</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20"/>
                <w:szCs w:val="20"/>
                <w:color w:val="auto"/>
                <w:w w:val="99"/>
              </w:rPr>
              <w:t>12.12</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20"/>
                <w:szCs w:val="20"/>
                <w:color w:val="auto"/>
                <w:w w:val="99"/>
              </w:rPr>
              <w:t>12.80</w:t>
            </w:r>
          </w:p>
        </w:tc>
        <w:tc>
          <w:tcPr>
            <w:tcW w:w="80" w:type="dxa"/>
            <w:vAlign w:val="bottom"/>
            <w:shd w:val="clear" w:color="auto" w:fill="CCEEFF"/>
          </w:tcPr>
          <w:p>
            <w:pPr>
              <w:spacing w:after="0"/>
              <w:rPr>
                <w:sz w:val="15"/>
                <w:szCs w:val="15"/>
                <w:color w:val="auto"/>
              </w:rPr>
            </w:pP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Korea</w:t>
            </w:r>
          </w:p>
        </w:tc>
        <w:tc>
          <w:tcPr>
            <w:tcW w:w="56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tcBorders>
              <w:right w:val="single" w:sz="8" w:color="auto"/>
            </w:tcBorders>
            <w:vMerge w:val="continue"/>
            <w:shd w:val="clear" w:color="auto" w:fill="CCEEFF"/>
          </w:tcPr>
          <w:p>
            <w:pPr>
              <w:spacing w:after="0"/>
              <w:rPr>
                <w:sz w:val="21"/>
                <w:szCs w:val="21"/>
                <w:color w:val="auto"/>
              </w:rPr>
            </w:pPr>
          </w:p>
        </w:tc>
        <w:tc>
          <w:tcPr>
            <w:tcW w:w="740" w:type="dxa"/>
            <w:vAlign w:val="bottom"/>
            <w:tcBorders>
              <w:right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China</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7.09</w:t>
            </w: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7.56</w:t>
            </w:r>
          </w:p>
        </w:tc>
        <w:tc>
          <w:tcPr>
            <w:tcW w:w="7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30.62</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29.06</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29.04</w:t>
            </w:r>
          </w:p>
        </w:tc>
        <w:tc>
          <w:tcPr>
            <w:tcW w:w="80" w:type="dxa"/>
            <w:vAlign w:val="bottom"/>
            <w:tcBorders>
              <w:bottom w:val="single" w:sz="8" w:color="CCEEFF"/>
            </w:tcBorders>
          </w:tcPr>
          <w:p>
            <w:pPr>
              <w:spacing w:after="0"/>
              <w:rPr>
                <w:sz w:val="22"/>
                <w:szCs w:val="22"/>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56"/>
        </w:trPr>
        <w:tc>
          <w:tcPr>
            <w:tcW w:w="9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Light</w:t>
            </w: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tcBorders>
              <w:right w:val="single" w:sz="8" w:color="auto"/>
            </w:tcBorders>
            <w:shd w:val="clear" w:color="auto" w:fill="CCEEFF"/>
          </w:tcPr>
          <w:p>
            <w:pPr>
              <w:spacing w:after="0"/>
              <w:rPr>
                <w:sz w:val="13"/>
                <w:szCs w:val="13"/>
                <w:color w:val="auto"/>
              </w:rPr>
            </w:pPr>
          </w:p>
        </w:tc>
        <w:tc>
          <w:tcPr>
            <w:tcW w:w="74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Vehicle</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95"/>
              </w:rPr>
              <w:t>17.73</w:t>
            </w:r>
          </w:p>
        </w:tc>
        <w:tc>
          <w:tcPr>
            <w:tcW w:w="66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18.57</w:t>
            </w:r>
          </w:p>
        </w:tc>
        <w:tc>
          <w:tcPr>
            <w:tcW w:w="70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20"/>
                <w:szCs w:val="20"/>
                <w:color w:val="auto"/>
                <w:w w:val="99"/>
              </w:rPr>
              <w:t>75.87</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20"/>
                <w:szCs w:val="20"/>
                <w:color w:val="auto"/>
                <w:w w:val="99"/>
              </w:rPr>
              <w:t>74.09</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20"/>
                <w:szCs w:val="20"/>
                <w:color w:val="auto"/>
                <w:w w:val="99"/>
              </w:rPr>
              <w:t>75.49</w:t>
            </w:r>
          </w:p>
        </w:tc>
        <w:tc>
          <w:tcPr>
            <w:tcW w:w="80" w:type="dxa"/>
            <w:vAlign w:val="bottom"/>
            <w:shd w:val="clear" w:color="auto" w:fill="CCEEFF"/>
          </w:tcPr>
          <w:p>
            <w:pPr>
              <w:spacing w:after="0"/>
              <w:rPr>
                <w:sz w:val="15"/>
                <w:szCs w:val="15"/>
                <w:color w:val="auto"/>
              </w:rPr>
            </w:pP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6"/>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Based on the aforementioned light vehicle production forecast and the actual results for the first six months of 2024, the Company previously updated certain guidance for calendar year 2024 as shown below.</w:t>
      </w:r>
    </w:p>
    <w:p>
      <w:pPr>
        <w:spacing w:after="0" w:line="2" w:lineRule="exact"/>
        <w:rPr>
          <w:sz w:val="20"/>
          <w:szCs w:val="20"/>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is expected to be between $2.40 and $2.50 billion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Margin is expected to be between 34% and 34.5%</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Expenses are expected to be approximately $295 to $305 million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Estimated Annual Tax Rate, which assumes no changes to the statutory rate, is expected to be between 15% and 16%</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Expenditures are expected to be between $175 and $200 million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Depreciation and Amortization is expected to be between $95 and $100 million</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Due to ongoing volatility in customer orders and vehicle production volumes, the Ukraine-Russia war, Israel-Hamas war, labor shortages, and overall economic uncertainty, the Company believes that revenue remains difficult to forecast for the remainder of the year and beyond. Ongoing uncertainties remain, including: light vehicle production levels; impacts of already in place and potential additional future tariffs; impacts of regulation changes; automotive plant shutdowns; vehicle sales rates in Europe, Asia and North America; OEM strategies and cost pressures; customer inventory management and the impact of potential automotive customer (including their Tier 1 suppliers) and supplier bankruptcies; etc., all of which are disrupting and could further disrupt shipments to these customers and make forecasting difficult.</w:t>
      </w:r>
    </w:p>
    <w:p>
      <w:pPr>
        <w:spacing w:after="0" w:line="2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accordance with the previously announced share repurchase plan, the Company will consider the appropriateness of continuing to repurchase additional shares of common stock in the future in support of the capital allocation strategy, but share repurchases will vary from time to time and will take into account macroeconomic events, market trends, and other factors the Company deems appropriate (including the market price of the stock, anti-dilutive effect of repurchases, and available cash). As of June 30, 2024, the Company has 13.2 million shares remaining available for repurchase under the previously announced share repurchase plan.</w:t>
      </w:r>
    </w:p>
    <w:p>
      <w:pPr>
        <w:spacing w:after="0" w:line="10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Additionally, based on the Company’s current forecasts for light vehicle production for calendar year 2025, the Company expects calendar year 2025 revenue of approximately $2.6 to $2.7 billion. As noted above, continuing uncertainties make forecasting difficult.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7"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4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17"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in its Annual Report on Form 10-K for the fiscal year ended December 31, 2023.</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and interest rate risk. Fluctuating interest rates could negatively impact the Company's financial performance due to realized losses on the sale of fixed income investments and/or recognized losses due to an impairment adjustment on investment securities, as well as the impact on demand for light vehicles. For the quarter ended June 30, 2024, any material changes in risk factors that were disclosed in the Company's report on Form 10-K for the year ended December 31, 2023 are set forth herein.</w:t>
      </w:r>
    </w:p>
    <w:p>
      <w:pPr>
        <w:spacing w:after="0" w:line="11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and Chinese Yuan Renminbi accounts, which currently are not significant overall to the Company as a whole. Because the Company sells its automotive mirrors throughout the world, and automotive manufacturing is highly dependent on general economic conditions and the global supply chain, the Company has been and will continue to be affected by uncertain economic conditions in North American and foreign markets, including inflation, that have reduced, and could continue to reduce, demand for its products.</w:t>
      </w:r>
    </w:p>
    <w:p>
      <w:pPr>
        <w:spacing w:after="0" w:line="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June 30, 2024, and have concluded that as of that date, the Company's disclosure controls and procedures are effective.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June 30, 2024 that materially affected, or are reasonably likely to materially affect, the Company's internal control over financial reporting.</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This Quarterly Report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“future,” “goal,” “guidance,” “hope,” “intend,” "likely", “may,” “opinion,” “optimistic,” “plan,” “poised,” “predict,” “project,” “should,” “strategy,” “target,” “will,” "work to,"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w:t>
      </w:r>
    </w:p>
    <w:p>
      <w:pPr>
        <w:sectPr>
          <w:pgSz w:w="11900" w:h="16838" w:orient="portrait"/>
          <w:cols w:equalWidth="0" w:num="1">
            <w:col w:w="11240"/>
          </w:cols>
          <w:pgMar w:left="320" w:top="1187"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type w:val="continuous"/>
        </w:sectPr>
      </w:pPr>
    </w:p>
    <w:bookmarkStart w:id="34" w:name="page35"/>
    <w:bookmarkEnd w:id="34"/>
    <w:p>
      <w:pPr>
        <w:jc w:val="both"/>
        <w:spacing w:after="0" w:line="253" w:lineRule="auto"/>
        <w:rPr>
          <w:sz w:val="20"/>
          <w:szCs w:val="20"/>
          <w:color w:val="auto"/>
        </w:rPr>
      </w:pPr>
      <w:r>
        <w:rPr>
          <w:rFonts w:ascii="Arial" w:cs="Arial" w:eastAsia="Arial" w:hAnsi="Arial"/>
          <w:sz w:val="18"/>
          <w:szCs w:val="18"/>
          <w:color w:val="auto"/>
        </w:rPr>
        <w:t>market conditions, including the impact of inflation; changes in consumer and customer preferences 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 including securities litigation relating to the conduct of our business; and force majeure events. Readers are cautioned not to place undue reliance on these forward-looking statements, which speak only as of the date they are made.</w:t>
      </w:r>
    </w:p>
    <w:p>
      <w:pPr>
        <w:spacing w:after="0" w:line="21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include supply chain constraints that have affected, are affecting, and will continue to affect, general economic and industry conditions, customers, suppliers, and the regulatory environment in which the Company operates. Includes content supplied by S&amp;P Global Mobility Light Vehicle Production Forecast of July 17, 2024 (http://www.gentex.com/forecast-disclaimer).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2023. There have been no material changes to the risk factors previously disclosed in the Company’s report on Form 10-K for the year ended December 31, 2023, except to the extent described in Part I – Item 2 and Item 3 of this Form 10-Q, and otherwise herein.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 of Equity Securities</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has a previously announced share repurchase plan under which the Board of Directors has authorized the repurchase of shares of the Company's common stock, which remains a part of the broader publicly disclosed capital allocation strategy. During the first six months of 2024, the Company repurchased 2.6 million shares under the share repurchase plan. As previously disclosed, the Company will consider the appropriateness of continuing to repurchase additional shares of common stock in the future in support of the capital allocation strategy, but share repurchases will vary from time to time and will take into account macroeconomic events, market trends, and other factors the Company deems appropriate (including the market price of the stock, anti-dilutive effect of repurchases, and available cash).</w:t>
      </w:r>
    </w:p>
    <w:p>
      <w:pPr>
        <w:spacing w:after="0" w:line="210"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After the Company repurchased 2,603,570 shares during the first six months of 2024, the Company has 13.2 million shares remaining under the plan as of June 30, 2024.</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share repurchase activity during each month of the six month period ended June 30, 2024:</w:t>
      </w:r>
    </w:p>
    <w:p>
      <w:pPr>
        <w:spacing w:after="0" w:line="55"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2420" w:type="dxa"/>
            <w:vAlign w:val="bottom"/>
            <w:shd w:val="clear" w:color="auto" w:fill="CCEEFF"/>
          </w:tcPr>
          <w:p>
            <w:pPr>
              <w:spacing w:after="0"/>
              <w:rPr>
                <w:sz w:val="17"/>
                <w:szCs w:val="17"/>
                <w:color w:val="auto"/>
              </w:rPr>
            </w:pPr>
          </w:p>
        </w:tc>
        <w:tc>
          <w:tcPr>
            <w:tcW w:w="5300" w:type="dxa"/>
            <w:vAlign w:val="bottom"/>
            <w:gridSpan w:val="3"/>
            <w:shd w:val="clear" w:color="auto" w:fill="CCEEFF"/>
          </w:tcPr>
          <w:p>
            <w:pPr>
              <w:jc w:val="right"/>
              <w:ind w:right="1496"/>
              <w:spacing w:after="0"/>
              <w:rPr>
                <w:sz w:val="20"/>
                <w:szCs w:val="20"/>
                <w:color w:val="auto"/>
              </w:rPr>
            </w:pPr>
            <w:r>
              <w:rPr>
                <w:rFonts w:ascii="Arial" w:cs="Arial" w:eastAsia="Arial" w:hAnsi="Arial"/>
                <w:sz w:val="14"/>
                <w:szCs w:val="14"/>
                <w:b w:val="1"/>
                <w:bCs w:val="1"/>
                <w:color w:val="auto"/>
              </w:rPr>
              <w:t>Issuer Purchase of Equity Securities</w:t>
            </w:r>
          </w:p>
        </w:tc>
        <w:tc>
          <w:tcPr>
            <w:tcW w:w="2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4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Maximum Number of Shares</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8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Total Number of Shares</w:t>
            </w:r>
          </w:p>
        </w:tc>
        <w:tc>
          <w:tcPr>
            <w:tcW w:w="1440" w:type="dxa"/>
            <w:vAlign w:val="bottom"/>
            <w:vMerge w:val="continue"/>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 Part of a</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00" w:type="dxa"/>
            <w:vAlign w:val="bottom"/>
            <w:vMerge w:val="continue"/>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Average Price Paid</w:t>
            </w:r>
          </w:p>
        </w:tc>
        <w:tc>
          <w:tcPr>
            <w:tcW w:w="2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Publicly Announced Plan or</w:t>
            </w:r>
          </w:p>
        </w:tc>
        <w:tc>
          <w:tcPr>
            <w:tcW w:w="2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Purchased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Under the Plan or Program</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90,006</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15,761,173</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February 2024</w:t>
            </w:r>
          </w:p>
        </w:tc>
        <w:tc>
          <w:tcPr>
            <w:tcW w:w="1800" w:type="dxa"/>
            <w:vAlign w:val="bottom"/>
          </w:tcPr>
          <w:p>
            <w:pPr>
              <w:jc w:val="right"/>
              <w:spacing w:after="0"/>
              <w:rPr>
                <w:sz w:val="20"/>
                <w:szCs w:val="20"/>
                <w:color w:val="auto"/>
              </w:rPr>
            </w:pPr>
            <w:r>
              <w:rPr>
                <w:rFonts w:ascii="Arial" w:cs="Arial" w:eastAsia="Arial" w:hAnsi="Arial"/>
                <w:sz w:val="18"/>
                <w:szCs w:val="18"/>
                <w:color w:val="auto"/>
              </w:rPr>
              <w:t>510,247</w:t>
            </w:r>
          </w:p>
        </w:tc>
        <w:tc>
          <w:tcPr>
            <w:tcW w:w="1440" w:type="dxa"/>
            <w:vAlign w:val="bottom"/>
          </w:tcPr>
          <w:p>
            <w:pPr>
              <w:jc w:val="right"/>
              <w:spacing w:after="0"/>
              <w:rPr>
                <w:sz w:val="20"/>
                <w:szCs w:val="20"/>
                <w:color w:val="auto"/>
              </w:rPr>
            </w:pPr>
            <w:r>
              <w:rPr>
                <w:rFonts w:ascii="Arial" w:cs="Arial" w:eastAsia="Arial" w:hAnsi="Arial"/>
                <w:sz w:val="18"/>
                <w:szCs w:val="18"/>
                <w:color w:val="auto"/>
              </w:rPr>
              <w:t>35.31</w:t>
            </w:r>
          </w:p>
        </w:tc>
        <w:tc>
          <w:tcPr>
            <w:tcW w:w="2060" w:type="dxa"/>
            <w:vAlign w:val="bottom"/>
          </w:tcPr>
          <w:p>
            <w:pPr>
              <w:jc w:val="right"/>
              <w:spacing w:after="0"/>
              <w:rPr>
                <w:sz w:val="20"/>
                <w:szCs w:val="20"/>
                <w:color w:val="auto"/>
              </w:rPr>
            </w:pPr>
            <w:r>
              <w:rPr>
                <w:rFonts w:ascii="Arial" w:cs="Arial" w:eastAsia="Arial" w:hAnsi="Arial"/>
                <w:sz w:val="18"/>
                <w:szCs w:val="18"/>
                <w:color w:val="auto"/>
              </w:rPr>
              <w:t>510,247</w:t>
            </w:r>
          </w:p>
        </w:tc>
        <w:tc>
          <w:tcPr>
            <w:tcW w:w="2060" w:type="dxa"/>
            <w:vAlign w:val="bottom"/>
          </w:tcPr>
          <w:p>
            <w:pPr>
              <w:jc w:val="right"/>
              <w:spacing w:after="0"/>
              <w:rPr>
                <w:sz w:val="20"/>
                <w:szCs w:val="20"/>
                <w:color w:val="auto"/>
              </w:rPr>
            </w:pPr>
            <w:r>
              <w:rPr>
                <w:rFonts w:ascii="Arial" w:cs="Arial" w:eastAsia="Arial" w:hAnsi="Arial"/>
                <w:sz w:val="18"/>
                <w:szCs w:val="18"/>
                <w:color w:val="auto"/>
              </w:rPr>
              <w:t>15,250,926</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2024</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600,650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600,650</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14,650,276</w:t>
            </w: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color w:val="auto"/>
              </w:rPr>
              <w:t>1st Quarter 2024 Total</w:t>
            </w:r>
          </w:p>
        </w:tc>
        <w:tc>
          <w:tcPr>
            <w:tcW w:w="1800" w:type="dxa"/>
            <w:vAlign w:val="bottom"/>
          </w:tcPr>
          <w:p>
            <w:pPr>
              <w:jc w:val="right"/>
              <w:spacing w:after="0"/>
              <w:rPr>
                <w:sz w:val="20"/>
                <w:szCs w:val="20"/>
                <w:color w:val="auto"/>
              </w:rPr>
            </w:pPr>
            <w:r>
              <w:rPr>
                <w:rFonts w:ascii="Arial" w:cs="Arial" w:eastAsia="Arial" w:hAnsi="Arial"/>
                <w:sz w:val="18"/>
                <w:szCs w:val="18"/>
                <w:color w:val="auto"/>
              </w:rPr>
              <w:t>1,200,903</w:t>
            </w:r>
          </w:p>
        </w:tc>
        <w:tc>
          <w:tcPr>
            <w:tcW w:w="1440" w:type="dxa"/>
            <w:vAlign w:val="bottom"/>
          </w:tcPr>
          <w:p>
            <w:pPr>
              <w:jc w:val="right"/>
              <w:spacing w:after="0"/>
              <w:rPr>
                <w:sz w:val="20"/>
                <w:szCs w:val="20"/>
                <w:color w:val="auto"/>
              </w:rPr>
            </w:pPr>
            <w:r>
              <w:rPr>
                <w:rFonts w:ascii="Arial" w:cs="Arial" w:eastAsia="Arial" w:hAnsi="Arial"/>
                <w:sz w:val="18"/>
                <w:szCs w:val="18"/>
                <w:color w:val="auto"/>
              </w:rPr>
              <w:t>35.84</w:t>
            </w:r>
          </w:p>
        </w:tc>
        <w:tc>
          <w:tcPr>
            <w:tcW w:w="2060" w:type="dxa"/>
            <w:vAlign w:val="bottom"/>
          </w:tcPr>
          <w:p>
            <w:pPr>
              <w:jc w:val="right"/>
              <w:spacing w:after="0"/>
              <w:rPr>
                <w:sz w:val="20"/>
                <w:szCs w:val="20"/>
                <w:color w:val="auto"/>
              </w:rPr>
            </w:pPr>
            <w:r>
              <w:rPr>
                <w:rFonts w:ascii="Arial" w:cs="Arial" w:eastAsia="Arial" w:hAnsi="Arial"/>
                <w:sz w:val="18"/>
                <w:szCs w:val="18"/>
                <w:color w:val="auto"/>
              </w:rPr>
              <w:t>1,200,903</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April 2024</w:t>
            </w:r>
          </w:p>
        </w:tc>
        <w:tc>
          <w:tcPr>
            <w:tcW w:w="1800" w:type="dxa"/>
            <w:vAlign w:val="bottom"/>
          </w:tcPr>
          <w:p>
            <w:pPr>
              <w:jc w:val="right"/>
              <w:spacing w:after="0"/>
              <w:rPr>
                <w:sz w:val="20"/>
                <w:szCs w:val="20"/>
                <w:color w:val="auto"/>
              </w:rPr>
            </w:pPr>
            <w:r>
              <w:rPr>
                <w:rFonts w:ascii="Arial" w:cs="Arial" w:eastAsia="Arial" w:hAnsi="Arial"/>
                <w:sz w:val="18"/>
                <w:szCs w:val="18"/>
                <w:color w:val="auto"/>
              </w:rPr>
              <w:t>60,087</w:t>
            </w:r>
          </w:p>
        </w:tc>
        <w:tc>
          <w:tcPr>
            <w:tcW w:w="1440" w:type="dxa"/>
            <w:vAlign w:val="bottom"/>
          </w:tcPr>
          <w:p>
            <w:pPr>
              <w:jc w:val="right"/>
              <w:spacing w:after="0"/>
              <w:rPr>
                <w:sz w:val="20"/>
                <w:szCs w:val="20"/>
                <w:color w:val="auto"/>
              </w:rPr>
            </w:pPr>
            <w:r>
              <w:rPr>
                <w:rFonts w:ascii="Arial" w:cs="Arial" w:eastAsia="Arial" w:hAnsi="Arial"/>
                <w:sz w:val="18"/>
                <w:szCs w:val="18"/>
                <w:color w:val="auto"/>
              </w:rPr>
              <w:t>34.80</w:t>
            </w:r>
          </w:p>
        </w:tc>
        <w:tc>
          <w:tcPr>
            <w:tcW w:w="2060" w:type="dxa"/>
            <w:vAlign w:val="bottom"/>
          </w:tcPr>
          <w:p>
            <w:pPr>
              <w:jc w:val="right"/>
              <w:spacing w:after="0"/>
              <w:rPr>
                <w:sz w:val="20"/>
                <w:szCs w:val="20"/>
                <w:color w:val="auto"/>
              </w:rPr>
            </w:pPr>
            <w:r>
              <w:rPr>
                <w:rFonts w:ascii="Arial" w:cs="Arial" w:eastAsia="Arial" w:hAnsi="Arial"/>
                <w:sz w:val="18"/>
                <w:szCs w:val="18"/>
                <w:color w:val="auto"/>
              </w:rPr>
              <w:t>60,087</w:t>
            </w:r>
          </w:p>
        </w:tc>
        <w:tc>
          <w:tcPr>
            <w:tcW w:w="2060" w:type="dxa"/>
            <w:vAlign w:val="bottom"/>
          </w:tcPr>
          <w:p>
            <w:pPr>
              <w:jc w:val="right"/>
              <w:spacing w:after="0"/>
              <w:rPr>
                <w:sz w:val="20"/>
                <w:szCs w:val="20"/>
                <w:color w:val="auto"/>
              </w:rPr>
            </w:pPr>
            <w:r>
              <w:rPr>
                <w:rFonts w:ascii="Arial" w:cs="Arial" w:eastAsia="Arial" w:hAnsi="Arial"/>
                <w:sz w:val="18"/>
                <w:szCs w:val="18"/>
                <w:color w:val="auto"/>
              </w:rPr>
              <w:t>14,590,189</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2024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661,221</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13,928,968</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June 2024</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681,359</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34.12</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681,359</w:t>
            </w:r>
          </w:p>
        </w:tc>
        <w:tc>
          <w:tcPr>
            <w:tcW w:w="2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13,247,609</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2nd Quarter 2024 Total</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1,402,667</w:t>
            </w:r>
          </w:p>
        </w:tc>
        <w:tc>
          <w:tcPr>
            <w:tcW w:w="14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1,402,667</w:t>
            </w: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 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2,603,570</w:t>
            </w:r>
          </w:p>
        </w:tc>
        <w:tc>
          <w:tcPr>
            <w:tcW w:w="14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2,603,570</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13,247,609</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60" w:right="940"/>
        <w:spacing w:after="0" w:line="287" w:lineRule="auto"/>
        <w:rPr>
          <w:sz w:val="20"/>
          <w:szCs w:val="20"/>
          <w:color w:val="auto"/>
        </w:rPr>
      </w:pPr>
      <w:r>
        <w:rPr>
          <w:rFonts w:ascii="Arial" w:cs="Arial" w:eastAsia="Arial" w:hAnsi="Arial"/>
          <w:sz w:val="18"/>
          <w:szCs w:val="18"/>
          <w:color w:val="auto"/>
        </w:rPr>
        <w:t>As of June 30, 2024, the Company has repurchased 158,752,119 shares at a total cost of $2,838,023,276 under its share repurchase plan or as otherwise previously disclosed.</w:t>
      </w:r>
    </w:p>
    <w:p>
      <w:pPr>
        <w:spacing w:after="0" w:line="200" w:lineRule="exact"/>
        <w:rPr>
          <w:sz w:val="20"/>
          <w:szCs w:val="20"/>
          <w:color w:val="auto"/>
        </w:rPr>
      </w:pPr>
    </w:p>
    <w:p>
      <w:pPr>
        <w:spacing w:after="0" w:line="2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See Exhibit Index on Page </w:t>
      </w:r>
      <w:r>
        <w:rPr>
          <w:rFonts w:ascii="Arial" w:cs="Arial" w:eastAsia="Arial" w:hAnsi="Arial"/>
          <w:sz w:val="18"/>
          <w:szCs w:val="18"/>
          <w:u w:val="single" w:color="auto"/>
          <w:color w:val="0000FF"/>
        </w:rPr>
        <w:t>38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6" w:name="page37"/>
    <w:bookmarkEnd w:id="36"/>
    <w:p>
      <w:pPr>
        <w:ind w:right="12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GENTEX CORPORATION</w:t>
            </w:r>
          </w:p>
        </w:tc>
      </w:tr>
      <w:tr>
        <w:trPr>
          <w:trHeight w:val="33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00"/>
              <w:spacing w:after="0"/>
              <w:rPr>
                <w:sz w:val="20"/>
                <w:szCs w:val="20"/>
                <w:color w:val="auto"/>
              </w:rPr>
            </w:pPr>
            <w:r>
              <w:rPr>
                <w:rFonts w:ascii="Arial" w:cs="Arial" w:eastAsia="Arial" w:hAnsi="Arial"/>
                <w:sz w:val="18"/>
                <w:szCs w:val="18"/>
                <w:color w:val="auto"/>
              </w:rPr>
              <w:t>August 2, 2024</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Downing</w:t>
            </w:r>
          </w:p>
        </w:tc>
      </w:tr>
      <w:tr>
        <w:trPr>
          <w:trHeight w:val="218"/>
        </w:trPr>
        <w:tc>
          <w:tcPr>
            <w:tcW w:w="5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Steven R. Downing</w:t>
            </w:r>
          </w:p>
        </w:tc>
      </w:tr>
      <w:tr>
        <w:trPr>
          <w:trHeight w:val="229"/>
        </w:trPr>
        <w:tc>
          <w:tcPr>
            <w:tcW w:w="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(Principal Executive Officer) on behalf of Gentex Corporation</w:t>
            </w:r>
          </w:p>
        </w:tc>
      </w:tr>
      <w:tr>
        <w:trPr>
          <w:trHeight w:val="33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00"/>
              <w:spacing w:after="0"/>
              <w:rPr>
                <w:sz w:val="20"/>
                <w:szCs w:val="20"/>
                <w:color w:val="auto"/>
              </w:rPr>
            </w:pPr>
            <w:r>
              <w:rPr>
                <w:rFonts w:ascii="Arial" w:cs="Arial" w:eastAsia="Arial" w:hAnsi="Arial"/>
                <w:sz w:val="18"/>
                <w:szCs w:val="18"/>
                <w:color w:val="auto"/>
              </w:rPr>
              <w:t>August 2, 2024</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C. Nash</w:t>
            </w:r>
          </w:p>
        </w:tc>
      </w:tr>
      <w:tr>
        <w:trPr>
          <w:trHeight w:val="218"/>
        </w:trPr>
        <w:tc>
          <w:tcPr>
            <w:tcW w:w="5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Kevin C. Nash</w:t>
            </w:r>
          </w:p>
        </w:tc>
      </w:tr>
      <w:tr>
        <w:trPr>
          <w:trHeight w:val="229"/>
        </w:trPr>
        <w:tc>
          <w:tcPr>
            <w:tcW w:w="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Vice President, Finance, Chief Financial Officer and Treasurer</w:t>
            </w:r>
          </w:p>
        </w:tc>
      </w:tr>
      <w:tr>
        <w:trPr>
          <w:trHeight w:val="181"/>
        </w:trPr>
        <w:tc>
          <w:tcPr>
            <w:tcW w:w="5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6680" w:type="dxa"/>
            <w:vAlign w:val="bottom"/>
          </w:tcPr>
          <w:p>
            <w:pPr>
              <w:ind w:left="20"/>
              <w:spacing w:after="0" w:line="181" w:lineRule="exact"/>
              <w:rPr>
                <w:sz w:val="20"/>
                <w:szCs w:val="20"/>
                <w:color w:val="auto"/>
              </w:rPr>
            </w:pPr>
            <w:r>
              <w:rPr>
                <w:rFonts w:ascii="Arial" w:cs="Arial" w:eastAsia="Arial" w:hAnsi="Arial"/>
                <w:sz w:val="18"/>
                <w:szCs w:val="18"/>
                <w:color w:val="auto"/>
              </w:rPr>
              <w:t>(Principal Financial Officer and Principal Accounting Officer) on behalf of Gentex</w:t>
            </w:r>
          </w:p>
        </w:tc>
      </w:tr>
      <w:tr>
        <w:trPr>
          <w:trHeight w:val="239"/>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Corporation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47"/>
        </w:trPr>
        <w:tc>
          <w:tcPr>
            <w:tcW w:w="1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80" w:type="dxa"/>
            <w:vAlign w:val="bottom"/>
            <w:gridSpan w:val="3"/>
          </w:tcPr>
          <w:p>
            <w:pPr>
              <w:ind w:left="2240"/>
              <w:spacing w:after="0"/>
              <w:rPr>
                <w:sz w:val="20"/>
                <w:szCs w:val="20"/>
                <w:color w:val="auto"/>
              </w:rPr>
            </w:pPr>
            <w:r>
              <w:rPr>
                <w:rFonts w:ascii="Arial" w:cs="Arial" w:eastAsia="Arial" w:hAnsi="Arial"/>
                <w:sz w:val="18"/>
                <w:szCs w:val="18"/>
                <w:b w:val="1"/>
                <w:bCs w:val="1"/>
                <w:color w:val="auto"/>
              </w:rPr>
              <w:t>EXHIBIT INDEX</w:t>
            </w:r>
          </w:p>
        </w:tc>
      </w:tr>
      <w:tr>
        <w:trPr>
          <w:trHeight w:val="406"/>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8480" w:type="dxa"/>
            <w:vAlign w:val="bottom"/>
            <w:gridSpan w:val="3"/>
          </w:tcPr>
          <w:p>
            <w:pPr>
              <w:ind w:left="3140"/>
              <w:spacing w:after="0"/>
              <w:rPr>
                <w:sz w:val="20"/>
                <w:szCs w:val="20"/>
                <w:color w:val="auto"/>
              </w:rPr>
            </w:pPr>
            <w:r>
              <w:rPr>
                <w:rFonts w:ascii="Arial" w:cs="Arial" w:eastAsia="Arial" w:hAnsi="Arial"/>
                <w:sz w:val="14"/>
                <w:szCs w:val="14"/>
                <w:b w:val="1"/>
                <w:bCs w:val="1"/>
                <w:color w:val="auto"/>
              </w:rPr>
              <w:t>Description</w:t>
            </w:r>
          </w:p>
        </w:tc>
      </w:tr>
      <w:tr>
        <w:trPr>
          <w:trHeight w:val="190"/>
        </w:trPr>
        <w:tc>
          <w:tcPr>
            <w:tcW w:w="13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31.1</w:t>
            </w:r>
          </w:p>
        </w:tc>
        <w:tc>
          <w:tcPr>
            <w:tcW w:w="9880" w:type="dxa"/>
            <w:vAlign w:val="bottom"/>
            <w:gridSpan w:val="4"/>
            <w:shd w:val="clear" w:color="auto" w:fill="CCEEFF"/>
          </w:tcPr>
          <w:p>
            <w:pPr>
              <w:spacing w:after="0" w:line="190" w:lineRule="exact"/>
              <w:rPr>
                <w:sz w:val="20"/>
                <w:szCs w:val="20"/>
                <w:color w:val="auto"/>
              </w:rPr>
            </w:pPr>
            <w:r>
              <w:rPr>
                <w:rFonts w:ascii="Arial" w:cs="Arial" w:eastAsia="Arial" w:hAnsi="Arial"/>
                <w:sz w:val="18"/>
                <w:szCs w:val="18"/>
                <w:color w:val="0000FF"/>
              </w:rPr>
              <w:t>Certificate of the Chief Executive Officer of Gentex Corporation pursuant to Section 302 of the Sarbanes-Oxley Act of 2002</w:t>
            </w:r>
          </w:p>
        </w:tc>
      </w:tr>
      <w:tr>
        <w:trPr>
          <w:trHeight w:val="169"/>
        </w:trPr>
        <w:tc>
          <w:tcPr>
            <w:tcW w:w="1320" w:type="dxa"/>
            <w:vAlign w:val="bottom"/>
            <w:tcBorders>
              <w:top w:val="single" w:sz="8" w:color="CCEEFF"/>
            </w:tcBorders>
            <w:shd w:val="clear" w:color="auto" w:fill="CCEEFF"/>
          </w:tcPr>
          <w:p>
            <w:pPr>
              <w:spacing w:after="0"/>
              <w:rPr>
                <w:sz w:val="14"/>
                <w:szCs w:val="14"/>
                <w:color w:val="auto"/>
              </w:rPr>
            </w:pPr>
          </w:p>
        </w:tc>
        <w:tc>
          <w:tcPr>
            <w:tcW w:w="9760" w:type="dxa"/>
            <w:vAlign w:val="bottom"/>
            <w:tcBorders>
              <w:top w:val="single" w:sz="8" w:color="0000FF"/>
            </w:tcBorders>
            <w:gridSpan w:val="3"/>
            <w:shd w:val="clear" w:color="auto" w:fill="CCEEFF"/>
          </w:tcPr>
          <w:p>
            <w:pPr>
              <w:spacing w:after="0" w:line="169" w:lineRule="exact"/>
              <w:rPr>
                <w:sz w:val="20"/>
                <w:szCs w:val="20"/>
                <w:color w:val="auto"/>
              </w:rPr>
            </w:pPr>
            <w:r>
              <w:rPr>
                <w:rFonts w:ascii="Arial" w:cs="Arial" w:eastAsia="Arial" w:hAnsi="Arial"/>
                <w:sz w:val="18"/>
                <w:szCs w:val="18"/>
                <w:color w:val="0000FF"/>
              </w:rPr>
              <w:t>(18 U.S.C. 1350).</w:t>
            </w:r>
          </w:p>
        </w:tc>
        <w:tc>
          <w:tcPr>
            <w:tcW w:w="120" w:type="dxa"/>
            <w:vAlign w:val="bottom"/>
            <w:tcBorders>
              <w:top w:val="single" w:sz="8" w:color="CCEEFF"/>
            </w:tcBorders>
            <w:shd w:val="clear" w:color="auto" w:fill="CCEEFF"/>
          </w:tcPr>
          <w:p>
            <w:pPr>
              <w:spacing w:after="0"/>
              <w:rPr>
                <w:sz w:val="14"/>
                <w:szCs w:val="14"/>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2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9880" w:type="dxa"/>
            <w:vAlign w:val="bottom"/>
            <w:gridSpan w:val="4"/>
          </w:tcPr>
          <w:p>
            <w:pPr>
              <w:spacing w:after="0" w:line="189" w:lineRule="exact"/>
              <w:rPr>
                <w:sz w:val="20"/>
                <w:szCs w:val="20"/>
                <w:color w:val="auto"/>
              </w:rPr>
            </w:pPr>
            <w:r>
              <w:rPr>
                <w:rFonts w:ascii="Arial" w:cs="Arial" w:eastAsia="Arial" w:hAnsi="Arial"/>
                <w:sz w:val="18"/>
                <w:szCs w:val="18"/>
                <w:color w:val="0000FF"/>
              </w:rPr>
              <w:t>Certificate of the Chief Financial Officer of Gentex Corporation pursuant to Section 302 of the Sarbanes-Oxley Act of 2002</w:t>
            </w:r>
          </w:p>
        </w:tc>
      </w:tr>
      <w:tr>
        <w:trPr>
          <w:trHeight w:val="169"/>
        </w:trPr>
        <w:tc>
          <w:tcPr>
            <w:tcW w:w="1320" w:type="dxa"/>
            <w:vAlign w:val="bottom"/>
          </w:tcPr>
          <w:p>
            <w:pPr>
              <w:spacing w:after="0"/>
              <w:rPr>
                <w:sz w:val="14"/>
                <w:szCs w:val="14"/>
                <w:color w:val="auto"/>
              </w:rPr>
            </w:pPr>
          </w:p>
        </w:tc>
        <w:tc>
          <w:tcPr>
            <w:tcW w:w="9700" w:type="dxa"/>
            <w:vAlign w:val="bottom"/>
            <w:tcBorders>
              <w:top w:val="single" w:sz="8" w:color="0000FF"/>
            </w:tcBorders>
            <w:gridSpan w:val="2"/>
          </w:tcPr>
          <w:p>
            <w:pPr>
              <w:spacing w:after="0" w:line="169" w:lineRule="exact"/>
              <w:rPr>
                <w:sz w:val="20"/>
                <w:szCs w:val="20"/>
                <w:color w:val="auto"/>
              </w:rPr>
            </w:pPr>
            <w:r>
              <w:rPr>
                <w:rFonts w:ascii="Arial" w:cs="Arial" w:eastAsia="Arial" w:hAnsi="Arial"/>
                <w:sz w:val="18"/>
                <w:szCs w:val="18"/>
                <w:color w:val="0000FF"/>
              </w:rPr>
              <w:t>(18 U.S.C. 1350).</w:t>
            </w:r>
          </w:p>
        </w:tc>
        <w:tc>
          <w:tcPr>
            <w:tcW w:w="18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 w:lineRule="exact"/>
        <w:rPr>
          <w:sz w:val="20"/>
          <w:szCs w:val="20"/>
          <w:color w:val="auto"/>
        </w:rPr>
      </w:pPr>
    </w:p>
    <w:p>
      <w:pPr>
        <w:ind w:left="1320" w:right="300" w:hanging="1294"/>
        <w:spacing w:after="0" w:line="248" w:lineRule="auto"/>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0000FF"/>
        </w:rPr>
        <w:t>Certificate of the Chief Executive Officer and Chief Financial Officer of Gentex Corporation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06285" cy="265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1040" w:type="dxa"/>
            <w:vAlign w:val="bottom"/>
          </w:tcPr>
          <w:p>
            <w:pPr>
              <w:ind w:left="20"/>
              <w:spacing w:after="0" w:line="180" w:lineRule="exact"/>
              <w:rPr>
                <w:sz w:val="20"/>
                <w:szCs w:val="20"/>
                <w:color w:val="auto"/>
              </w:rPr>
            </w:pPr>
            <w:r>
              <w:rPr>
                <w:rFonts w:ascii="Arial" w:cs="Arial" w:eastAsia="Arial" w:hAnsi="Arial"/>
                <w:sz w:val="18"/>
                <w:szCs w:val="18"/>
                <w:color w:val="auto"/>
              </w:rPr>
              <w:t>101.INS</w:t>
            </w:r>
          </w:p>
        </w:tc>
        <w:tc>
          <w:tcPr>
            <w:tcW w:w="10160" w:type="dxa"/>
            <w:vAlign w:val="bottom"/>
          </w:tcPr>
          <w:p>
            <w:pPr>
              <w:ind w:left="280"/>
              <w:spacing w:after="0" w:line="180"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5"/>
        </w:trPr>
        <w:tc>
          <w:tcPr>
            <w:tcW w:w="1040" w:type="dxa"/>
            <w:vAlign w:val="bottom"/>
          </w:tcPr>
          <w:p>
            <w:pPr>
              <w:spacing w:after="0"/>
              <w:rPr>
                <w:sz w:val="20"/>
                <w:szCs w:val="20"/>
                <w:color w:val="auto"/>
              </w:rPr>
            </w:pPr>
          </w:p>
        </w:tc>
        <w:tc>
          <w:tcPr>
            <w:tcW w:w="10160" w:type="dxa"/>
            <w:vAlign w:val="bottom"/>
          </w:tcPr>
          <w:p>
            <w:pPr>
              <w:ind w:left="280"/>
              <w:spacing w:after="0"/>
              <w:rPr>
                <w:sz w:val="20"/>
                <w:szCs w:val="20"/>
                <w:color w:val="auto"/>
              </w:rPr>
            </w:pPr>
            <w:r>
              <w:rPr>
                <w:rFonts w:ascii="Arial" w:cs="Arial" w:eastAsia="Arial" w:hAnsi="Arial"/>
                <w:sz w:val="18"/>
                <w:szCs w:val="18"/>
                <w:color w:val="auto"/>
              </w:rPr>
              <w:t>tags are embedded within the Inline XBRL document</w:t>
            </w: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Calculation Linkbase</w:t>
            </w: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Label Linkbase</w:t>
            </w: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93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52"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Arial" w:cs="Arial" w:eastAsia="Arial" w:hAnsi="Arial"/>
          <w:sz w:val="18"/>
          <w:szCs w:val="18"/>
          <w:color w:val="auto"/>
        </w:rPr>
      </w:pPr>
    </w:p>
    <w:p>
      <w:pPr>
        <w:jc w:val="both"/>
        <w:ind w:left="240" w:hanging="232"/>
        <w:spacing w:after="0" w:line="260" w:lineRule="auto"/>
        <w:tabs>
          <w:tab w:leader="none" w:pos="2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660" w:hanging="238"/>
        <w:spacing w:after="0" w:line="268" w:lineRule="auto"/>
        <w:tabs>
          <w:tab w:leader="none" w:pos="6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4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77"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8"/>
        <w:spacing w:after="0" w:line="287" w:lineRule="auto"/>
        <w:tabs>
          <w:tab w:leader="none" w:pos="6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hanging="238"/>
        <w:spacing w:after="0" w:line="287" w:lineRule="auto"/>
        <w:tabs>
          <w:tab w:leader="none" w:pos="66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3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52"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Arial" w:cs="Arial" w:eastAsia="Arial" w:hAnsi="Arial"/>
          <w:sz w:val="18"/>
          <w:szCs w:val="18"/>
          <w:color w:val="auto"/>
        </w:rPr>
      </w:pPr>
    </w:p>
    <w:p>
      <w:pPr>
        <w:jc w:val="both"/>
        <w:ind w:left="240" w:hanging="232"/>
        <w:spacing w:after="0" w:line="260" w:lineRule="auto"/>
        <w:tabs>
          <w:tab w:leader="none" w:pos="2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660" w:hanging="238"/>
        <w:spacing w:after="0" w:line="268" w:lineRule="auto"/>
        <w:tabs>
          <w:tab w:leader="none" w:pos="6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77"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8"/>
        <w:spacing w:after="0" w:line="287" w:lineRule="auto"/>
        <w:tabs>
          <w:tab w:leader="none" w:pos="6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hanging="238"/>
        <w:spacing w:after="0" w:line="287" w:lineRule="auto"/>
        <w:tabs>
          <w:tab w:leader="none" w:pos="66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240"/>
          </w:cols>
          <w:pgMar w:left="320" w:top="93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180" w:lineRule="exact"/>
        <w:rPr>
          <w:sz w:val="20"/>
          <w:szCs w:val="20"/>
          <w:color w:val="auto"/>
        </w:rPr>
      </w:pPr>
    </w:p>
    <w:p>
      <w:pPr>
        <w:ind w:left="240" w:hanging="232"/>
        <w:spacing w:after="0" w:line="287" w:lineRule="auto"/>
        <w:tabs>
          <w:tab w:leader="none" w:pos="28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June 30, 2024, which this statement accompanies, fully complies with the requirements of Section 13(a) or 15(d) of the Securities Exchange Act of 1934; and</w:t>
      </w:r>
    </w:p>
    <w:p>
      <w:pPr>
        <w:spacing w:after="0" w:line="179" w:lineRule="exact"/>
        <w:rPr>
          <w:rFonts w:ascii="Arial" w:cs="Arial" w:eastAsia="Arial" w:hAnsi="Arial"/>
          <w:sz w:val="18"/>
          <w:szCs w:val="18"/>
          <w:color w:val="auto"/>
        </w:rPr>
      </w:pPr>
    </w:p>
    <w:p>
      <w:pPr>
        <w:ind w:left="240" w:hanging="232"/>
        <w:spacing w:after="0" w:line="287" w:lineRule="auto"/>
        <w:tabs>
          <w:tab w:leader="none" w:pos="2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June 30, 2024,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1)"/>
      <w:numFmt w:val="decimal"/>
      <w:start w:val="6"/>
    </w:lvl>
  </w:abstractNum>
  <w:abstractNum w:abstractNumId="9">
    <w:nsid w:val="431BD7B7"/>
    <w:multiLevelType w:val="hybridMultilevel"/>
    <w:lvl w:ilvl="0">
      <w:lvlJc w:val="left"/>
      <w:lvlText w:val="(%1)"/>
      <w:numFmt w:val="decimal"/>
      <w:start w:val="7"/>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8"/>
    </w:lvl>
  </w:abstractNum>
  <w:abstractNum w:abstractNumId="12">
    <w:nsid w:val="257130A3"/>
    <w:multiLevelType w:val="hybridMultilevel"/>
    <w:lvl w:ilvl="0">
      <w:lvlJc w:val="left"/>
      <w:lvlText w:val="(%1)"/>
      <w:numFmt w:val="decimal"/>
      <w:start w:val="9"/>
    </w:lvl>
  </w:abstractNum>
  <w:abstractNum w:abstractNumId="13">
    <w:nsid w:val="62BBD95A"/>
    <w:multiLevelType w:val="hybridMultilevel"/>
    <w:lvl w:ilvl="0">
      <w:lvlJc w:val="left"/>
      <w:lvlText w:val="(%1)"/>
      <w:numFmt w:val="decimal"/>
      <w:start w:val="10"/>
    </w:lvl>
  </w:abstractNum>
  <w:abstractNum w:abstractNumId="14">
    <w:nsid w:val="436C6125"/>
    <w:multiLevelType w:val="hybridMultilevel"/>
    <w:lvl w:ilvl="0">
      <w:lvlJc w:val="left"/>
      <w:lvlText w:val="(%1)"/>
      <w:numFmt w:val="decimal"/>
      <w:start w:val="11"/>
    </w:lvl>
  </w:abstractNum>
  <w:abstractNum w:abstractNumId="15">
    <w:nsid w:val="628C895D"/>
    <w:multiLevelType w:val="hybridMultilevel"/>
    <w:lvl w:ilvl="0">
      <w:lvlJc w:val="left"/>
      <w:lvlText w:val="(%1)"/>
      <w:numFmt w:val="decimal"/>
      <w:start w:val="12"/>
    </w:lvl>
  </w:abstractNum>
  <w:abstractNum w:abstractNumId="16">
    <w:nsid w:val="333AB105"/>
    <w:multiLevelType w:val="hybridMultilevel"/>
    <w:lvl w:ilvl="0">
      <w:lvlJc w:val="left"/>
      <w:lvlText w:val="(%1)"/>
      <w:numFmt w:val="decimal"/>
      <w:start w:val="13"/>
    </w:lvl>
  </w:abstractNum>
  <w:abstractNum w:abstractNumId="17">
    <w:nsid w:val="721DA317"/>
    <w:multiLevelType w:val="hybridMultilevel"/>
    <w:lvl w:ilvl="0">
      <w:lvlJc w:val="left"/>
      <w:lvlText w:val="(%1)"/>
      <w:numFmt w:val="decimal"/>
      <w:start w:val="14"/>
    </w:lvl>
  </w:abstractNum>
  <w:abstractNum w:abstractNumId="18">
    <w:nsid w:val="2443A858"/>
    <w:multiLevelType w:val="hybridMultilevel"/>
    <w:lvl w:ilvl="0">
      <w:lvlJc w:val="left"/>
      <w:lvlText w:val="(%1)"/>
      <w:numFmt w:val="decimal"/>
      <w:start w:val="15"/>
    </w:lvl>
  </w:abstractNum>
  <w:abstractNum w:abstractNumId="19">
    <w:nsid w:val="2D1D5AE9"/>
    <w:multiLevelType w:val="hybridMultilevel"/>
    <w:lvl w:ilvl="0">
      <w:lvlJc w:val="left"/>
      <w:lvlText w:val="(%1)"/>
      <w:numFmt w:val="decimal"/>
      <w:start w:val="16"/>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lowerLetter"/>
      <w:start w:val="3"/>
    </w:lvl>
  </w:abstractNum>
  <w:abstractNum w:abstractNumId="22">
    <w:nsid w:val="8EDBDAB"/>
    <w:multiLevelType w:val="hybridMultilevel"/>
    <w:lvl w:ilvl="0">
      <w:lvlJc w:val="left"/>
      <w:lvlText w:val="%1"/>
      <w:numFmt w:val="decimal"/>
      <w:start w:val="32"/>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2024-08-02T08:51:38Z</dcterms:created>
  <dcterms:modified xsi:type="dcterms:W3CDTF">2024-08-02T08:51:38Z</dcterms:modified>
</cp:coreProperties>
</file>