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KENNEDY JOHN 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040" w:type="dxa"/>
            <w:vAlign w:val="bottom"/>
            <w:tcBorders>
              <w:top w:val="single" w:sz="8" w:color="0000EE"/>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GENTEX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GNTX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000" w:type="dxa"/>
            <w:vAlign w:val="bottom"/>
          </w:tcPr>
          <w:p>
            <w:pPr>
              <w:ind w:left="40"/>
              <w:spacing w:after="0"/>
              <w:rPr>
                <w:sz w:val="20"/>
                <w:szCs w:val="20"/>
                <w:color w:val="auto"/>
              </w:rPr>
            </w:pPr>
            <w:r>
              <w:rPr>
                <w:rFonts w:ascii="Arial" w:cs="Arial" w:eastAsia="Arial" w:hAnsi="Arial"/>
                <w:sz w:val="15"/>
                <w:szCs w:val="15"/>
                <w:color w:val="auto"/>
              </w:rPr>
              <w:t>(Last)</w:t>
            </w:r>
          </w:p>
        </w:tc>
        <w:tc>
          <w:tcPr>
            <w:tcW w:w="800" w:type="dxa"/>
            <w:vAlign w:val="bottom"/>
          </w:tcPr>
          <w:p>
            <w:pPr>
              <w:ind w:left="6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600 N. CENTENNIAL ST.</w:t>
            </w:r>
          </w:p>
        </w:tc>
      </w:tr>
      <w:tr>
        <w:trPr>
          <w:trHeight w:val="237"/>
        </w:trPr>
        <w:tc>
          <w:tcPr>
            <w:tcW w:w="1000" w:type="dxa"/>
            <w:vAlign w:val="bottom"/>
            <w:tcBorders>
              <w:bottom w:val="single" w:sz="8" w:color="9A9A9A"/>
            </w:tcBorders>
          </w:tcPr>
          <w:p>
            <w:pPr>
              <w:spacing w:after="0"/>
              <w:rPr>
                <w:sz w:val="20"/>
                <w:szCs w:val="20"/>
                <w:color w:val="auto"/>
              </w:rPr>
            </w:pPr>
          </w:p>
        </w:tc>
        <w:tc>
          <w:tcPr>
            <w:tcW w:w="80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100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ZEELAND</w:t>
            </w:r>
          </w:p>
        </w:tc>
        <w:tc>
          <w:tcPr>
            <w:tcW w:w="80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MI</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49464</w:t>
            </w:r>
          </w:p>
        </w:tc>
      </w:tr>
      <w:tr>
        <w:trPr>
          <w:trHeight w:val="177"/>
        </w:trPr>
        <w:tc>
          <w:tcPr>
            <w:tcW w:w="10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1000" w:type="dxa"/>
            <w:vAlign w:val="bottom"/>
          </w:tcPr>
          <w:p>
            <w:pPr>
              <w:ind w:left="40"/>
              <w:spacing w:after="0"/>
              <w:rPr>
                <w:sz w:val="20"/>
                <w:szCs w:val="20"/>
                <w:color w:val="auto"/>
              </w:rPr>
            </w:pPr>
            <w:r>
              <w:rPr>
                <w:rFonts w:ascii="Arial" w:cs="Arial" w:eastAsia="Arial" w:hAnsi="Arial"/>
                <w:sz w:val="15"/>
                <w:szCs w:val="15"/>
                <w:color w:val="auto"/>
              </w:rPr>
              <w:t>(City)</w:t>
            </w:r>
          </w:p>
        </w:tc>
        <w:tc>
          <w:tcPr>
            <w:tcW w:w="800" w:type="dxa"/>
            <w:vAlign w:val="bottom"/>
          </w:tcPr>
          <w:p>
            <w:pPr>
              <w:ind w:left="6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660"/>
              <w:spacing w:after="0"/>
              <w:rPr>
                <w:sz w:val="20"/>
                <w:szCs w:val="20"/>
                <w:color w:val="auto"/>
              </w:rPr>
            </w:pPr>
            <w:r>
              <w:rPr>
                <w:rFonts w:ascii="Times New Roman" w:cs="Times New Roman" w:eastAsia="Times New Roman" w:hAnsi="Times New Roman"/>
                <w:sz w:val="20"/>
                <w:szCs w:val="20"/>
                <w:color w:val="0000FF"/>
              </w:rPr>
              <w:t>0.00</w:t>
            </w:r>
          </w:p>
        </w:tc>
        <w:tc>
          <w:tcPr>
            <w:tcW w:w="680" w:type="dxa"/>
            <w:vAlign w:val="bottom"/>
          </w:tcPr>
          <w:p>
            <w:pPr>
              <w:spacing w:after="0"/>
              <w:rPr>
                <w:sz w:val="22"/>
                <w:szCs w:val="22"/>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0000FF"/>
                <w:w w:val="96"/>
              </w:rPr>
              <w:t>D</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120" w:type="dxa"/>
            <w:vAlign w:val="bottom"/>
            <w:tcBorders>
              <w:bottom w:val="single" w:sz="8" w:color="2C2C2C"/>
            </w:tcBorders>
            <w:gridSpan w:val="4"/>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2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4"/>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3"/>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920" w:type="dxa"/>
            <w:vAlign w:val="bottom"/>
            <w:gridSpan w:val="3"/>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3"/>
          </w:tcPr>
          <w:p>
            <w:pPr>
              <w:ind w:left="300"/>
              <w:spacing w:after="0"/>
              <w:rPr>
                <w:sz w:val="20"/>
                <w:szCs w:val="20"/>
                <w:color w:val="auto"/>
              </w:rPr>
            </w:pPr>
            <w:r>
              <w:rPr>
                <w:rFonts w:ascii="Arial" w:cs="Arial" w:eastAsia="Arial" w:hAnsi="Arial"/>
                <w:sz w:val="15"/>
                <w:szCs w:val="15"/>
                <w:b w:val="1"/>
                <w:bCs w:val="1"/>
                <w:color w:val="auto"/>
              </w:rPr>
              <w:t>Shares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No Securities are beneficially owned</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0000FF"/>
                <w:w w:val="95"/>
              </w:rPr>
              <w:t>/s/ Scott Ryan for John</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rPr>
              <w:t>Kennedy by Power of</w:t>
            </w:r>
          </w:p>
        </w:tc>
        <w:tc>
          <w:tcPr>
            <w:tcW w:w="2420" w:type="dxa"/>
            <w:vAlign w:val="bottom"/>
            <w:gridSpan w:val="4"/>
          </w:tcPr>
          <w:p>
            <w:pPr>
              <w:jc w:val="right"/>
              <w:ind w:right="1260"/>
              <w:spacing w:after="0" w:line="220" w:lineRule="exact"/>
              <w:rPr>
                <w:sz w:val="20"/>
                <w:szCs w:val="20"/>
                <w:color w:val="auto"/>
              </w:rPr>
            </w:pPr>
            <w:r>
              <w:rPr>
                <w:rFonts w:ascii="Times New Roman" w:cs="Times New Roman" w:eastAsia="Times New Roman" w:hAnsi="Times New Roman"/>
                <w:sz w:val="20"/>
                <w:szCs w:val="20"/>
                <w:color w:val="0000FF"/>
              </w:rPr>
              <w:t>05/22/2026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Attorney</w:t>
            </w: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00" w:lineRule="exact"/>
        <w:rPr>
          <w:sz w:val="20"/>
          <w:szCs w:val="20"/>
          <w:color w:val="auto"/>
        </w:rPr>
      </w:pPr>
    </w:p>
    <w:p>
      <w:pPr>
        <w:spacing w:after="0" w:line="249" w:lineRule="exact"/>
        <w:rPr>
          <w:sz w:val="20"/>
          <w:szCs w:val="20"/>
          <w:color w:val="auto"/>
        </w:rPr>
      </w:pPr>
    </w:p>
    <w:p>
      <w:pPr>
        <w:ind w:right="1899" w:firstLine="702"/>
        <w:spacing w:after="0" w:line="256"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Kevin Nash, any successor as Chief Financial Officer of Gentex Corporation, Scott Ryan, any successor as General counsel, and Steve Downing any successor of Chief Executive Officer of Gentex Corporation, and any of their respective designees, signing singly, (the "Corporation"), the undersigned's true and lawful attorney-in-fact to:</w:t>
      </w:r>
    </w:p>
    <w:p>
      <w:pPr>
        <w:spacing w:after="0" w:line="109" w:lineRule="exact"/>
        <w:rPr>
          <w:sz w:val="20"/>
          <w:szCs w:val="20"/>
          <w:color w:val="auto"/>
        </w:rPr>
      </w:pPr>
    </w:p>
    <w:p>
      <w:pPr>
        <w:ind w:right="2019" w:firstLine="1405"/>
        <w:spacing w:after="0" w:line="275" w:lineRule="auto"/>
        <w:tabs>
          <w:tab w:leader="none" w:pos="1873"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the Corporation, Forms 3, 4, and 5 in accordance with Section 16(a) of the Securities Exchange Act of 1934 and the rules thereunder;</w:t>
      </w:r>
    </w:p>
    <w:p>
      <w:pPr>
        <w:spacing w:after="0" w:line="87" w:lineRule="exact"/>
        <w:rPr>
          <w:rFonts w:ascii="Courier New" w:cs="Courier New" w:eastAsia="Courier New" w:hAnsi="Courier New"/>
          <w:sz w:val="20"/>
          <w:szCs w:val="20"/>
          <w:color w:val="auto"/>
        </w:rPr>
      </w:pPr>
    </w:p>
    <w:p>
      <w:pPr>
        <w:ind w:right="2019" w:firstLine="1405"/>
        <w:spacing w:after="0" w:line="260" w:lineRule="auto"/>
        <w:tabs>
          <w:tab w:leader="none" w:pos="1873"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03" w:lineRule="exact"/>
        <w:rPr>
          <w:rFonts w:ascii="Courier New" w:cs="Courier New" w:eastAsia="Courier New" w:hAnsi="Courier New"/>
          <w:sz w:val="20"/>
          <w:szCs w:val="20"/>
          <w:color w:val="auto"/>
        </w:rPr>
      </w:pPr>
    </w:p>
    <w:p>
      <w:pPr>
        <w:ind w:right="2019" w:firstLine="1405"/>
        <w:spacing w:after="0" w:line="254" w:lineRule="auto"/>
        <w:tabs>
          <w:tab w:leader="none" w:pos="1873"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1779" w:firstLine="702"/>
        <w:spacing w:after="0" w:line="250"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16" w:lineRule="exact"/>
        <w:rPr>
          <w:sz w:val="20"/>
          <w:szCs w:val="20"/>
          <w:color w:val="auto"/>
        </w:rPr>
      </w:pPr>
    </w:p>
    <w:p>
      <w:pPr>
        <w:ind w:right="1899" w:firstLine="702"/>
        <w:spacing w:after="0" w:line="265"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Corporation assuming, any of the undersigned's responsibilities to comply with Section 16 or any other provision of the Securities Exchange Act of 1934.</w:t>
      </w:r>
    </w:p>
    <w:p>
      <w:pPr>
        <w:spacing w:after="0" w:line="100" w:lineRule="exact"/>
        <w:rPr>
          <w:sz w:val="20"/>
          <w:szCs w:val="20"/>
          <w:color w:val="auto"/>
        </w:rPr>
      </w:pPr>
    </w:p>
    <w:p>
      <w:pPr>
        <w:ind w:right="2019" w:firstLine="702"/>
        <w:spacing w:after="0" w:line="256" w:lineRule="auto"/>
        <w:rPr>
          <w:sz w:val="20"/>
          <w:szCs w:val="20"/>
          <w:color w:val="auto"/>
        </w:rPr>
      </w:pPr>
      <w:r>
        <w:rPr>
          <w:rFonts w:ascii="Courier New" w:cs="Courier New" w:eastAsia="Courier New" w:hAnsi="Courier New"/>
          <w:sz w:val="20"/>
          <w:szCs w:val="20"/>
          <w:color w:val="auto"/>
        </w:rPr>
        <w:t>This Power of Attorney revokes any and all previous power of attorneys related to this subject matter, and shall remain in full force and effect until the undersigned is no longer required to file Forms 3, 4, and 5 with respect to the undersigned's holdings of and transactions in securities issued by the Corporation, unless earlier revoked by the undersigned in a signed writing delivered to the foregoing attorneys-in-fact.</w:t>
      </w:r>
    </w:p>
    <w:p>
      <w:pPr>
        <w:spacing w:after="0" w:line="109" w:lineRule="exact"/>
        <w:rPr>
          <w:sz w:val="20"/>
          <w:szCs w:val="20"/>
          <w:color w:val="auto"/>
        </w:rPr>
      </w:pPr>
    </w:p>
    <w:p>
      <w:pPr>
        <w:ind w:right="2259" w:firstLine="702"/>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21st day of May, 2026.</w:t>
      </w:r>
    </w:p>
    <w:p>
      <w:pPr>
        <w:spacing w:after="0" w:line="200" w:lineRule="exact"/>
        <w:rPr>
          <w:sz w:val="20"/>
          <w:szCs w:val="20"/>
          <w:color w:val="auto"/>
        </w:rPr>
      </w:pPr>
    </w:p>
    <w:p>
      <w:pPr>
        <w:spacing w:after="0" w:line="268"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20"/>
          <w:szCs w:val="20"/>
          <w:color w:val="auto"/>
        </w:rPr>
        <w:t>/s/ John Kennedy</w:t>
      </w:r>
    </w:p>
    <w:p>
      <w:pPr>
        <w:spacing w:after="0" w:line="224"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John Kennedy</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098541" TargetMode="External"/><Relationship Id="rId11" Type="http://schemas.openxmlformats.org/officeDocument/2006/relationships/hyperlink" Target="http://www.sec.gov/cgi-bin/browse-edgar?action=getcompany&amp;CIK=00003558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2026-05-22T14:21:00Z</dcterms:created>
  <dcterms:modified xsi:type="dcterms:W3CDTF">2026-05-22T14:21:00Z</dcterms:modified>
</cp:coreProperties>
</file>