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Nash Kevin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NORTH CENTENNIAL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GENTEX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919"/>
        <w:gridCol w:w="443"/>
        <w:gridCol w:w="924"/>
        <w:gridCol w:w="1143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38,181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92,485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16,864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24.89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75,621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4,306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24.89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71,315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6,317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24.9767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64,998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5,568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24.9767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59,430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13,880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73,310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38,181 shares are performance-based shares where the total number of shares granted were based on long term performance incentives.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vest 100% three years from grant award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Ryan for Kevin C. Nash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nash_poa2020.txt"/>
      <w:bookmarkStart w:id="3" w:name="ksnash_poa2020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Steve Downing, any successor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 of Gentex Corporation (the "Corporation"),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Scott Ryan, any successor as General counsel of Gentex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Corporation, and any of their respective designees, signing singly,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(1)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Corporation, Forms 3, 4, and 5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that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or 5, complete and execute any amendment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amendments thereto, and timely file such form with the United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States Securities and Exchange Commission and any stock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(3) take any other action of any type whatsoever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foregoing that, in the opinion of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in-fact, may be of benefit to, in the best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by, the undersigned, it being understood that the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by such attorney-in-fact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acknowledges that the foregoing attorneys-in-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fact, in serving in such capacity at the request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assuming, nor is the Corporation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or any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This Power of Attorney revokes any and all previous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 related to this subject matter, and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force and effect until the undersigned is 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4,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Corporation,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20th day of August, 2020.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Signature:/s/ Kevin Nash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Name: Kevin Nash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7359" TargetMode="External"/><Relationship Id="rId5" Type="http://schemas.openxmlformats.org/officeDocument/2006/relationships/hyperlink" Target="http://www.sec.gov/cgi-bin/browse-edgar?action=getcompany&amp;CIK=00003558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1130</Words>
  <Characters>5973</Characters>
  <CharactersWithSpaces>7024</CharactersWithSpaces>
  <Paragraphs>188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