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GENTEX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38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0-10235</w:t>
            </w:r>
          </w:p>
        </w:tc>
        <w:tc>
          <w:tcPr>
            <w:tcW w:w="2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38-2030505</w:t>
            </w:r>
          </w:p>
        </w:tc>
      </w:tr>
      <w:tr>
        <w:trPr>
          <w:trHeight w:val="180"/>
        </w:trPr>
        <w:tc>
          <w:tcPr>
            <w:tcW w:w="3820" w:type="dxa"/>
            <w:vAlign w:val="bottom"/>
          </w:tcPr>
          <w:p>
            <w:pPr>
              <w:jc w:val="center"/>
              <w:ind w:right="8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8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300" w:type="dxa"/>
            <w:vAlign w:val="bottom"/>
          </w:tcPr>
          <w:p>
            <w:pPr>
              <w:jc w:val="center"/>
              <w:ind w:left="8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of incorporation)</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23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38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600 North Centennial Street</w:t>
            </w:r>
          </w:p>
        </w:tc>
        <w:tc>
          <w:tcPr>
            <w:tcW w:w="28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9"/>
        </w:trPr>
        <w:tc>
          <w:tcPr>
            <w:tcW w:w="38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Zeeland</w:t>
            </w:r>
          </w:p>
        </w:tc>
        <w:tc>
          <w:tcPr>
            <w:tcW w:w="28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4"/>
        </w:trPr>
        <w:tc>
          <w:tcPr>
            <w:tcW w:w="38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80" w:type="dxa"/>
            <w:vAlign w:val="bottom"/>
          </w:tcPr>
          <w:p>
            <w:pPr>
              <w:spacing w:after="0"/>
              <w:rPr>
                <w:sz w:val="20"/>
                <w:szCs w:val="20"/>
                <w:color w:val="auto"/>
              </w:rPr>
            </w:pPr>
          </w:p>
        </w:tc>
        <w:tc>
          <w:tcPr>
            <w:tcW w:w="2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49464</w:t>
            </w:r>
          </w:p>
        </w:tc>
      </w:tr>
      <w:tr>
        <w:trPr>
          <w:trHeight w:val="234"/>
        </w:trPr>
        <w:tc>
          <w:tcPr>
            <w:tcW w:w="38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80" w:type="dxa"/>
            <w:vAlign w:val="bottom"/>
          </w:tcPr>
          <w:p>
            <w:pPr>
              <w:spacing w:after="0"/>
              <w:rPr>
                <w:sz w:val="20"/>
                <w:szCs w:val="20"/>
                <w:color w:val="auto"/>
              </w:rPr>
            </w:pPr>
          </w:p>
        </w:tc>
        <w:tc>
          <w:tcPr>
            <w:tcW w:w="23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772-1800</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202"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2" w:lineRule="exact"/>
        <w:rPr>
          <w:rFonts w:ascii="MS PGothic" w:cs="MS PGothic" w:eastAsia="MS PGothic" w:hAnsi="MS PGothic"/>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2" w:lineRule="exact"/>
        <w:rPr>
          <w:rFonts w:ascii="MS PGothic" w:cs="MS PGothic" w:eastAsia="MS PGothic" w:hAnsi="MS PGothic"/>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 w:lineRule="exact"/>
        <w:rPr>
          <w:rFonts w:ascii="MS PGothic" w:cs="MS PGothic" w:eastAsia="MS PGothic" w:hAnsi="MS PGothic"/>
          <w:sz w:val="20"/>
          <w:szCs w:val="20"/>
          <w:color w:val="auto"/>
        </w:rPr>
      </w:pPr>
    </w:p>
    <w:p>
      <w:pPr>
        <w:ind w:left="400" w:hanging="35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2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5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$0.06 per share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GNTX</w:t>
            </w:r>
          </w:p>
        </w:tc>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9"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2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5 – Corporate Governance and Management</w:t>
      </w:r>
    </w:p>
    <w:p>
      <w:pPr>
        <w:spacing w:after="0" w:line="2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2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On May 21, 2026, the Company held its 2026 Annual Meeting of the Shareholders. The matters listed and described briefly below were submitted to a vote of the shareholders through the solicitation of proxies. The proposals are described in detail in the Company's Proxy Statement filed on April 9, 2026. The voting results are as follows: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Election of Directors</w:t>
      </w:r>
    </w:p>
    <w:p>
      <w:pPr>
        <w:spacing w:after="0" w:line="247" w:lineRule="exact"/>
        <w:rPr>
          <w:sz w:val="20"/>
          <w:szCs w:val="20"/>
          <w:color w:val="auto"/>
        </w:rPr>
      </w:pPr>
    </w:p>
    <w:p>
      <w:pPr>
        <w:ind w:right="200" w:firstLine="212"/>
        <w:spacing w:after="0" w:line="260" w:lineRule="auto"/>
        <w:rPr>
          <w:sz w:val="20"/>
          <w:szCs w:val="20"/>
          <w:color w:val="auto"/>
        </w:rPr>
      </w:pPr>
      <w:r>
        <w:rPr>
          <w:rFonts w:ascii="Times New Roman" w:cs="Times New Roman" w:eastAsia="Times New Roman" w:hAnsi="Times New Roman"/>
          <w:sz w:val="22"/>
          <w:szCs w:val="22"/>
          <w:color w:val="auto"/>
        </w:rPr>
        <w:t>The following individuals were elected to serve as directors of the Company to hold office for a one (1) year term expiring in 2027: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Nominee</w:t>
            </w:r>
          </w:p>
        </w:tc>
        <w:tc>
          <w:tcPr>
            <w:tcW w:w="270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Votes Withheld</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Broker Non-Votes</w:t>
            </w:r>
          </w:p>
        </w:tc>
      </w:tr>
      <w:tr>
        <w:trPr>
          <w:trHeight w:val="264"/>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Ms. Leslie Brown</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158,128,540</w:t>
            </w:r>
          </w:p>
        </w:tc>
        <w:tc>
          <w:tcPr>
            <w:tcW w:w="46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14,512,140</w:t>
            </w:r>
          </w:p>
        </w:tc>
        <w:tc>
          <w:tcPr>
            <w:tcW w:w="44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Mr. Garth Deur</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170,087,302</w:t>
            </w:r>
          </w:p>
        </w:tc>
        <w:tc>
          <w:tcPr>
            <w:tcW w:w="46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2,553,378</w:t>
            </w:r>
          </w:p>
        </w:tc>
        <w:tc>
          <w:tcPr>
            <w:tcW w:w="44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Mr. Steve Downing</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171,724,331</w:t>
            </w:r>
          </w:p>
        </w:tc>
        <w:tc>
          <w:tcPr>
            <w:tcW w:w="46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916,349</w:t>
            </w:r>
          </w:p>
        </w:tc>
        <w:tc>
          <w:tcPr>
            <w:tcW w:w="44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Mr. John C. Kennedy</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171,947,741</w:t>
            </w:r>
          </w:p>
        </w:tc>
        <w:tc>
          <w:tcPr>
            <w:tcW w:w="46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692,939</w:t>
            </w:r>
          </w:p>
        </w:tc>
        <w:tc>
          <w:tcPr>
            <w:tcW w:w="44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Dr. Billy Pink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171,917,659</w:t>
            </w:r>
          </w:p>
        </w:tc>
        <w:tc>
          <w:tcPr>
            <w:tcW w:w="46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723,021</w:t>
            </w:r>
          </w:p>
        </w:tc>
        <w:tc>
          <w:tcPr>
            <w:tcW w:w="44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Mr. Richard Schaum</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162,704,794</w:t>
            </w:r>
          </w:p>
        </w:tc>
        <w:tc>
          <w:tcPr>
            <w:tcW w:w="46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9,935,886</w:t>
            </w:r>
          </w:p>
        </w:tc>
        <w:tc>
          <w:tcPr>
            <w:tcW w:w="44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Ms. Kathleen Starkoff</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171,971,186</w:t>
            </w:r>
          </w:p>
        </w:tc>
        <w:tc>
          <w:tcPr>
            <w:tcW w:w="46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669,494</w:t>
            </w:r>
          </w:p>
        </w:tc>
        <w:tc>
          <w:tcPr>
            <w:tcW w:w="44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Mr. Brian Walker</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171,034,722</w:t>
            </w:r>
          </w:p>
        </w:tc>
        <w:tc>
          <w:tcPr>
            <w:tcW w:w="46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1,605,958</w:t>
            </w:r>
          </w:p>
        </w:tc>
        <w:tc>
          <w:tcPr>
            <w:tcW w:w="44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Dr. Ling Zang</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167,414,247</w:t>
            </w:r>
          </w:p>
        </w:tc>
        <w:tc>
          <w:tcPr>
            <w:tcW w:w="46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5,226,433</w:t>
            </w:r>
          </w:p>
        </w:tc>
        <w:tc>
          <w:tcPr>
            <w:tcW w:w="440" w:type="dxa"/>
            <w:vAlign w:val="bottom"/>
            <w:shd w:val="clear" w:color="auto" w:fill="CCEEFF"/>
          </w:tcPr>
          <w:p>
            <w:pPr>
              <w:spacing w:after="0"/>
              <w:rPr>
                <w:sz w:val="23"/>
                <w:szCs w:val="2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17,860,451</w:t>
            </w:r>
          </w:p>
        </w:tc>
      </w:tr>
    </w:tbl>
    <w:p>
      <w:pPr>
        <w:spacing w:after="0" w:line="31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u w:val="single" w:color="auto"/>
          <w:color w:val="auto"/>
        </w:rPr>
        <w:t>Proposal to Ratify the Appointment of Ernst &amp; Young LLP as the Company's Auditors for the Fiscal Year Ending December 31, 2026</w:t>
      </w:r>
    </w:p>
    <w:p>
      <w:pPr>
        <w:spacing w:after="0" w:line="198" w:lineRule="exact"/>
        <w:rPr>
          <w:sz w:val="20"/>
          <w:szCs w:val="20"/>
          <w:color w:val="auto"/>
        </w:rPr>
      </w:pPr>
    </w:p>
    <w:p>
      <w:pPr>
        <w:ind w:right="580" w:firstLine="212"/>
        <w:spacing w:after="0" w:line="265" w:lineRule="auto"/>
        <w:rPr>
          <w:sz w:val="20"/>
          <w:szCs w:val="20"/>
          <w:color w:val="auto"/>
        </w:rPr>
      </w:pPr>
      <w:r>
        <w:rPr>
          <w:rFonts w:ascii="Times New Roman" w:cs="Times New Roman" w:eastAsia="Times New Roman" w:hAnsi="Times New Roman"/>
          <w:sz w:val="22"/>
          <w:szCs w:val="22"/>
          <w:color w:val="auto"/>
        </w:rPr>
        <w:t>The shareholders did ratify the appointment of Ernst &amp; Young LLP to serve as the Company's auditors for the fiscal year ending December 31, 2026:</w:t>
      </w:r>
    </w:p>
    <w:tbl>
      <w:tblPr>
        <w:tblLayout w:type="fixed"/>
        <w:tblInd w:w="0" w:type="dxa"/>
        <w:tblCellMar>
          <w:top w:w="0" w:type="dxa"/>
          <w:left w:w="0" w:type="dxa"/>
          <w:bottom w:w="0" w:type="dxa"/>
          <w:right w:w="0" w:type="dxa"/>
        </w:tblCellMar>
      </w:tblPr>
      <w:tr>
        <w:trPr>
          <w:trHeight w:val="265"/>
        </w:trPr>
        <w:tc>
          <w:tcPr>
            <w:tcW w:w="36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6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8"/>
              </w:rPr>
              <w:t>Abstentions</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2"/>
                <w:szCs w:val="22"/>
                <w:b w:val="1"/>
                <w:bCs w:val="1"/>
                <w:color w:val="auto"/>
              </w:rPr>
              <w:t>Broker Non-Votes</w:t>
            </w:r>
          </w:p>
        </w:tc>
      </w:tr>
      <w:tr>
        <w:trPr>
          <w:trHeight w:val="276"/>
        </w:trPr>
        <w:tc>
          <w:tcPr>
            <w:tcW w:w="318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183,982,692</w:t>
            </w:r>
          </w:p>
        </w:tc>
        <w:tc>
          <w:tcPr>
            <w:tcW w:w="440" w:type="dxa"/>
            <w:vAlign w:val="bottom"/>
          </w:tcPr>
          <w:p>
            <w:pPr>
              <w:spacing w:after="0"/>
              <w:rPr>
                <w:sz w:val="23"/>
                <w:szCs w:val="23"/>
                <w:color w:val="auto"/>
              </w:rPr>
            </w:pPr>
          </w:p>
        </w:tc>
        <w:tc>
          <w:tcPr>
            <w:tcW w:w="224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6,360,110</w:t>
            </w:r>
          </w:p>
        </w:tc>
        <w:tc>
          <w:tcPr>
            <w:tcW w:w="460" w:type="dxa"/>
            <w:vAlign w:val="bottom"/>
          </w:tcPr>
          <w:p>
            <w:pPr>
              <w:spacing w:after="0"/>
              <w:rPr>
                <w:sz w:val="23"/>
                <w:szCs w:val="23"/>
                <w:color w:val="auto"/>
              </w:rPr>
            </w:pPr>
          </w:p>
        </w:tc>
        <w:tc>
          <w:tcPr>
            <w:tcW w:w="224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158,329</w:t>
            </w:r>
          </w:p>
        </w:tc>
        <w:tc>
          <w:tcPr>
            <w:tcW w:w="440" w:type="dxa"/>
            <w:vAlign w:val="bottom"/>
          </w:tcPr>
          <w:p>
            <w:pPr>
              <w:spacing w:after="0"/>
              <w:rPr>
                <w:sz w:val="23"/>
                <w:szCs w:val="23"/>
                <w:color w:val="auto"/>
              </w:rPr>
            </w:pPr>
          </w:p>
        </w:tc>
        <w:tc>
          <w:tcPr>
            <w:tcW w:w="2240" w:type="dxa"/>
            <w:vAlign w:val="bottom"/>
            <w:tcBorders>
              <w:top w:val="single" w:sz="8" w:color="auto"/>
            </w:tcBorders>
          </w:tcPr>
          <w:p>
            <w:pPr>
              <w:spacing w:after="0"/>
              <w:rPr>
                <w:sz w:val="23"/>
                <w:szCs w:val="23"/>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Proposal to Approve, on an Advisory Basis, the Compensation of the Company's Named Executive Officers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shareholders did approve, on an advisory basis, the compensation of the Company's named executive officers: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6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8"/>
              </w:rPr>
              <w:t>Abstentions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Broker Non-Votes</w:t>
            </w:r>
          </w:p>
        </w:tc>
      </w:tr>
      <w:tr>
        <w:trPr>
          <w:trHeight w:val="276"/>
        </w:trPr>
        <w:tc>
          <w:tcPr>
            <w:tcW w:w="318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167,822,852</w:t>
            </w:r>
          </w:p>
        </w:tc>
        <w:tc>
          <w:tcPr>
            <w:tcW w:w="440" w:type="dxa"/>
            <w:vAlign w:val="bottom"/>
          </w:tcPr>
          <w:p>
            <w:pPr>
              <w:spacing w:after="0"/>
              <w:rPr>
                <w:sz w:val="23"/>
                <w:szCs w:val="23"/>
                <w:color w:val="auto"/>
              </w:rPr>
            </w:pPr>
          </w:p>
        </w:tc>
        <w:tc>
          <w:tcPr>
            <w:tcW w:w="224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4,448,682</w:t>
            </w:r>
          </w:p>
        </w:tc>
        <w:tc>
          <w:tcPr>
            <w:tcW w:w="460" w:type="dxa"/>
            <w:vAlign w:val="bottom"/>
          </w:tcPr>
          <w:p>
            <w:pPr>
              <w:spacing w:after="0"/>
              <w:rPr>
                <w:sz w:val="23"/>
                <w:szCs w:val="23"/>
                <w:color w:val="auto"/>
              </w:rPr>
            </w:pPr>
          </w:p>
        </w:tc>
        <w:tc>
          <w:tcPr>
            <w:tcW w:w="224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369,146</w:t>
            </w:r>
          </w:p>
        </w:tc>
        <w:tc>
          <w:tcPr>
            <w:tcW w:w="440" w:type="dxa"/>
            <w:vAlign w:val="bottom"/>
          </w:tcPr>
          <w:p>
            <w:pPr>
              <w:spacing w:after="0"/>
              <w:rPr>
                <w:sz w:val="23"/>
                <w:szCs w:val="23"/>
                <w:color w:val="auto"/>
              </w:rPr>
            </w:pPr>
          </w:p>
        </w:tc>
        <w:tc>
          <w:tcPr>
            <w:tcW w:w="224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17,860,451</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Proposal to Approve the Gentex Corporation 2026 Omnibus Incentive Plan</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shareholders did approve the Gentex Corporation 2026 Omnibus Incentive Plan: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6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8"/>
              </w:rPr>
              <w:t>Abstentions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Broker Non-Votes</w:t>
            </w:r>
          </w:p>
        </w:tc>
      </w:tr>
      <w:tr>
        <w:trPr>
          <w:trHeight w:val="276"/>
        </w:trPr>
        <w:tc>
          <w:tcPr>
            <w:tcW w:w="318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149,753,126</w:t>
            </w:r>
          </w:p>
        </w:tc>
        <w:tc>
          <w:tcPr>
            <w:tcW w:w="440" w:type="dxa"/>
            <w:vAlign w:val="bottom"/>
          </w:tcPr>
          <w:p>
            <w:pPr>
              <w:spacing w:after="0"/>
              <w:rPr>
                <w:sz w:val="23"/>
                <w:szCs w:val="23"/>
                <w:color w:val="auto"/>
              </w:rPr>
            </w:pPr>
          </w:p>
        </w:tc>
        <w:tc>
          <w:tcPr>
            <w:tcW w:w="224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color w:val="auto"/>
              </w:rPr>
              <w:t>22,571,717</w:t>
            </w:r>
          </w:p>
        </w:tc>
        <w:tc>
          <w:tcPr>
            <w:tcW w:w="460" w:type="dxa"/>
            <w:vAlign w:val="bottom"/>
          </w:tcPr>
          <w:p>
            <w:pPr>
              <w:spacing w:after="0"/>
              <w:rPr>
                <w:sz w:val="23"/>
                <w:szCs w:val="23"/>
                <w:color w:val="auto"/>
              </w:rPr>
            </w:pPr>
          </w:p>
        </w:tc>
        <w:tc>
          <w:tcPr>
            <w:tcW w:w="224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315,837</w:t>
            </w:r>
          </w:p>
        </w:tc>
        <w:tc>
          <w:tcPr>
            <w:tcW w:w="440" w:type="dxa"/>
            <w:vAlign w:val="bottom"/>
          </w:tcPr>
          <w:p>
            <w:pPr>
              <w:spacing w:after="0"/>
              <w:rPr>
                <w:sz w:val="23"/>
                <w:szCs w:val="23"/>
                <w:color w:val="auto"/>
              </w:rPr>
            </w:pPr>
          </w:p>
        </w:tc>
        <w:tc>
          <w:tcPr>
            <w:tcW w:w="224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17,860,451</w:t>
            </w:r>
          </w:p>
        </w:tc>
      </w:tr>
      <w:tr>
        <w:trPr>
          <w:trHeight w:val="1210"/>
        </w:trPr>
        <w:tc>
          <w:tcPr>
            <w:tcW w:w="3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4380"/>
        <w:spacing w:after="0"/>
        <w:rPr>
          <w:sz w:val="20"/>
          <w:szCs w:val="20"/>
          <w:color w:val="auto"/>
        </w:rPr>
      </w:pPr>
      <w:r>
        <w:rPr>
          <w:rFonts w:ascii="Times New Roman" w:cs="Times New Roman" w:eastAsia="Times New Roman" w:hAnsi="Times New Roman"/>
          <w:sz w:val="22"/>
          <w:szCs w:val="22"/>
          <w:u w:val="single" w:color="auto"/>
          <w:color w:val="auto"/>
        </w:rPr>
        <w:t>SIGNATURE</w:t>
      </w:r>
    </w:p>
    <w:p>
      <w:pPr>
        <w:spacing w:after="0" w:line="247" w:lineRule="exact"/>
        <w:rPr>
          <w:sz w:val="20"/>
          <w:szCs w:val="20"/>
          <w:color w:val="auto"/>
        </w:rPr>
      </w:pPr>
    </w:p>
    <w:p>
      <w:pPr>
        <w:ind w:firstLine="216"/>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Dated: May 26, 2026</w:t>
            </w:r>
          </w:p>
        </w:tc>
        <w:tc>
          <w:tcPr>
            <w:tcW w:w="358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6"/>
              </w:rPr>
              <w:t>GENTEX CORPORATION</w:t>
            </w:r>
          </w:p>
        </w:tc>
      </w:tr>
      <w:tr>
        <w:trPr>
          <w:trHeight w:val="282"/>
        </w:trPr>
        <w:tc>
          <w:tcPr>
            <w:tcW w:w="5780" w:type="dxa"/>
            <w:vAlign w:val="bottom"/>
            <w:gridSpan w:val="3"/>
          </w:tcPr>
          <w:p>
            <w:pPr>
              <w:ind w:left="1960"/>
              <w:spacing w:after="0"/>
              <w:rPr>
                <w:sz w:val="20"/>
                <w:szCs w:val="20"/>
                <w:color w:val="auto"/>
              </w:rPr>
            </w:pPr>
            <w:r>
              <w:rPr>
                <w:rFonts w:ascii="Times New Roman" w:cs="Times New Roman" w:eastAsia="Times New Roman" w:hAnsi="Times New Roman"/>
                <w:sz w:val="22"/>
                <w:szCs w:val="22"/>
                <w:color w:val="auto"/>
              </w:rPr>
              <w:t>(Registrant)</w:t>
            </w:r>
          </w:p>
        </w:tc>
      </w:tr>
      <w:tr>
        <w:trPr>
          <w:trHeight w:val="690"/>
        </w:trPr>
        <w:tc>
          <w:tcPr>
            <w:tcW w:w="22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By</w:t>
            </w:r>
          </w:p>
        </w:tc>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Kevin Nash</w:t>
            </w:r>
          </w:p>
        </w:tc>
      </w:tr>
      <w:tr>
        <w:trPr>
          <w:trHeight w:val="20"/>
        </w:trPr>
        <w:tc>
          <w:tcPr>
            <w:tcW w:w="2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Kevin Nash</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Chief Financial Officer and</w:t>
      </w:r>
    </w:p>
    <w:p>
      <w:pPr>
        <w:spacing w:after="0" w:line="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Vice President - Finance</w:t>
      </w:r>
    </w:p>
    <w:sectPr>
      <w:pgSz w:w="11900" w:h="16838" w:orient="portrait"/>
      <w:cols w:equalWidth="0" w:num="1">
        <w:col w:w="11120"/>
      </w:cols>
      <w:pgMar w:left="320" w:top="89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2026-05-26T09:32:11Z</dcterms:created>
  <dcterms:modified xsi:type="dcterms:W3CDTF">2026-05-26T09:32:11Z</dcterms:modified>
</cp:coreProperties>
</file>