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XBRL</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6"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2019 or</w:t>
      </w:r>
    </w:p>
    <w:p>
      <w:pPr>
        <w:spacing w:after="0" w:line="282"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6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440" w:type="dxa"/>
            <w:vAlign w:val="bottom"/>
            <w:gridSpan w:val="5"/>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34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54"/>
        </w:trPr>
        <w:tc>
          <w:tcPr>
            <w:tcW w:w="2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700" w:type="dxa"/>
            <w:vAlign w:val="bottom"/>
            <w:gridSpan w:val="3"/>
          </w:tcPr>
          <w:p>
            <w:pPr>
              <w:jc w:val="center"/>
              <w:ind w:right="362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42"/>
        </w:trPr>
        <w:tc>
          <w:tcPr>
            <w:tcW w:w="2460" w:type="dxa"/>
            <w:vAlign w:val="bottom"/>
          </w:tcPr>
          <w:p>
            <w:pPr>
              <w:spacing w:after="0"/>
              <w:rPr>
                <w:sz w:val="21"/>
                <w:szCs w:val="21"/>
                <w:color w:val="auto"/>
              </w:rPr>
            </w:pPr>
          </w:p>
        </w:tc>
        <w:tc>
          <w:tcPr>
            <w:tcW w:w="1980" w:type="dxa"/>
            <w:vAlign w:val="bottom"/>
            <w:gridSpan w:val="4"/>
          </w:tcPr>
          <w:p>
            <w:pPr>
              <w:jc w:val="center"/>
              <w:ind w:right="1128"/>
              <w:spacing w:after="0"/>
              <w:rPr>
                <w:sz w:val="20"/>
                <w:szCs w:val="20"/>
                <w:color w:val="auto"/>
              </w:rPr>
            </w:pPr>
            <w:r>
              <w:rPr>
                <w:rFonts w:ascii="Arial" w:cs="Arial" w:eastAsia="Arial" w:hAnsi="Arial"/>
                <w:sz w:val="18"/>
                <w:szCs w:val="18"/>
                <w:b w:val="1"/>
                <w:bCs w:val="1"/>
                <w:color w:val="auto"/>
                <w:w w:val="99"/>
              </w:rPr>
              <w:t>Michigan</w:t>
            </w:r>
          </w:p>
        </w:tc>
        <w:tc>
          <w:tcPr>
            <w:tcW w:w="2240" w:type="dxa"/>
            <w:vAlign w:val="bottom"/>
          </w:tcPr>
          <w:p>
            <w:pPr>
              <w:spacing w:after="0"/>
              <w:rPr>
                <w:sz w:val="21"/>
                <w:szCs w:val="21"/>
                <w:color w:val="auto"/>
              </w:rPr>
            </w:pPr>
          </w:p>
        </w:tc>
        <w:tc>
          <w:tcPr>
            <w:tcW w:w="4740" w:type="dxa"/>
            <w:vAlign w:val="bottom"/>
          </w:tcPr>
          <w:p>
            <w:pPr>
              <w:jc w:val="right"/>
              <w:ind w:right="228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53"/>
        </w:trPr>
        <w:tc>
          <w:tcPr>
            <w:tcW w:w="4440" w:type="dxa"/>
            <w:vAlign w:val="bottom"/>
            <w:gridSpan w:val="5"/>
          </w:tcPr>
          <w:p>
            <w:pPr>
              <w:jc w:val="center"/>
              <w:ind w:left="1205"/>
              <w:spacing w:after="0" w:line="153" w:lineRule="exact"/>
              <w:rPr>
                <w:sz w:val="20"/>
                <w:szCs w:val="20"/>
                <w:color w:val="auto"/>
              </w:rPr>
            </w:pPr>
            <w:r>
              <w:rPr>
                <w:rFonts w:ascii="Arial" w:cs="Arial" w:eastAsia="Arial" w:hAnsi="Arial"/>
                <w:sz w:val="14"/>
                <w:szCs w:val="14"/>
                <w:color w:val="auto"/>
              </w:rPr>
              <w:t>(State or other jurisdiction of</w:t>
            </w:r>
          </w:p>
        </w:tc>
        <w:tc>
          <w:tcPr>
            <w:tcW w:w="2240" w:type="dxa"/>
            <w:vAlign w:val="bottom"/>
          </w:tcPr>
          <w:p>
            <w:pPr>
              <w:spacing w:after="0"/>
              <w:rPr>
                <w:sz w:val="13"/>
                <w:szCs w:val="13"/>
                <w:color w:val="auto"/>
              </w:rPr>
            </w:pPr>
          </w:p>
        </w:tc>
        <w:tc>
          <w:tcPr>
            <w:tcW w:w="4740" w:type="dxa"/>
            <w:vAlign w:val="bottom"/>
          </w:tcPr>
          <w:p>
            <w:pPr>
              <w:jc w:val="center"/>
              <w:ind w:right="843"/>
              <w:spacing w:after="0" w:line="153"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440" w:type="dxa"/>
            <w:vAlign w:val="bottom"/>
            <w:gridSpan w:val="5"/>
          </w:tcPr>
          <w:p>
            <w:pPr>
              <w:jc w:val="center"/>
              <w:ind w:left="1185"/>
              <w:spacing w:after="0"/>
              <w:rPr>
                <w:sz w:val="20"/>
                <w:szCs w:val="20"/>
                <w:color w:val="auto"/>
              </w:rPr>
            </w:pPr>
            <w:r>
              <w:rPr>
                <w:rFonts w:ascii="Arial" w:cs="Arial" w:eastAsia="Arial" w:hAnsi="Arial"/>
                <w:sz w:val="14"/>
                <w:szCs w:val="14"/>
                <w:color w:val="auto"/>
              </w:rPr>
              <w:t>incorporation or organization)</w:t>
            </w:r>
          </w:p>
        </w:tc>
        <w:tc>
          <w:tcPr>
            <w:tcW w:w="2240" w:type="dxa"/>
            <w:vAlign w:val="bottom"/>
          </w:tcPr>
          <w:p>
            <w:pPr>
              <w:spacing w:after="0"/>
              <w:rPr>
                <w:sz w:val="14"/>
                <w:szCs w:val="14"/>
                <w:color w:val="auto"/>
              </w:rPr>
            </w:pPr>
          </w:p>
        </w:tc>
        <w:tc>
          <w:tcPr>
            <w:tcW w:w="4740" w:type="dxa"/>
            <w:vAlign w:val="bottom"/>
          </w:tcPr>
          <w:p>
            <w:pPr>
              <w:jc w:val="center"/>
              <w:ind w:right="86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76"/>
        </w:trPr>
        <w:tc>
          <w:tcPr>
            <w:tcW w:w="4440" w:type="dxa"/>
            <w:vAlign w:val="bottom"/>
            <w:gridSpan w:val="5"/>
          </w:tcPr>
          <w:p>
            <w:pPr>
              <w:jc w:val="center"/>
              <w:ind w:left="1185"/>
              <w:spacing w:after="0"/>
              <w:rPr>
                <w:sz w:val="20"/>
                <w:szCs w:val="20"/>
                <w:color w:val="auto"/>
              </w:rPr>
            </w:pPr>
            <w:r>
              <w:rPr>
                <w:rFonts w:ascii="Arial" w:cs="Arial" w:eastAsia="Arial" w:hAnsi="Arial"/>
                <w:sz w:val="16"/>
                <w:szCs w:val="16"/>
                <w:b w:val="1"/>
                <w:bCs w:val="1"/>
                <w:color w:val="auto"/>
              </w:rPr>
              <w:t>600 N. Centennial</w:t>
            </w:r>
          </w:p>
        </w:tc>
        <w:tc>
          <w:tcPr>
            <w:tcW w:w="2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980" w:type="dxa"/>
            <w:vAlign w:val="bottom"/>
            <w:gridSpan w:val="4"/>
          </w:tcPr>
          <w:p>
            <w:pPr>
              <w:jc w:val="center"/>
              <w:ind w:right="1128"/>
              <w:spacing w:after="0"/>
              <w:rPr>
                <w:sz w:val="20"/>
                <w:szCs w:val="20"/>
                <w:color w:val="auto"/>
              </w:rPr>
            </w:pPr>
            <w:r>
              <w:rPr>
                <w:rFonts w:ascii="Arial" w:cs="Arial" w:eastAsia="Arial" w:hAnsi="Arial"/>
                <w:sz w:val="16"/>
                <w:szCs w:val="16"/>
                <w:b w:val="1"/>
                <w:bCs w:val="1"/>
                <w:color w:val="auto"/>
              </w:rPr>
              <w:t>Zeeland</w:t>
            </w:r>
          </w:p>
        </w:tc>
        <w:tc>
          <w:tcPr>
            <w:tcW w:w="22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1980" w:type="dxa"/>
            <w:vAlign w:val="bottom"/>
            <w:gridSpan w:val="4"/>
          </w:tcPr>
          <w:p>
            <w:pPr>
              <w:jc w:val="center"/>
              <w:ind w:right="1128"/>
              <w:spacing w:after="0"/>
              <w:rPr>
                <w:sz w:val="20"/>
                <w:szCs w:val="20"/>
                <w:color w:val="auto"/>
              </w:rPr>
            </w:pPr>
            <w:r>
              <w:rPr>
                <w:rFonts w:ascii="Arial" w:cs="Arial" w:eastAsia="Arial" w:hAnsi="Arial"/>
                <w:sz w:val="16"/>
                <w:szCs w:val="16"/>
                <w:b w:val="1"/>
                <w:bCs w:val="1"/>
                <w:color w:val="auto"/>
              </w:rPr>
              <w:t>Michigan</w:t>
            </w:r>
          </w:p>
        </w:tc>
        <w:tc>
          <w:tcPr>
            <w:tcW w:w="2240" w:type="dxa"/>
            <w:vAlign w:val="bottom"/>
          </w:tcPr>
          <w:p>
            <w:pPr>
              <w:spacing w:after="0"/>
              <w:rPr>
                <w:sz w:val="22"/>
                <w:szCs w:val="22"/>
                <w:color w:val="auto"/>
              </w:rPr>
            </w:pPr>
          </w:p>
        </w:tc>
        <w:tc>
          <w:tcPr>
            <w:tcW w:w="4740" w:type="dxa"/>
            <w:vAlign w:val="bottom"/>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04"/>
        </w:trPr>
        <w:tc>
          <w:tcPr>
            <w:tcW w:w="4440" w:type="dxa"/>
            <w:vAlign w:val="bottom"/>
            <w:gridSpan w:val="5"/>
          </w:tcPr>
          <w:p>
            <w:pPr>
              <w:jc w:val="center"/>
              <w:ind w:left="1185"/>
              <w:spacing w:after="0"/>
              <w:rPr>
                <w:sz w:val="20"/>
                <w:szCs w:val="20"/>
                <w:color w:val="auto"/>
              </w:rPr>
            </w:pPr>
            <w:r>
              <w:rPr>
                <w:rFonts w:ascii="Arial" w:cs="Arial" w:eastAsia="Arial" w:hAnsi="Arial"/>
                <w:sz w:val="14"/>
                <w:szCs w:val="14"/>
                <w:color w:val="auto"/>
              </w:rPr>
              <w:t>(Address of principal executive offices)</w:t>
            </w:r>
          </w:p>
        </w:tc>
        <w:tc>
          <w:tcPr>
            <w:tcW w:w="2240" w:type="dxa"/>
            <w:vAlign w:val="bottom"/>
          </w:tcPr>
          <w:p>
            <w:pPr>
              <w:spacing w:after="0"/>
              <w:rPr>
                <w:sz w:val="17"/>
                <w:szCs w:val="17"/>
                <w:color w:val="auto"/>
              </w:rPr>
            </w:pPr>
          </w:p>
        </w:tc>
        <w:tc>
          <w:tcPr>
            <w:tcW w:w="4740" w:type="dxa"/>
            <w:vAlign w:val="bottom"/>
          </w:tcPr>
          <w:p>
            <w:pPr>
              <w:jc w:val="center"/>
              <w:ind w:right="86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23"/>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jc w:val="right"/>
              <w:ind w:right="274"/>
              <w:spacing w:after="0"/>
              <w:rPr>
                <w:sz w:val="20"/>
                <w:szCs w:val="20"/>
                <w:color w:val="auto"/>
              </w:rPr>
            </w:pPr>
            <w:r>
              <w:rPr>
                <w:rFonts w:ascii="Arial" w:cs="Arial" w:eastAsia="Arial" w:hAnsi="Arial"/>
                <w:sz w:val="18"/>
                <w:szCs w:val="18"/>
                <w:b w:val="1"/>
                <w:bCs w:val="1"/>
                <w:color w:val="auto"/>
              </w:rPr>
              <w:t>(616) 772-1800</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700" w:type="dxa"/>
            <w:vAlign w:val="bottom"/>
            <w:gridSpan w:val="3"/>
          </w:tcPr>
          <w:p>
            <w:pPr>
              <w:jc w:val="center"/>
              <w:ind w:right="3643"/>
              <w:spacing w:after="0" w:line="159"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8960" w:type="dxa"/>
            <w:vAlign w:val="bottom"/>
            <w:gridSpan w:val="6"/>
          </w:tcPr>
          <w:p>
            <w:pPr>
              <w:jc w:val="right"/>
              <w:ind w:right="394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7"/>
        </w:trPr>
        <w:tc>
          <w:tcPr>
            <w:tcW w:w="4440" w:type="dxa"/>
            <w:vAlign w:val="bottom"/>
            <w:gridSpan w:val="5"/>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10"/>
        </w:trPr>
        <w:tc>
          <w:tcPr>
            <w:tcW w:w="444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Arial" w:cs="Arial" w:eastAsia="Arial" w:hAnsi="Arial"/>
                <w:sz w:val="14"/>
                <w:szCs w:val="14"/>
                <w:color w:val="auto"/>
              </w:rPr>
              <w:t>Common Stock, par value $0.06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GNTX</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167" w:lineRule="exact"/>
        <w:rPr>
          <w:sz w:val="24"/>
          <w:szCs w:val="24"/>
          <w:color w:val="auto"/>
        </w:rPr>
      </w:pPr>
    </w:p>
    <w:p>
      <w:pPr>
        <w:ind w:right="1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50"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ectPr>
          <w:pgSz w:w="11900" w:h="16838" w:orient="portrait"/>
          <w:cols w:equalWidth="0" w:num="1">
            <w:col w:w="11420"/>
          </w:cols>
          <w:pgMar w:left="240" w:top="607" w:right="239" w:bottom="1440" w:gutter="0" w:footer="0" w:header="0"/>
        </w:sectPr>
      </w:pPr>
    </w:p>
    <w:p>
      <w:pPr>
        <w:spacing w:after="0" w:line="150" w:lineRule="exact"/>
        <w:rPr>
          <w:sz w:val="24"/>
          <w:szCs w:val="24"/>
          <w:color w:val="auto"/>
        </w:rPr>
      </w:pPr>
    </w:p>
    <w:p>
      <w:pPr>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
        <w:spacing w:after="0" w:line="181" w:lineRule="exact"/>
        <w:tabs>
          <w:tab w:leader="none" w:pos="2200" w:val="left"/>
          <w:tab w:leader="none" w:pos="83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p>
    <w:p>
      <w:pPr>
        <w:spacing w:after="0" w:line="123" w:lineRule="exact"/>
        <w:rPr>
          <w:sz w:val="24"/>
          <w:szCs w:val="24"/>
          <w:color w:val="auto"/>
        </w:rPr>
      </w:pPr>
    </w:p>
    <w:p>
      <w:pPr>
        <w:ind w:left="20"/>
        <w:spacing w:after="0" w:line="181" w:lineRule="exact"/>
        <w:tabs>
          <w:tab w:leader="none" w:pos="2200" w:val="left"/>
          <w:tab w:leader="none" w:pos="83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p>
    <w:p>
      <w:pPr>
        <w:spacing w:after="0" w:line="236" w:lineRule="exact"/>
        <w:rPr>
          <w:sz w:val="24"/>
          <w:szCs w:val="24"/>
          <w:color w:val="auto"/>
        </w:rPr>
      </w:pPr>
    </w:p>
    <w:p>
      <w:pPr>
        <w:ind w:left="83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4"/>
          <w:szCs w:val="24"/>
          <w:color w:val="auto"/>
        </w:rPr>
      </w:pPr>
    </w:p>
    <w:p>
      <w:pPr>
        <w:sectPr>
          <w:pgSz w:w="11900" w:h="16838" w:orient="portrait"/>
          <w:cols w:equalWidth="0" w:num="2">
            <w:col w:w="11000" w:space="80"/>
            <w:col w:w="340"/>
          </w:cols>
          <w:pgMar w:left="240" w:top="607" w:right="239" w:bottom="1440" w:gutter="0" w:footer="0" w:header="0"/>
          <w:type w:val="continuous"/>
        </w:sectPr>
      </w:pPr>
    </w:p>
    <w:p>
      <w:pPr>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PRECEEDING FIVE YEARS:</w:t>
      </w:r>
    </w:p>
    <w:p>
      <w:pPr>
        <w:spacing w:after="0" w:line="163" w:lineRule="exact"/>
        <w:rPr>
          <w:sz w:val="24"/>
          <w:szCs w:val="24"/>
          <w:color w:val="auto"/>
        </w:rPr>
      </w:pPr>
    </w:p>
    <w:p>
      <w:pPr>
        <w:ind w:right="72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1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APPLICABLE ONLY TO CORPORATE ISSUERS:</w:t>
      </w:r>
      <w:r>
        <w:rPr>
          <w:rFonts w:ascii="MS PGothic" w:cs="MS PGothic" w:eastAsia="MS PGothic" w:hAnsi="MS PGothic"/>
          <w:sz w:val="14"/>
          <w:szCs w:val="14"/>
          <w:color w:val="auto"/>
        </w:rPr>
        <w:t> </w:t>
      </w:r>
      <w:r>
        <w:rPr>
          <w:rFonts w:ascii="Arial" w:cs="Arial" w:eastAsia="Arial" w:hAnsi="Arial"/>
          <w:sz w:val="14"/>
          <w:szCs w:val="14"/>
          <w:color w:val="auto"/>
        </w:rPr>
        <w:t>Indicate the number of shares outstanding of each of the issuer’s classes of common stock, as of the latest practicable date.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620" w:type="dxa"/>
            <w:vAlign w:val="bottom"/>
            <w:tcBorders>
              <w:bottom w:val="single" w:sz="8" w:color="auto"/>
            </w:tcBorders>
          </w:tcPr>
          <w:p>
            <w:pPr>
              <w:jc w:val="right"/>
              <w:ind w:right="1428"/>
              <w:spacing w:after="0"/>
              <w:rPr>
                <w:sz w:val="20"/>
                <w:szCs w:val="20"/>
                <w:color w:val="auto"/>
              </w:rPr>
            </w:pPr>
            <w:r>
              <w:rPr>
                <w:rFonts w:ascii="Arial" w:cs="Arial" w:eastAsia="Arial" w:hAnsi="Arial"/>
                <w:sz w:val="14"/>
                <w:szCs w:val="14"/>
                <w:b w:val="1"/>
                <w:bCs w:val="1"/>
                <w:color w:val="auto"/>
              </w:rPr>
              <w:t>Shares Outstanding, October 18, 2019</w:t>
            </w:r>
          </w:p>
        </w:tc>
      </w:tr>
      <w:tr>
        <w:trPr>
          <w:trHeight w:val="198"/>
        </w:trPr>
        <w:tc>
          <w:tcPr>
            <w:tcW w:w="536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620" w:type="dxa"/>
            <w:vAlign w:val="bottom"/>
          </w:tcPr>
          <w:p>
            <w:pPr>
              <w:jc w:val="right"/>
              <w:ind w:right="2408"/>
              <w:spacing w:after="0"/>
              <w:rPr>
                <w:sz w:val="20"/>
                <w:szCs w:val="20"/>
                <w:color w:val="auto"/>
              </w:rPr>
            </w:pPr>
            <w:r>
              <w:rPr>
                <w:rFonts w:ascii="Arial" w:cs="Arial" w:eastAsia="Arial" w:hAnsi="Arial"/>
                <w:sz w:val="14"/>
                <w:szCs w:val="14"/>
                <w:color w:val="auto"/>
              </w:rPr>
              <w:t>252,972,254</w:t>
            </w:r>
          </w:p>
        </w:tc>
      </w:tr>
    </w:tbl>
    <w:p>
      <w:pPr>
        <w:spacing w:after="0" w:line="200" w:lineRule="exact"/>
        <w:rPr>
          <w:sz w:val="24"/>
          <w:szCs w:val="24"/>
          <w:color w:val="auto"/>
        </w:rPr>
      </w:pPr>
    </w:p>
    <w:p>
      <w:pPr>
        <w:sectPr>
          <w:pgSz w:w="11900" w:h="16838" w:orient="portrait"/>
          <w:cols w:equalWidth="0" w:num="1">
            <w:col w:w="11420"/>
          </w:cols>
          <w:pgMar w:left="240" w:top="60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140" w:type="dxa"/>
            <w:vAlign w:val="bottom"/>
            <w:gridSpan w:val="15"/>
          </w:tcPr>
          <w:p>
            <w:pPr>
              <w:spacing w:after="0"/>
              <w:rPr>
                <w:sz w:val="20"/>
                <w:szCs w:val="20"/>
                <w:color w:val="auto"/>
              </w:rPr>
            </w:pPr>
            <w:r>
              <w:rPr>
                <w:rFonts w:ascii="Arial" w:cs="Arial" w:eastAsia="Arial" w:hAnsi="Arial"/>
                <w:sz w:val="22"/>
                <w:szCs w:val="22"/>
                <w:b w:val="1"/>
                <w:bCs w:val="1"/>
                <w:color w:val="auto"/>
              </w:rPr>
              <w:t>Part I - Financial Information</w:t>
            </w:r>
          </w:p>
        </w:tc>
        <w:tc>
          <w:tcPr>
            <w:tcW w:w="1560" w:type="dxa"/>
            <w:vAlign w:val="bottom"/>
            <w:gridSpan w:val="3"/>
          </w:tcPr>
          <w:p>
            <w:pPr>
              <w:ind w:left="1040"/>
              <w:spacing w:after="0"/>
              <w:rPr>
                <w:sz w:val="20"/>
                <w:szCs w:val="20"/>
                <w:color w:val="auto"/>
              </w:rPr>
            </w:pPr>
            <w:r>
              <w:rPr>
                <w:rFonts w:ascii="Arial" w:cs="Arial" w:eastAsia="Arial" w:hAnsi="Arial"/>
                <w:sz w:val="22"/>
                <w:szCs w:val="22"/>
                <w:b w:val="1"/>
                <w:bCs w:val="1"/>
                <w:color w:val="auto"/>
                <w:w w:val="94"/>
              </w:rPr>
              <w:t>Page</w:t>
            </w:r>
          </w:p>
        </w:tc>
      </w:tr>
      <w:tr>
        <w:trPr>
          <w:trHeight w:val="193"/>
        </w:trPr>
        <w:tc>
          <w:tcPr>
            <w:tcW w:w="1040" w:type="dxa"/>
            <w:vAlign w:val="bottom"/>
          </w:tcPr>
          <w:p>
            <w:pPr>
              <w:spacing w:after="0" w:line="193" w:lineRule="exact"/>
              <w:rPr>
                <w:sz w:val="20"/>
                <w:szCs w:val="20"/>
                <w:color w:val="auto"/>
              </w:rPr>
            </w:pPr>
            <w:r>
              <w:rPr>
                <w:rFonts w:ascii="Arial" w:cs="Arial" w:eastAsia="Arial" w:hAnsi="Arial"/>
                <w:sz w:val="18"/>
                <w:szCs w:val="18"/>
                <w:color w:val="auto"/>
              </w:rPr>
              <w:t>Item 1.</w:t>
            </w:r>
          </w:p>
        </w:tc>
        <w:tc>
          <w:tcPr>
            <w:tcW w:w="8100" w:type="dxa"/>
            <w:vAlign w:val="bottom"/>
            <w:gridSpan w:val="14"/>
          </w:tcPr>
          <w:p>
            <w:pPr>
              <w:spacing w:after="0" w:line="193"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Financial Statements</w:t>
              </w:r>
            </w:hyperlink>
          </w:p>
        </w:tc>
        <w:tc>
          <w:tcPr>
            <w:tcW w:w="1340" w:type="dxa"/>
            <w:vAlign w:val="bottom"/>
            <w:gridSpan w:val="2"/>
          </w:tcPr>
          <w:p>
            <w:pPr>
              <w:jc w:val="center"/>
              <w:ind w:left="1148"/>
              <w:spacing w:after="0" w:line="19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4200" w:type="dxa"/>
            <w:vAlign w:val="bottom"/>
            <w:gridSpan w:val="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Unaudited Condensed Consolidated Balance Sheets</w:t>
              </w:r>
            </w:hyperlink>
          </w:p>
        </w:tc>
        <w:tc>
          <w:tcPr>
            <w:tcW w:w="3900" w:type="dxa"/>
            <w:vAlign w:val="bottom"/>
            <w:gridSpan w:val="8"/>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340" w:type="dxa"/>
            <w:vAlign w:val="bottom"/>
            <w:gridSpan w:val="2"/>
          </w:tcPr>
          <w:p>
            <w:pPr>
              <w:jc w:val="center"/>
              <w:ind w:left="1148"/>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Unaudited Condensed Consolidated Statements of Comprehensive Income</w:t>
              </w:r>
            </w:hyperlink>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040" w:type="dxa"/>
            <w:vAlign w:val="bottom"/>
            <w:gridSpan w:val="1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Unaudited Condensed Consolidated Statements of Cash Flows</w:t>
              </w:r>
            </w:hyperlink>
          </w:p>
        </w:tc>
        <w:tc>
          <w:tcPr>
            <w:tcW w:w="96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340" w:type="dxa"/>
            <w:vAlign w:val="bottom"/>
            <w:gridSpan w:val="11"/>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Unaudited Condensed Consolidated Financial Statements</w:t>
              </w:r>
            </w:hyperlink>
          </w:p>
        </w:tc>
        <w:tc>
          <w:tcPr>
            <w:tcW w:w="276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22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3400" w:type="dxa"/>
            <w:vAlign w:val="bottom"/>
            <w:gridSpan w:val="6"/>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7"/>
        </w:trPr>
        <w:tc>
          <w:tcPr>
            <w:tcW w:w="9140" w:type="dxa"/>
            <w:vAlign w:val="bottom"/>
            <w:gridSpan w:val="15"/>
          </w:tcPr>
          <w:p>
            <w:pPr>
              <w:spacing w:after="0"/>
              <w:rPr>
                <w:sz w:val="20"/>
                <w:szCs w:val="20"/>
                <w:color w:val="auto"/>
              </w:rPr>
            </w:pPr>
            <w:r>
              <w:rPr>
                <w:rFonts w:ascii="Arial" w:cs="Arial" w:eastAsia="Arial" w:hAnsi="Arial"/>
                <w:sz w:val="22"/>
                <w:szCs w:val="22"/>
                <w:b w:val="1"/>
                <w:bCs w:val="1"/>
                <w:color w:val="auto"/>
              </w:rPr>
              <w:t>Part II - Other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3"/>
        </w:trPr>
        <w:tc>
          <w:tcPr>
            <w:tcW w:w="1040" w:type="dxa"/>
            <w:vAlign w:val="bottom"/>
          </w:tcPr>
          <w:p>
            <w:pPr>
              <w:spacing w:after="0" w:line="193"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3" w:lineRule="exact"/>
              <w:rPr>
                <w:rFonts w:ascii="Arial" w:cs="Arial" w:eastAsia="Arial" w:hAnsi="Arial"/>
                <w:sz w:val="18"/>
                <w:szCs w:val="18"/>
                <w:color w:val="0000FF"/>
                <w:w w:val="95"/>
              </w:rPr>
            </w:pPr>
            <w:hyperlink w:anchor="page34">
              <w:r>
                <w:rPr>
                  <w:rFonts w:ascii="Arial" w:cs="Arial" w:eastAsia="Arial" w:hAnsi="Arial"/>
                  <w:sz w:val="18"/>
                  <w:szCs w:val="18"/>
                  <w:color w:val="0000FF"/>
                  <w:w w:val="95"/>
                </w:rPr>
                <w:t>Risk Factors</w:t>
              </w:r>
            </w:hyperlink>
          </w:p>
        </w:tc>
        <w:tc>
          <w:tcPr>
            <w:tcW w:w="7100" w:type="dxa"/>
            <w:vAlign w:val="bottom"/>
            <w:gridSpan w:val="11"/>
          </w:tcPr>
          <w:p>
            <w:pPr>
              <w:spacing w:after="0"/>
              <w:rPr>
                <w:sz w:val="16"/>
                <w:szCs w:val="16"/>
                <w:color w:val="auto"/>
              </w:rPr>
            </w:pPr>
          </w:p>
        </w:tc>
        <w:tc>
          <w:tcPr>
            <w:tcW w:w="1560" w:type="dxa"/>
            <w:vAlign w:val="bottom"/>
            <w:gridSpan w:val="3"/>
          </w:tcPr>
          <w:p>
            <w:pPr>
              <w:jc w:val="center"/>
              <w:ind w:left="948"/>
              <w:spacing w:after="0" w:line="193" w:lineRule="exact"/>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3260" w:type="dxa"/>
            <w:vAlign w:val="bottom"/>
            <w:gridSpan w:val="5"/>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60" w:type="dxa"/>
            <w:vAlign w:val="bottom"/>
            <w:gridSpan w:val="2"/>
          </w:tcPr>
          <w:p>
            <w:pPr>
              <w:spacing w:after="0"/>
              <w:rPr>
                <w:rFonts w:ascii="Arial" w:cs="Arial" w:eastAsia="Arial" w:hAnsi="Arial"/>
                <w:sz w:val="18"/>
                <w:szCs w:val="18"/>
                <w:color w:val="0302FF"/>
                <w:w w:val="97"/>
              </w:rPr>
            </w:pPr>
            <w:hyperlink w:anchor="page35">
              <w:r>
                <w:rPr>
                  <w:rFonts w:ascii="Arial" w:cs="Arial" w:eastAsia="Arial" w:hAnsi="Arial"/>
                  <w:sz w:val="18"/>
                  <w:szCs w:val="18"/>
                  <w:color w:val="0302FF"/>
                  <w:w w:val="97"/>
                </w:rPr>
                <w:t>Signatures</w:t>
              </w:r>
            </w:hyperlink>
          </w:p>
        </w:tc>
        <w:tc>
          <w:tcPr>
            <w:tcW w:w="7240" w:type="dxa"/>
            <w:vAlign w:val="bottom"/>
            <w:gridSpan w:val="12"/>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35</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2"/>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 Index</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36</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320" w:top="927"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As of September 30, 2019 and December 31, 2018</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6"/>
                <w:szCs w:val="16"/>
                <w:color w:val="auto"/>
              </w:rPr>
            </w:pPr>
          </w:p>
        </w:tc>
        <w:tc>
          <w:tcPr>
            <w:tcW w:w="190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2018</w:t>
            </w:r>
          </w:p>
        </w:tc>
      </w:tr>
      <w:tr>
        <w:trPr>
          <w:trHeight w:val="176"/>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900" w:type="dxa"/>
            <w:vAlign w:val="bottom"/>
          </w:tcPr>
          <w:p>
            <w:pPr>
              <w:jc w:val="right"/>
              <w:ind w:right="791"/>
              <w:spacing w:after="0"/>
              <w:rPr>
                <w:sz w:val="20"/>
                <w:szCs w:val="20"/>
                <w:color w:val="auto"/>
              </w:rPr>
            </w:pPr>
            <w:r>
              <w:rPr>
                <w:rFonts w:ascii="Arial" w:cs="Arial" w:eastAsia="Arial" w:hAnsi="Arial"/>
                <w:sz w:val="14"/>
                <w:szCs w:val="14"/>
                <w:b w:val="1"/>
                <w:bCs w:val="1"/>
                <w:color w:val="auto"/>
              </w:rPr>
              <w:t>(Note)</w:t>
            </w:r>
          </w:p>
        </w:tc>
      </w:tr>
      <w:tr>
        <w:trPr>
          <w:trHeight w:val="190"/>
        </w:trPr>
        <w:tc>
          <w:tcPr>
            <w:tcW w:w="13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gridSpan w:val="3"/>
            <w:shd w:val="clear" w:color="auto" w:fill="CCEEFF"/>
          </w:tcPr>
          <w:p>
            <w:pPr>
              <w:jc w:val="center"/>
              <w:ind w:right="3120"/>
              <w:spacing w:after="0" w:line="170" w:lineRule="exact"/>
              <w:rPr>
                <w:sz w:val="20"/>
                <w:szCs w:val="20"/>
                <w:color w:val="auto"/>
              </w:rPr>
            </w:pPr>
            <w:r>
              <w:rPr>
                <w:rFonts w:ascii="Arial" w:cs="Arial" w:eastAsia="Arial" w:hAnsi="Arial"/>
                <w:sz w:val="18"/>
                <w:szCs w:val="18"/>
                <w:color w:val="auto"/>
                <w:w w:val="98"/>
              </w:rPr>
              <w:t>ASSETS</w:t>
            </w:r>
          </w:p>
        </w:tc>
        <w:tc>
          <w:tcPr>
            <w:tcW w:w="22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r>
      <w:tr>
        <w:trPr>
          <w:trHeight w:val="250"/>
        </w:trPr>
        <w:tc>
          <w:tcPr>
            <w:tcW w:w="31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21"/>
                <w:szCs w:val="21"/>
                <w:color w:val="auto"/>
              </w:rPr>
            </w:pPr>
          </w:p>
        </w:tc>
        <w:tc>
          <w:tcPr>
            <w:tcW w:w="3120" w:type="dxa"/>
            <w:vAlign w:val="bottom"/>
            <w:tcBorders>
              <w:top w:val="single" w:sz="8" w:color="CCEEFF"/>
            </w:tcBorders>
            <w:gridSpan w:val="2"/>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900" w:type="dxa"/>
            <w:vAlign w:val="bottom"/>
            <w:tcBorders>
              <w:top w:val="single" w:sz="8" w:color="CCEEFF"/>
            </w:tcBorders>
          </w:tcPr>
          <w:p>
            <w:pPr>
              <w:spacing w:after="0"/>
              <w:rPr>
                <w:sz w:val="21"/>
                <w:szCs w:val="21"/>
                <w:color w:val="auto"/>
              </w:rPr>
            </w:pPr>
          </w:p>
        </w:tc>
      </w:tr>
      <w:tr>
        <w:trPr>
          <w:trHeight w:val="263"/>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260,151,083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217,025,278</w:t>
            </w:r>
          </w:p>
        </w:tc>
      </w:tr>
      <w:tr>
        <w:trPr>
          <w:trHeight w:val="250"/>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207,156,287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169,412,999</w:t>
            </w:r>
          </w:p>
        </w:tc>
      </w:tr>
      <w:tr>
        <w:trPr>
          <w:trHeight w:val="263"/>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253,108,715</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213,537,799</w:t>
            </w:r>
          </w:p>
        </w:tc>
      </w:tr>
      <w:tr>
        <w:trPr>
          <w:trHeight w:val="250"/>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238,676,795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225,281,599</w:t>
            </w:r>
          </w:p>
        </w:tc>
      </w:tr>
      <w:tr>
        <w:trPr>
          <w:trHeight w:val="257"/>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28,402,524</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25,672,579</w:t>
            </w:r>
          </w:p>
        </w:tc>
      </w:tr>
      <w:tr>
        <w:trPr>
          <w:trHeight w:val="250"/>
        </w:trPr>
        <w:tc>
          <w:tcPr>
            <w:tcW w:w="6940" w:type="dxa"/>
            <w:vAlign w:val="bottom"/>
            <w:gridSpan w:val="5"/>
          </w:tcPr>
          <w:p>
            <w:pPr>
              <w:ind w:left="4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987,495,404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850,930,254</w:t>
            </w:r>
          </w:p>
        </w:tc>
      </w:tr>
      <w:tr>
        <w:trPr>
          <w:trHeight w:val="236"/>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491,968,638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498,473,766</w:t>
            </w:r>
          </w:p>
        </w:tc>
      </w:tr>
      <w:tr>
        <w:trPr>
          <w:trHeight w:val="236"/>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63"/>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307,365,845</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307,365,845</w:t>
            </w:r>
          </w:p>
        </w:tc>
      </w:tr>
      <w:tr>
        <w:trPr>
          <w:trHeight w:val="250"/>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103,025,468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137,979,082</w:t>
            </w:r>
          </w:p>
        </w:tc>
      </w:tr>
      <w:tr>
        <w:trPr>
          <w:trHeight w:val="263"/>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255,200,000</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269,675,000</w:t>
            </w:r>
          </w:p>
        </w:tc>
      </w:tr>
      <w:tr>
        <w:trPr>
          <w:trHeight w:val="250"/>
        </w:trPr>
        <w:tc>
          <w:tcPr>
            <w:tcW w:w="694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22,241,049</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21,010,121</w:t>
            </w:r>
          </w:p>
        </w:tc>
      </w:tr>
      <w:tr>
        <w:trPr>
          <w:trHeight w:val="257"/>
        </w:trPr>
        <w:tc>
          <w:tcPr>
            <w:tcW w:w="69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687,832,362</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736,030,048</w:t>
            </w:r>
          </w:p>
        </w:tc>
      </w:tr>
      <w:tr>
        <w:trPr>
          <w:trHeight w:val="244"/>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2,167,296,404</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2,085,434,068</w:t>
            </w:r>
          </w:p>
        </w:tc>
      </w:tr>
      <w:tr>
        <w:trPr>
          <w:trHeight w:val="21"/>
        </w:trPr>
        <w:tc>
          <w:tcPr>
            <w:tcW w:w="13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89"/>
        </w:trPr>
        <w:tc>
          <w:tcPr>
            <w:tcW w:w="1360" w:type="dxa"/>
            <w:vAlign w:val="bottom"/>
          </w:tcPr>
          <w:p>
            <w:pPr>
              <w:spacing w:after="0"/>
              <w:rPr>
                <w:sz w:val="16"/>
                <w:szCs w:val="16"/>
                <w:color w:val="auto"/>
              </w:rPr>
            </w:pPr>
          </w:p>
        </w:tc>
        <w:tc>
          <w:tcPr>
            <w:tcW w:w="5580" w:type="dxa"/>
            <w:vAlign w:val="bottom"/>
            <w:gridSpan w:val="4"/>
          </w:tcPr>
          <w:p>
            <w:pPr>
              <w:jc w:val="center"/>
              <w:ind w:right="1360"/>
              <w:spacing w:after="0" w:line="189" w:lineRule="exact"/>
              <w:rPr>
                <w:sz w:val="20"/>
                <w:szCs w:val="20"/>
                <w:color w:val="auto"/>
              </w:rPr>
            </w:pPr>
            <w:r>
              <w:rPr>
                <w:rFonts w:ascii="Arial" w:cs="Arial" w:eastAsia="Arial" w:hAnsi="Arial"/>
                <w:sz w:val="18"/>
                <w:szCs w:val="18"/>
                <w:color w:val="auto"/>
              </w:rPr>
              <w:t>LIABILITIES AND SHAREHOLDERS’ INVESTMENT</w:t>
            </w: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
        </w:trPr>
        <w:tc>
          <w:tcPr>
            <w:tcW w:w="136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63"/>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95,309,797</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92,810,316</w:t>
            </w:r>
          </w:p>
        </w:tc>
      </w:tr>
      <w:tr>
        <w:trPr>
          <w:trHeight w:val="250"/>
        </w:trPr>
        <w:tc>
          <w:tcPr>
            <w:tcW w:w="694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86,994,334</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76,350,603</w:t>
            </w:r>
          </w:p>
        </w:tc>
      </w:tr>
      <w:tr>
        <w:trPr>
          <w:trHeight w:val="257"/>
        </w:trPr>
        <w:tc>
          <w:tcPr>
            <w:tcW w:w="69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182,304,131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169,160,919</w:t>
            </w:r>
          </w:p>
        </w:tc>
      </w:tr>
      <w:tr>
        <w:trPr>
          <w:trHeight w:val="270"/>
        </w:trPr>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6,952,703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50"/>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56,711,307</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54,521,489</w:t>
            </w:r>
          </w:p>
        </w:tc>
      </w:tr>
      <w:tr>
        <w:trPr>
          <w:trHeight w:val="216"/>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245,968,141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223,682,408</w:t>
            </w:r>
          </w:p>
        </w:tc>
      </w:tr>
      <w:tr>
        <w:trPr>
          <w:trHeight w:val="230"/>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r>
      <w:tr>
        <w:trPr>
          <w:trHeight w:val="250"/>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15,178,860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15,559,717</w:t>
            </w:r>
          </w:p>
        </w:tc>
      </w:tr>
      <w:tr>
        <w:trPr>
          <w:trHeight w:val="263"/>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799,462,368</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745,324,144</w:t>
            </w:r>
          </w:p>
        </w:tc>
      </w:tr>
      <w:tr>
        <w:trPr>
          <w:trHeight w:val="250"/>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1,107,449,540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ind w:right="71"/>
              <w:spacing w:after="0"/>
              <w:rPr>
                <w:sz w:val="20"/>
                <w:szCs w:val="20"/>
                <w:color w:val="auto"/>
              </w:rPr>
            </w:pPr>
            <w:r>
              <w:rPr>
                <w:rFonts w:ascii="Arial" w:cs="Arial" w:eastAsia="Arial" w:hAnsi="Arial"/>
                <w:sz w:val="18"/>
                <w:szCs w:val="18"/>
                <w:color w:val="auto"/>
              </w:rPr>
              <w:t>1,102,468,137</w:t>
            </w:r>
          </w:p>
        </w:tc>
      </w:tr>
      <w:tr>
        <w:trPr>
          <w:trHeight w:val="257"/>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(762,505)</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(1,600,338)</w:t>
            </w:r>
          </w:p>
        </w:tc>
      </w:tr>
      <w:tr>
        <w:trPr>
          <w:trHeight w:val="250"/>
        </w:trPr>
        <w:tc>
          <w:tcPr>
            <w:tcW w:w="6940" w:type="dxa"/>
            <w:vAlign w:val="bottom"/>
            <w:tcBorders>
              <w:bottom w:val="single" w:sz="8" w:color="CCEEFF"/>
            </w:tcBorders>
            <w:gridSpan w:val="5"/>
          </w:tcPr>
          <w:p>
            <w:pPr>
              <w:ind w:left="440"/>
              <w:spacing w:after="0"/>
              <w:rPr>
                <w:sz w:val="20"/>
                <w:szCs w:val="20"/>
                <w:color w:val="auto"/>
              </w:rPr>
            </w:pPr>
            <w:r>
              <w:rPr>
                <w:rFonts w:ascii="Arial" w:cs="Arial" w:eastAsia="Arial" w:hAnsi="Arial"/>
                <w:sz w:val="18"/>
                <w:szCs w:val="18"/>
                <w:color w:val="auto"/>
              </w:rPr>
              <w:t>Total shareholders’ investment</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1,921,328,263</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1,861,751,660</w:t>
            </w:r>
          </w:p>
        </w:tc>
      </w:tr>
      <w:tr>
        <w:trPr>
          <w:trHeight w:val="275"/>
        </w:trPr>
        <w:tc>
          <w:tcPr>
            <w:tcW w:w="6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2,167,296,404</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2,085,434,068</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right="480"/>
        <w:spacing w:after="0" w:line="242" w:lineRule="auto"/>
        <w:rPr>
          <w:sz w:val="20"/>
          <w:szCs w:val="20"/>
          <w:color w:val="auto"/>
        </w:rPr>
      </w:pPr>
      <w:r>
        <w:rPr>
          <w:rFonts w:ascii="Arial" w:cs="Arial" w:eastAsia="Arial" w:hAnsi="Arial"/>
          <w:sz w:val="13"/>
          <w:szCs w:val="13"/>
          <w:color w:val="auto"/>
        </w:rPr>
        <w:t>Note: The condensed consolidated balance sheet at December 31, 2018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3" w:name="page4"/>
    <w:bookmarkEnd w:id="3"/>
    <w:p>
      <w:pPr>
        <w:jc w:val="center"/>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Nine Months Ended September 30, 2019 and 2018</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1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22"/>
        </w:trPr>
        <w:tc>
          <w:tcPr>
            <w:tcW w:w="4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477,761,417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460,253,433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1,415,061,768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1,380,654,978</w:t>
            </w:r>
          </w:p>
        </w:tc>
      </w:tr>
      <w:tr>
        <w:trPr>
          <w:trHeight w:val="230"/>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297,440,131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287,263,147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888,558,373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862,231,819</w:t>
            </w:r>
          </w:p>
        </w:tc>
      </w:tr>
      <w:tr>
        <w:trPr>
          <w:trHeight w:val="250"/>
        </w:trPr>
        <w:tc>
          <w:tcPr>
            <w:tcW w:w="454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180,321,286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172,990,286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526,503,395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518,423,159</w:t>
            </w:r>
          </w:p>
        </w:tc>
      </w:tr>
      <w:tr>
        <w:trPr>
          <w:trHeight w:val="236"/>
        </w:trPr>
        <w:tc>
          <w:tcPr>
            <w:tcW w:w="4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29,398,725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26,888,999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85,847,249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80,138,722</w:t>
            </w:r>
          </w:p>
        </w:tc>
      </w:tr>
      <w:tr>
        <w:trPr>
          <w:trHeight w:val="250"/>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22,786,881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18,673,376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63,019,167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55,658,189</w:t>
            </w:r>
          </w:p>
        </w:tc>
      </w:tr>
      <w:tr>
        <w:trPr>
          <w:trHeight w:val="250"/>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52,185,606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45,562,375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148,866,416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135,796,911</w:t>
            </w:r>
          </w:p>
        </w:tc>
      </w:tr>
      <w:tr>
        <w:trPr>
          <w:trHeight w:val="216"/>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128,135,680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127,427,911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377,636,979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382,626,248</w:t>
            </w:r>
          </w:p>
        </w:tc>
      </w:tr>
      <w:tr>
        <w:trPr>
          <w:trHeight w:val="230"/>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0"/>
        </w:trPr>
        <w:tc>
          <w:tcPr>
            <w:tcW w:w="454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3,353,510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3,180,683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8,756,638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8,062,421</w:t>
            </w: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(loss), net</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90,323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(73,979)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376,983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578,655</w:t>
            </w:r>
          </w:p>
        </w:tc>
      </w:tr>
      <w:tr>
        <w:trPr>
          <w:trHeight w:val="250"/>
        </w:trPr>
        <w:tc>
          <w:tcPr>
            <w:tcW w:w="45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3,443,833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3,106,704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9,133,621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8,641,076</w:t>
            </w:r>
          </w:p>
        </w:tc>
      </w:tr>
      <w:tr>
        <w:trPr>
          <w:trHeight w:val="216"/>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131,579,513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130,534,615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386,770,600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391,267,324</w:t>
            </w:r>
          </w:p>
        </w:tc>
      </w:tr>
      <w:tr>
        <w:trPr>
          <w:trHeight w:val="236"/>
        </w:trPr>
        <w:tc>
          <w:tcPr>
            <w:tcW w:w="4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19,681,661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19,198,798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61,633,712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59,658,782</w:t>
            </w:r>
          </w:p>
        </w:tc>
      </w:tr>
      <w:tr>
        <w:trPr>
          <w:trHeight w:val="236"/>
        </w:trPr>
        <w:tc>
          <w:tcPr>
            <w:tcW w:w="45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44"/>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111,897,852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111,335,817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325,136,888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331,608,542</w:t>
            </w:r>
          </w:p>
        </w:tc>
      </w:tr>
      <w:tr>
        <w:trPr>
          <w:trHeight w:val="21"/>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3"/>
        </w:trPr>
        <w:tc>
          <w:tcPr>
            <w:tcW w:w="4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r>
      <w:tr>
        <w:trPr>
          <w:trHeight w:val="250"/>
        </w:trPr>
        <w:tc>
          <w:tcPr>
            <w:tcW w:w="4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1.22</w:t>
            </w:r>
          </w:p>
        </w:tc>
      </w:tr>
      <w:tr>
        <w:trPr>
          <w:trHeight w:val="236"/>
        </w:trPr>
        <w:tc>
          <w:tcPr>
            <w:tcW w:w="4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0.115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0.345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0.330</w:t>
            </w:r>
          </w:p>
        </w:tc>
      </w:tr>
    </w:tbl>
    <w:p>
      <w:pPr>
        <w:spacing w:after="0" w:line="26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 w:name="page5"/>
    <w:bookmarkEnd w:id="4"/>
    <w:p>
      <w:pPr>
        <w:jc w:val="center"/>
        <w:ind w:right="2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Nine Months Ended September 30, 2019 and 2018</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0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r>
      <w:tr>
        <w:trPr>
          <w:trHeight w:val="222"/>
        </w:trPr>
        <w:tc>
          <w:tcPr>
            <w:tcW w:w="4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111,897,852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111,335,817</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7"/>
              </w:rPr>
              <w:t>325,136,888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$331,608,542</w:t>
            </w:r>
          </w:p>
        </w:tc>
      </w:tr>
      <w:tr>
        <w:trPr>
          <w:trHeight w:val="270"/>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46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(1,623,102)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(1,174,213)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(1,799,789)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(2,013,638)</w:t>
            </w:r>
          </w:p>
        </w:tc>
      </w:tr>
      <w:tr>
        <w:trPr>
          <w:trHeight w:val="263"/>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on derivatives</w:t>
            </w:r>
          </w:p>
        </w:tc>
        <w:tc>
          <w:tcPr>
            <w:tcW w:w="2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16,165</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98,769</w:t>
            </w:r>
          </w:p>
        </w:tc>
      </w:tr>
      <w:tr>
        <w:trPr>
          <w:trHeight w:val="250"/>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gains (losses) on debt securities, net</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457,438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(609,422)</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3,338,762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(932,953)</w:t>
            </w:r>
          </w:p>
        </w:tc>
      </w:tr>
      <w:tr>
        <w:trPr>
          <w:trHeight w:val="257"/>
        </w:trPr>
        <w:tc>
          <w:tcPr>
            <w:tcW w:w="4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(1,165,664)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(1,767,470)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1,538,973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(2,847,822)</w:t>
            </w:r>
          </w:p>
        </w:tc>
      </w:tr>
      <w:tr>
        <w:trPr>
          <w:trHeight w:val="277"/>
        </w:trPr>
        <w:tc>
          <w:tcPr>
            <w:tcW w:w="4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Income tax impact related to components of other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4"/>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96,062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(124,584)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701,140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(175,177)</w:t>
            </w:r>
          </w:p>
        </w:tc>
      </w:tr>
      <w:tr>
        <w:trPr>
          <w:trHeight w:val="257"/>
        </w:trPr>
        <w:tc>
          <w:tcPr>
            <w:tcW w:w="4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(1,261,726)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(1,642,886)</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837,833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(2,672,645)</w:t>
            </w:r>
          </w:p>
        </w:tc>
      </w:tr>
      <w:tr>
        <w:trPr>
          <w:trHeight w:val="257"/>
        </w:trPr>
        <w:tc>
          <w:tcPr>
            <w:tcW w:w="4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110,636,126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109,692,931</w:t>
            </w:r>
          </w:p>
        </w:tc>
        <w:tc>
          <w:tcPr>
            <w:tcW w:w="16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325,974,721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328,935,897</w:t>
            </w:r>
          </w:p>
        </w:tc>
      </w:tr>
      <w:tr>
        <w:trPr>
          <w:trHeight w:val="21"/>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1251"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September 30, 2019 and 2018</w:t>
      </w:r>
    </w:p>
    <w:p>
      <w:pPr>
        <w:sectPr>
          <w:pgSz w:w="11900" w:h="16838" w:orient="portrait"/>
          <w:cols w:equalWidth="0" w:num="1">
            <w:col w:w="11380"/>
          </w:cols>
          <w:pgMar w:left="280" w:top="1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2019</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($.115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2019</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41"/>
              <w:spacing w:after="0"/>
              <w:rPr>
                <w:sz w:val="20"/>
                <w:szCs w:val="20"/>
                <w:color w:val="auto"/>
              </w:rPr>
            </w:pPr>
            <w:r>
              <w:rPr>
                <w:rFonts w:ascii="Arial" w:cs="Arial" w:eastAsia="Arial" w:hAnsi="Arial"/>
                <w:sz w:val="14"/>
                <w:szCs w:val="14"/>
                <w:b w:val="1"/>
                <w:bCs w:val="1"/>
                <w:color w:val="auto"/>
              </w:rPr>
              <w:t>Accumulated</w:t>
            </w:r>
          </w:p>
        </w:tc>
        <w:tc>
          <w:tcPr>
            <w:tcW w:w="1460" w:type="dxa"/>
            <w:vAlign w:val="bottom"/>
          </w:tcPr>
          <w:p>
            <w:pPr>
              <w:spacing w:after="0"/>
              <w:rPr>
                <w:sz w:val="14"/>
                <w:szCs w:val="14"/>
                <w:color w:val="auto"/>
              </w:rPr>
            </w:pPr>
          </w:p>
        </w:tc>
      </w:tr>
      <w:tr>
        <w:trPr>
          <w:trHeight w:val="162"/>
        </w:trPr>
        <w:tc>
          <w:tcPr>
            <w:tcW w:w="1140" w:type="dxa"/>
            <w:vAlign w:val="bottom"/>
          </w:tcPr>
          <w:p>
            <w:pPr>
              <w:jc w:val="center"/>
              <w:ind w:right="1"/>
              <w:spacing w:after="0"/>
              <w:rPr>
                <w:sz w:val="20"/>
                <w:szCs w:val="20"/>
                <w:color w:val="auto"/>
              </w:rPr>
            </w:pPr>
            <w:r>
              <w:rPr>
                <w:rFonts w:ascii="Arial" w:cs="Arial" w:eastAsia="Arial" w:hAnsi="Arial"/>
                <w:sz w:val="14"/>
                <w:szCs w:val="14"/>
                <w:b w:val="1"/>
                <w:bCs w:val="1"/>
                <w:color w:val="auto"/>
              </w:rPr>
              <w:t>Common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420" w:type="dxa"/>
            <w:vAlign w:val="bottom"/>
          </w:tcPr>
          <w:p>
            <w:pPr>
              <w:jc w:val="right"/>
              <w:ind w:right="241"/>
              <w:spacing w:after="0"/>
              <w:rPr>
                <w:sz w:val="20"/>
                <w:szCs w:val="20"/>
                <w:color w:val="auto"/>
              </w:rPr>
            </w:pPr>
            <w:r>
              <w:rPr>
                <w:rFonts w:ascii="Arial" w:cs="Arial" w:eastAsia="Arial" w:hAnsi="Arial"/>
                <w:sz w:val="14"/>
                <w:szCs w:val="14"/>
                <w:b w:val="1"/>
                <w:bCs w:val="1"/>
                <w:color w:val="auto"/>
              </w:rPr>
              <w:t>Additional</w:t>
            </w: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1460" w:type="dxa"/>
            <w:vAlign w:val="bottom"/>
          </w:tcPr>
          <w:p>
            <w:pPr>
              <w:jc w:val="center"/>
              <w:ind w:left="1"/>
              <w:spacing w:after="0"/>
              <w:rPr>
                <w:sz w:val="20"/>
                <w:szCs w:val="20"/>
                <w:color w:val="auto"/>
              </w:rPr>
            </w:pPr>
            <w:r>
              <w:rPr>
                <w:rFonts w:ascii="Arial" w:cs="Arial" w:eastAsia="Arial" w:hAnsi="Arial"/>
                <w:sz w:val="14"/>
                <w:szCs w:val="14"/>
                <w:b w:val="1"/>
                <w:bCs w:val="1"/>
                <w:color w:val="auto"/>
              </w:rPr>
              <w:t>Total</w:t>
            </w:r>
          </w:p>
        </w:tc>
      </w:tr>
      <w:tr>
        <w:trPr>
          <w:trHeight w:val="162"/>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280" w:type="dxa"/>
            <w:vAlign w:val="bottom"/>
          </w:tcPr>
          <w:p>
            <w:pPr>
              <w:jc w:val="center"/>
              <w:ind w:left="1"/>
              <w:spacing w:after="0"/>
              <w:rPr>
                <w:sz w:val="20"/>
                <w:szCs w:val="20"/>
                <w:color w:val="auto"/>
              </w:rPr>
            </w:pPr>
            <w:r>
              <w:rPr>
                <w:rFonts w:ascii="Arial" w:cs="Arial" w:eastAsia="Arial" w:hAnsi="Arial"/>
                <w:sz w:val="14"/>
                <w:szCs w:val="14"/>
                <w:b w:val="1"/>
                <w:bCs w:val="1"/>
                <w:color w:val="auto"/>
              </w:rPr>
              <w:t>Stock</w:t>
            </w:r>
          </w:p>
        </w:tc>
        <w:tc>
          <w:tcPr>
            <w:tcW w:w="1420" w:type="dxa"/>
            <w:vAlign w:val="bottom"/>
          </w:tcPr>
          <w:p>
            <w:pPr>
              <w:jc w:val="right"/>
              <w:ind w:right="341"/>
              <w:spacing w:after="0"/>
              <w:rPr>
                <w:sz w:val="20"/>
                <w:szCs w:val="20"/>
                <w:color w:val="auto"/>
              </w:rPr>
            </w:pPr>
            <w:r>
              <w:rPr>
                <w:rFonts w:ascii="Arial" w:cs="Arial" w:eastAsia="Arial" w:hAnsi="Arial"/>
                <w:sz w:val="14"/>
                <w:szCs w:val="14"/>
                <w:b w:val="1"/>
                <w:bCs w:val="1"/>
                <w:color w:val="auto"/>
              </w:rPr>
              <w:t>Paid-In</w:t>
            </w:r>
          </w:p>
        </w:tc>
        <w:tc>
          <w:tcPr>
            <w:tcW w:w="1540" w:type="dxa"/>
            <w:vAlign w:val="bottom"/>
          </w:tcPr>
          <w:p>
            <w:pPr>
              <w:jc w:val="right"/>
              <w:ind w:right="361"/>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rPr>
              <w:t>Comprehensive</w:t>
            </w:r>
          </w:p>
        </w:tc>
        <w:tc>
          <w:tcPr>
            <w:tcW w:w="1460" w:type="dxa"/>
            <w:vAlign w:val="bottom"/>
          </w:tcPr>
          <w:p>
            <w:pPr>
              <w:jc w:val="center"/>
              <w:ind w:left="61"/>
              <w:spacing w:after="0"/>
              <w:rPr>
                <w:sz w:val="20"/>
                <w:szCs w:val="20"/>
                <w:color w:val="auto"/>
              </w:rPr>
            </w:pPr>
            <w:r>
              <w:rPr>
                <w:rFonts w:ascii="Arial" w:cs="Arial" w:eastAsia="Arial" w:hAnsi="Arial"/>
                <w:sz w:val="14"/>
                <w:szCs w:val="14"/>
                <w:b w:val="1"/>
                <w:bCs w:val="1"/>
                <w:color w:val="auto"/>
              </w:rPr>
              <w:t>Shareholders’</w:t>
            </w:r>
          </w:p>
        </w:tc>
      </w:tr>
      <w:tr>
        <w:trPr>
          <w:trHeight w:val="196"/>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Capital</w:t>
            </w:r>
          </w:p>
        </w:tc>
        <w:tc>
          <w:tcPr>
            <w:tcW w:w="15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Income (Loss)</w:t>
            </w:r>
          </w:p>
        </w:tc>
        <w:tc>
          <w:tcPr>
            <w:tcW w:w="146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rPr>
              <w:t>Investment</w:t>
            </w:r>
          </w:p>
        </w:tc>
      </w:tr>
      <w:tr>
        <w:trPr>
          <w:trHeight w:val="223"/>
        </w:trPr>
        <w:tc>
          <w:tcPr>
            <w:tcW w:w="1140" w:type="dxa"/>
            <w:vAlign w:val="bottom"/>
          </w:tcPr>
          <w:p>
            <w:pPr>
              <w:jc w:val="right"/>
              <w:ind w:right="121"/>
              <w:spacing w:after="0"/>
              <w:rPr>
                <w:sz w:val="20"/>
                <w:szCs w:val="20"/>
                <w:color w:val="auto"/>
              </w:rPr>
            </w:pPr>
            <w:r>
              <w:rPr>
                <w:rFonts w:ascii="Arial" w:cs="Arial" w:eastAsia="Arial" w:hAnsi="Arial"/>
                <w:sz w:val="16"/>
                <w:szCs w:val="16"/>
                <w:color w:val="auto"/>
              </w:rPr>
              <w:t>254,779,119</w:t>
            </w: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$ 15,286,747</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$ 777,238,253</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$ 1,111,310,014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499,221</w:t>
            </w: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$ 1,904,334,235</w:t>
            </w:r>
          </w:p>
        </w:tc>
      </w:tr>
      <w:tr>
        <w:trPr>
          <w:trHeight w:val="432"/>
        </w:trPr>
        <w:tc>
          <w:tcPr>
            <w:tcW w:w="1140" w:type="dxa"/>
            <w:vAlign w:val="bottom"/>
          </w:tcPr>
          <w:p>
            <w:pPr>
              <w:jc w:val="right"/>
              <w:ind w:right="121"/>
              <w:spacing w:after="0"/>
              <w:rPr>
                <w:sz w:val="20"/>
                <w:szCs w:val="20"/>
                <w:color w:val="auto"/>
              </w:rPr>
            </w:pPr>
            <w:r>
              <w:rPr>
                <w:rFonts w:ascii="Arial" w:cs="Arial" w:eastAsia="Arial" w:hAnsi="Arial"/>
                <w:sz w:val="16"/>
                <w:szCs w:val="16"/>
                <w:color w:val="auto"/>
              </w:rPr>
              <w:t>1,771,463</w:t>
            </w: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106,287</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26,180,774</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26,287,061</w:t>
            </w:r>
          </w:p>
        </w:tc>
      </w:tr>
      <w:tr>
        <w:trPr>
          <w:trHeight w:val="243"/>
        </w:trPr>
        <w:tc>
          <w:tcPr>
            <w:tcW w:w="1140" w:type="dxa"/>
            <w:vAlign w:val="bottom"/>
          </w:tcPr>
          <w:p>
            <w:pPr>
              <w:jc w:val="right"/>
              <w:ind w:right="81"/>
              <w:spacing w:after="0"/>
              <w:rPr>
                <w:sz w:val="20"/>
                <w:szCs w:val="20"/>
                <w:color w:val="auto"/>
              </w:rPr>
            </w:pPr>
            <w:r>
              <w:rPr>
                <w:rFonts w:ascii="Arial" w:cs="Arial" w:eastAsia="Arial" w:hAnsi="Arial"/>
                <w:sz w:val="16"/>
                <w:szCs w:val="16"/>
                <w:color w:val="auto"/>
              </w:rPr>
              <w:t>(3,569,577)</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(214,174)</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(9,744,945)</w:t>
            </w: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(86,665,884)</w:t>
            </w:r>
          </w:p>
        </w:tc>
        <w:tc>
          <w:tcPr>
            <w:tcW w:w="240" w:type="dxa"/>
            <w:vAlign w:val="bottom"/>
          </w:tcPr>
          <w:p>
            <w:pPr>
              <w:spacing w:after="0"/>
              <w:rPr>
                <w:sz w:val="21"/>
                <w:szCs w:val="21"/>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(96,625,003)</w:t>
            </w:r>
          </w:p>
        </w:tc>
      </w:tr>
      <w:tr>
        <w:trPr>
          <w:trHeight w:val="621"/>
        </w:trPr>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5,788,286</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5,788,286</w:t>
            </w:r>
          </w:p>
        </w:tc>
      </w:tr>
      <w:tr>
        <w:trPr>
          <w:trHeight w:val="243"/>
        </w:trPr>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(29,092,442)</w:t>
            </w:r>
          </w:p>
        </w:tc>
        <w:tc>
          <w:tcPr>
            <w:tcW w:w="240" w:type="dxa"/>
            <w:vAlign w:val="bottom"/>
          </w:tcPr>
          <w:p>
            <w:pPr>
              <w:spacing w:after="0"/>
              <w:rPr>
                <w:sz w:val="21"/>
                <w:szCs w:val="21"/>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(29,092,442)</w:t>
            </w:r>
          </w:p>
        </w:tc>
      </w:tr>
      <w:tr>
        <w:trPr>
          <w:trHeight w:val="243"/>
        </w:trPr>
        <w:tc>
          <w:tcPr>
            <w:tcW w:w="11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111,897,852</w:t>
            </w:r>
          </w:p>
        </w:tc>
        <w:tc>
          <w:tcPr>
            <w:tcW w:w="240" w:type="dxa"/>
            <w:vAlign w:val="bottom"/>
          </w:tcPr>
          <w:p>
            <w:pPr>
              <w:spacing w:after="0"/>
              <w:rPr>
                <w:sz w:val="21"/>
                <w:szCs w:val="21"/>
                <w:color w:val="auto"/>
              </w:rPr>
            </w:pP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111,897,852</w:t>
            </w:r>
          </w:p>
        </w:tc>
      </w:tr>
      <w:tr>
        <w:trPr>
          <w:trHeight w:val="256"/>
        </w:trPr>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(1,261,726)</w:t>
            </w: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(1,261,726)</w:t>
            </w:r>
          </w:p>
        </w:tc>
      </w:tr>
      <w:tr>
        <w:trPr>
          <w:trHeight w:val="237"/>
        </w:trPr>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252,981,005</w:t>
            </w: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$ 15,178,860</w:t>
            </w:r>
          </w:p>
        </w:tc>
        <w:tc>
          <w:tcPr>
            <w:tcW w:w="14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$ 799,462,368</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$ 1,107,449,540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(762,505)</w:t>
            </w: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$ 1,921,328,263</w:t>
            </w:r>
          </w:p>
        </w:tc>
      </w:tr>
      <w:tr>
        <w:trPr>
          <w:trHeight w:val="27"/>
        </w:trPr>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-1645920</wp:posOffset>
            </wp:positionV>
            <wp:extent cx="722947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-1208405</wp:posOffset>
            </wp:positionV>
            <wp:extent cx="72294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-659765</wp:posOffset>
            </wp:positionV>
            <wp:extent cx="72294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-351155</wp:posOffset>
            </wp:positionV>
            <wp:extent cx="722947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-16510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60"/>
            <w:col w:w="8260"/>
          </w:cols>
          <w:pgMar w:left="280" w:top="1413"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2018</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($.110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2018</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268,923,121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$ 16,135,387</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$ 748,794,815</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$ 1,157,048,214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(479,104)</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$ 1,921,499,312</w:t>
            </w:r>
          </w:p>
        </w:tc>
      </w:tr>
      <w:tr>
        <w:trPr>
          <w:trHeight w:val="432"/>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702,296</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42,138</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8,340,935</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8,383,073</w:t>
            </w:r>
          </w:p>
        </w:tc>
      </w:tr>
      <w:tr>
        <w:trPr>
          <w:trHeight w:val="243"/>
        </w:trPr>
        <w:tc>
          <w:tcPr>
            <w:tcW w:w="1140" w:type="dxa"/>
            <w:vAlign w:val="bottom"/>
          </w:tcPr>
          <w:p>
            <w:pPr>
              <w:jc w:val="right"/>
              <w:ind w:right="79"/>
              <w:spacing w:after="0"/>
              <w:rPr>
                <w:sz w:val="20"/>
                <w:szCs w:val="20"/>
                <w:color w:val="auto"/>
              </w:rPr>
            </w:pPr>
            <w:r>
              <w:rPr>
                <w:rFonts w:ascii="Arial" w:cs="Arial" w:eastAsia="Arial" w:hAnsi="Arial"/>
                <w:sz w:val="16"/>
                <w:szCs w:val="16"/>
                <w:color w:val="auto"/>
              </w:rPr>
              <w:t>(7,508,249)</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(450,495)</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(18,545,378)</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(153,547,831)</w:t>
            </w:r>
          </w:p>
        </w:tc>
        <w:tc>
          <w:tcPr>
            <w:tcW w:w="32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(172,543,703)</w:t>
            </w:r>
          </w:p>
        </w:tc>
      </w:tr>
      <w:tr>
        <w:trPr>
          <w:trHeight w:val="621"/>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4,905,626</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4,905,626</w:t>
            </w:r>
          </w:p>
        </w:tc>
      </w:tr>
      <w:tr>
        <w:trPr>
          <w:trHeight w:val="243"/>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(28,832,984)</w:t>
            </w:r>
          </w:p>
        </w:tc>
        <w:tc>
          <w:tcPr>
            <w:tcW w:w="32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(28,832,984)</w:t>
            </w:r>
          </w:p>
        </w:tc>
      </w:tr>
      <w:tr>
        <w:trPr>
          <w:trHeight w:val="243"/>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111,335,817</w:t>
            </w:r>
          </w:p>
        </w:tc>
        <w:tc>
          <w:tcPr>
            <w:tcW w:w="32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111,335,817</w:t>
            </w:r>
          </w:p>
        </w:tc>
      </w:tr>
      <w:tr>
        <w:trPr>
          <w:trHeight w:val="256"/>
        </w:trPr>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(1,642,886)</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(1,642,886)</w:t>
            </w:r>
          </w:p>
        </w:tc>
      </w:tr>
      <w:tr>
        <w:trPr>
          <w:trHeight w:val="237"/>
        </w:trPr>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262,117,168</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15,727,030</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743,495,999</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1,086,003,216</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(2,121,990)</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1,843,104,255</w:t>
            </w:r>
          </w:p>
        </w:tc>
      </w:tr>
      <w:tr>
        <w:trPr>
          <w:trHeight w:val="27"/>
        </w:trPr>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-1482725</wp:posOffset>
            </wp:positionV>
            <wp:extent cx="722947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27432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-1054100</wp:posOffset>
            </wp:positionV>
            <wp:extent cx="7229475"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39433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-505460</wp:posOffset>
            </wp:positionV>
            <wp:extent cx="72294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-196850</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60"/>
            <w:col w:w="8260"/>
          </w:cols>
          <w:pgMar w:left="280" w:top="14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1413" w:right="2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2018 and 2019</w:t>
      </w:r>
    </w:p>
    <w:p>
      <w:pPr>
        <w:sectPr>
          <w:pgSz w:w="11900" w:h="16838" w:orient="portrait"/>
          <w:cols w:equalWidth="0" w:num="1">
            <w:col w:w="11380"/>
          </w:cols>
          <w:pgMar w:left="280" w:top="1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2019</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($.345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2019</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340" w:type="dxa"/>
            <w:vAlign w:val="bottom"/>
          </w:tcPr>
          <w:p>
            <w:pPr>
              <w:spacing w:after="0"/>
              <w:rPr>
                <w:sz w:val="14"/>
                <w:szCs w:val="14"/>
                <w:color w:val="auto"/>
              </w:rPr>
            </w:pPr>
          </w:p>
        </w:tc>
      </w:tr>
      <w:tr>
        <w:trPr>
          <w:trHeight w:val="162"/>
        </w:trPr>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62"/>
        </w:trPr>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r>
      <w:tr>
        <w:trPr>
          <w:trHeight w:val="196"/>
        </w:trPr>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 (Loss)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r>
      <w:tr>
        <w:trPr>
          <w:trHeight w:val="223"/>
        </w:trPr>
        <w:tc>
          <w:tcPr>
            <w:tcW w:w="10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259,328,613</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$ 15,559,717</w:t>
            </w:r>
          </w:p>
        </w:tc>
        <w:tc>
          <w:tcPr>
            <w:tcW w:w="180" w:type="dxa"/>
            <w:vAlign w:val="bottom"/>
          </w:tcPr>
          <w:p>
            <w:pPr>
              <w:spacing w:after="0"/>
              <w:rPr>
                <w:sz w:val="19"/>
                <w:szCs w:val="19"/>
                <w:color w:val="auto"/>
              </w:rPr>
            </w:pP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$ 745,324,144</w:t>
            </w:r>
          </w:p>
        </w:tc>
        <w:tc>
          <w:tcPr>
            <w:tcW w:w="180" w:type="dxa"/>
            <w:vAlign w:val="bottom"/>
          </w:tcPr>
          <w:p>
            <w:pPr>
              <w:spacing w:after="0"/>
              <w:rPr>
                <w:sz w:val="19"/>
                <w:szCs w:val="19"/>
                <w:color w:val="auto"/>
              </w:rPr>
            </w:pPr>
          </w:p>
        </w:tc>
        <w:tc>
          <w:tcPr>
            <w:tcW w:w="13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$ 1,102,468,137</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(1,600,338)</w:t>
            </w:r>
          </w:p>
        </w:tc>
        <w:tc>
          <w:tcPr>
            <w:tcW w:w="180" w:type="dxa"/>
            <w:vAlign w:val="bottom"/>
          </w:tcPr>
          <w:p>
            <w:pPr>
              <w:spacing w:after="0"/>
              <w:rPr>
                <w:sz w:val="19"/>
                <w:szCs w:val="19"/>
                <w:color w:val="auto"/>
              </w:rPr>
            </w:pPr>
          </w:p>
        </w:tc>
        <w:tc>
          <w:tcPr>
            <w:tcW w:w="13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$ 1,861,751,660</w:t>
            </w:r>
          </w:p>
        </w:tc>
      </w:tr>
      <w:tr>
        <w:trPr>
          <w:trHeight w:val="432"/>
        </w:trPr>
        <w:tc>
          <w:tcPr>
            <w:tcW w:w="1080" w:type="dxa"/>
            <w:vAlign w:val="bottom"/>
          </w:tcPr>
          <w:p>
            <w:pPr>
              <w:jc w:val="right"/>
              <w:ind w:right="61"/>
              <w:spacing w:after="0"/>
              <w:rPr>
                <w:sz w:val="20"/>
                <w:szCs w:val="20"/>
                <w:color w:val="auto"/>
              </w:rPr>
            </w:pPr>
            <w:r>
              <w:rPr>
                <w:rFonts w:ascii="Arial" w:cs="Arial" w:eastAsia="Arial" w:hAnsi="Arial"/>
                <w:sz w:val="16"/>
                <w:szCs w:val="16"/>
                <w:color w:val="auto"/>
              </w:rPr>
              <w:t>5,021,616</w:t>
            </w:r>
          </w:p>
        </w:tc>
        <w:tc>
          <w:tcPr>
            <w:tcW w:w="180" w:type="dxa"/>
            <w:vAlign w:val="bottom"/>
          </w:tcPr>
          <w:p>
            <w:pPr>
              <w:spacing w:after="0"/>
              <w:rPr>
                <w:sz w:val="24"/>
                <w:szCs w:val="24"/>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301,297</w:t>
            </w:r>
          </w:p>
        </w:tc>
        <w:tc>
          <w:tcPr>
            <w:tcW w:w="180" w:type="dxa"/>
            <w:vAlign w:val="bottom"/>
          </w:tcPr>
          <w:p>
            <w:pPr>
              <w:spacing w:after="0"/>
              <w:rPr>
                <w:sz w:val="24"/>
                <w:szCs w:val="24"/>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67,920,578</w:t>
            </w:r>
          </w:p>
        </w:tc>
        <w:tc>
          <w:tcPr>
            <w:tcW w:w="18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68,221,875</w:t>
            </w:r>
          </w:p>
        </w:tc>
      </w:tr>
      <w:tr>
        <w:trPr>
          <w:trHeight w:val="243"/>
        </w:trPr>
        <w:tc>
          <w:tcPr>
            <w:tcW w:w="1080" w:type="dxa"/>
            <w:vAlign w:val="bottom"/>
          </w:tcPr>
          <w:p>
            <w:pPr>
              <w:jc w:val="center"/>
              <w:spacing w:after="0"/>
              <w:rPr>
                <w:sz w:val="20"/>
                <w:szCs w:val="20"/>
                <w:color w:val="auto"/>
              </w:rPr>
            </w:pPr>
            <w:r>
              <w:rPr>
                <w:rFonts w:ascii="Arial" w:cs="Arial" w:eastAsia="Arial" w:hAnsi="Arial"/>
                <w:sz w:val="16"/>
                <w:szCs w:val="16"/>
                <w:color w:val="auto"/>
              </w:rPr>
              <w:t>(11,369,224)</w:t>
            </w:r>
          </w:p>
        </w:tc>
        <w:tc>
          <w:tcPr>
            <w:tcW w:w="1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(682,154)</w:t>
            </w:r>
          </w:p>
        </w:tc>
        <w:tc>
          <w:tcPr>
            <w:tcW w:w="18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(29,709,788)</w:t>
            </w:r>
          </w:p>
        </w:tc>
        <w:tc>
          <w:tcPr>
            <w:tcW w:w="18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(232,371,433)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(262,763,375)</w:t>
            </w:r>
          </w:p>
        </w:tc>
      </w:tr>
      <w:tr>
        <w:trPr>
          <w:trHeight w:val="621"/>
        </w:trPr>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15,927,434</w:t>
            </w:r>
          </w:p>
        </w:tc>
        <w:tc>
          <w:tcPr>
            <w:tcW w:w="18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15,927,434</w:t>
            </w:r>
          </w:p>
        </w:tc>
      </w:tr>
      <w:tr>
        <w:trPr>
          <w:trHeight w:val="243"/>
        </w:trPr>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(87,784,052)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(87,784,052)</w:t>
            </w:r>
          </w:p>
        </w:tc>
      </w:tr>
      <w:tr>
        <w:trPr>
          <w:trHeight w:val="243"/>
        </w:trPr>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325,136,888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325,136,888</w:t>
            </w:r>
          </w:p>
        </w:tc>
      </w:tr>
      <w:tr>
        <w:trPr>
          <w:trHeight w:val="256"/>
        </w:trPr>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837,833</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837,833</w:t>
            </w:r>
          </w:p>
        </w:tc>
      </w:tr>
      <w:tr>
        <w:trPr>
          <w:trHeight w:val="237"/>
        </w:trPr>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252,981,005</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$ 15,178,860</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$ 799,462,368</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$ 1,107,449,540</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(762,505)</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$ 1,921,328,263</w:t>
            </w:r>
          </w:p>
        </w:tc>
      </w:tr>
      <w:tr>
        <w:trPr>
          <w:trHeight w:val="27"/>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-1645920</wp:posOffset>
            </wp:positionV>
            <wp:extent cx="72294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-1208405</wp:posOffset>
            </wp:positionV>
            <wp:extent cx="72294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-659765</wp:posOffset>
            </wp:positionV>
            <wp:extent cx="72294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-351155</wp:posOffset>
            </wp:positionV>
            <wp:extent cx="72294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-16510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60"/>
            <w:col w:w="8260"/>
          </w:cols>
          <w:pgMar w:left="280" w:top="1413" w:right="2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2018</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Issuance of common stock from stock plan transactions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59"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Impact of ASU 2016-01 Adoption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($.330 per share)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2018</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280,281,321</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$ 16,816,879</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$ 723,510,672</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$ 1,301,997,327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7,193,383</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$ 2,049,518,261</w:t>
            </w:r>
          </w:p>
        </w:tc>
      </w:tr>
      <w:tr>
        <w:trPr>
          <w:trHeight w:val="432"/>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4,960,412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297,625</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61,082,042</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61,379,666</w:t>
            </w:r>
          </w:p>
        </w:tc>
      </w:tr>
      <w:tr>
        <w:trPr>
          <w:trHeight w:val="243"/>
        </w:trPr>
        <w:tc>
          <w:tcPr>
            <w:tcW w:w="1140" w:type="dxa"/>
            <w:vAlign w:val="bottom"/>
          </w:tcPr>
          <w:p>
            <w:pPr>
              <w:jc w:val="right"/>
              <w:ind w:right="79"/>
              <w:spacing w:after="0"/>
              <w:rPr>
                <w:sz w:val="20"/>
                <w:szCs w:val="20"/>
                <w:color w:val="auto"/>
              </w:rPr>
            </w:pPr>
            <w:r>
              <w:rPr>
                <w:rFonts w:ascii="Arial" w:cs="Arial" w:eastAsia="Arial" w:hAnsi="Arial"/>
                <w:sz w:val="16"/>
                <w:szCs w:val="16"/>
                <w:color w:val="auto"/>
              </w:rPr>
              <w:t>(23,124,565)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(1,387,474)</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(54,655,280)</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(465,706,871)</w:t>
            </w:r>
          </w:p>
        </w:tc>
        <w:tc>
          <w:tcPr>
            <w:tcW w:w="32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(521,749,624)</w:t>
            </w:r>
          </w:p>
        </w:tc>
      </w:tr>
      <w:tr>
        <w:trPr>
          <w:trHeight w:val="621"/>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13,558,565</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13,558,565</w:t>
            </w:r>
          </w:p>
        </w:tc>
      </w:tr>
      <w:tr>
        <w:trPr>
          <w:trHeight w:val="243"/>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6,642,727</w:t>
            </w:r>
          </w:p>
        </w:tc>
        <w:tc>
          <w:tcPr>
            <w:tcW w:w="320" w:type="dxa"/>
            <w:vAlign w:val="bottom"/>
          </w:tcPr>
          <w:p>
            <w:pPr>
              <w:spacing w:after="0"/>
              <w:rPr>
                <w:sz w:val="21"/>
                <w:szCs w:val="21"/>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(6,642,727)</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(88,538,509)</w:t>
            </w:r>
          </w:p>
        </w:tc>
        <w:tc>
          <w:tcPr>
            <w:tcW w:w="32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(88,538,509)</w:t>
            </w:r>
          </w:p>
        </w:tc>
      </w:tr>
      <w:tr>
        <w:trPr>
          <w:trHeight w:val="243"/>
        </w:trPr>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331,608,542</w:t>
            </w:r>
          </w:p>
        </w:tc>
        <w:tc>
          <w:tcPr>
            <w:tcW w:w="32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331,608,542</w:t>
            </w:r>
          </w:p>
        </w:tc>
      </w:tr>
      <w:tr>
        <w:trPr>
          <w:trHeight w:val="256"/>
        </w:trPr>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(2,672,645)</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(2,672,647)</w:t>
            </w:r>
          </w:p>
        </w:tc>
      </w:tr>
      <w:tr>
        <w:trPr>
          <w:trHeight w:val="237"/>
        </w:trPr>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262,117,168</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$ 15,727,030</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$ 743,495,999</w:t>
            </w: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$ 1,086,003,216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(2,121,990)</w:t>
            </w: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$ 1,843,104,255</w:t>
            </w:r>
          </w:p>
        </w:tc>
      </w:tr>
      <w:tr>
        <w:trPr>
          <w:trHeight w:val="27"/>
        </w:trPr>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-1637030</wp:posOffset>
            </wp:positionV>
            <wp:extent cx="722947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27432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-1208405</wp:posOffset>
            </wp:positionV>
            <wp:extent cx="722947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39433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-659765</wp:posOffset>
            </wp:positionV>
            <wp:extent cx="72294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-351155</wp:posOffset>
            </wp:positionV>
            <wp:extent cx="72294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60"/>
            <w:col w:w="8260"/>
          </w:cols>
          <w:pgMar w:left="280" w:top="141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1413" w:right="239" w:bottom="1440" w:gutter="0" w:footer="0" w:header="0"/>
          <w:type w:val="continuous"/>
        </w:sectPr>
      </w:pPr>
    </w:p>
    <w:bookmarkStart w:id="7" w:name="page8"/>
    <w:bookmarkEnd w:id="7"/>
    <w:p>
      <w:pPr>
        <w:jc w:val="center"/>
        <w:ind w:left="380" w:right="230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Nine Months Ended September 30, 2019 and 2018</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7"/>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325,136,888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331,608,542</w:t>
            </w:r>
          </w:p>
        </w:tc>
      </w:tr>
      <w:tr>
        <w:trPr>
          <w:trHeight w:val="250"/>
        </w:trPr>
        <w:tc>
          <w:tcPr>
            <w:tcW w:w="744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79,331,513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80,748,272</w:t>
            </w:r>
          </w:p>
        </w:tc>
      </w:tr>
      <w:tr>
        <w:trPr>
          <w:trHeight w:val="250"/>
        </w:trPr>
        <w:tc>
          <w:tcPr>
            <w:tcW w:w="744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3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(148,376)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(145,777)</w:t>
            </w:r>
          </w:p>
        </w:tc>
      </w:tr>
      <w:tr>
        <w:trPr>
          <w:trHeight w:val="263"/>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495,697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26,839</w:t>
            </w:r>
          </w:p>
        </w:tc>
      </w:tr>
      <w:tr>
        <w:trPr>
          <w:trHeight w:val="250"/>
        </w:trPr>
        <w:tc>
          <w:tcPr>
            <w:tcW w:w="744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3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(593,351)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(1,508,411)</w:t>
            </w:r>
          </w:p>
        </w:tc>
      </w:tr>
      <w:tr>
        <w:trPr>
          <w:trHeight w:val="263"/>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3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532,494</w:t>
            </w:r>
          </w:p>
        </w:tc>
      </w:tr>
      <w:tr>
        <w:trPr>
          <w:trHeight w:val="250"/>
        </w:trPr>
        <w:tc>
          <w:tcPr>
            <w:tcW w:w="7440" w:type="dxa"/>
            <w:vAlign w:val="bottom"/>
          </w:tcPr>
          <w:p>
            <w:pPr>
              <w:ind w:left="540"/>
              <w:spacing w:after="0"/>
              <w:rPr>
                <w:sz w:val="20"/>
                <w:szCs w:val="20"/>
                <w:color w:val="auto"/>
              </w:rPr>
            </w:pPr>
            <w:r>
              <w:rPr>
                <w:rFonts w:ascii="Arial" w:cs="Arial" w:eastAsia="Arial" w:hAnsi="Arial"/>
                <w:sz w:val="18"/>
                <w:szCs w:val="18"/>
                <w:color w:val="auto"/>
              </w:rPr>
              <w:t>Change in deferred income taxes</w:t>
            </w:r>
          </w:p>
        </w:tc>
        <w:tc>
          <w:tcPr>
            <w:tcW w:w="3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2,189,818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(5,538,048)</w:t>
            </w:r>
          </w:p>
        </w:tc>
      </w:tr>
      <w:tr>
        <w:trPr>
          <w:trHeight w:val="235"/>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expense related to employee stock options, employee</w:t>
            </w: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15,927,434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13,558,557</w:t>
            </w:r>
          </w:p>
        </w:tc>
      </w:tr>
      <w:tr>
        <w:trPr>
          <w:trHeight w:val="250"/>
        </w:trPr>
        <w:tc>
          <w:tcPr>
            <w:tcW w:w="744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(39,570,916)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(16,200,315)</w:t>
            </w:r>
          </w:p>
        </w:tc>
      </w:tr>
      <w:tr>
        <w:trPr>
          <w:trHeight w:val="250"/>
        </w:trPr>
        <w:tc>
          <w:tcPr>
            <w:tcW w:w="744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(13,395,196)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3,371,546</w:t>
            </w:r>
          </w:p>
        </w:tc>
      </w:tr>
      <w:tr>
        <w:trPr>
          <w:trHeight w:val="263"/>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(2,729,945)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(14,797,969)</w:t>
            </w:r>
          </w:p>
        </w:tc>
      </w:tr>
      <w:tr>
        <w:trPr>
          <w:trHeight w:val="250"/>
        </w:trPr>
        <w:tc>
          <w:tcPr>
            <w:tcW w:w="744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2,499,481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143,514</w:t>
            </w:r>
          </w:p>
        </w:tc>
      </w:tr>
      <w:tr>
        <w:trPr>
          <w:trHeight w:val="257"/>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3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14,797,251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6,408,044</w:t>
            </w:r>
          </w:p>
        </w:tc>
      </w:tr>
      <w:tr>
        <w:trPr>
          <w:trHeight w:val="250"/>
        </w:trPr>
        <w:tc>
          <w:tcPr>
            <w:tcW w:w="744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383,940,298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398,207,288</w:t>
            </w:r>
          </w:p>
        </w:tc>
      </w:tr>
      <w:tr>
        <w:trPr>
          <w:trHeight w:val="162"/>
        </w:trPr>
        <w:tc>
          <w:tcPr>
            <w:tcW w:w="7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44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3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57,087,935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54,078,232</w:t>
            </w:r>
          </w:p>
        </w:tc>
      </w:tr>
      <w:tr>
        <w:trPr>
          <w:trHeight w:val="263"/>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9,714,000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51,892,136</w:t>
            </w:r>
          </w:p>
        </w:tc>
      </w:tr>
      <w:tr>
        <w:trPr>
          <w:trHeight w:val="250"/>
        </w:trPr>
        <w:tc>
          <w:tcPr>
            <w:tcW w:w="744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3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(66,360,636)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(180,657,259)</w:t>
            </w:r>
          </w:p>
        </w:tc>
      </w:tr>
      <w:tr>
        <w:trPr>
          <w:trHeight w:val="26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(58,322,472)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(68,771,193)</w:t>
            </w:r>
          </w:p>
        </w:tc>
      </w:tr>
      <w:tr>
        <w:trPr>
          <w:trHeight w:val="250"/>
        </w:trPr>
        <w:tc>
          <w:tcPr>
            <w:tcW w:w="744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3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1,937,207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194,200</w:t>
            </w:r>
          </w:p>
        </w:tc>
      </w:tr>
      <w:tr>
        <w:trPr>
          <w:trHeight w:val="257"/>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other assets</w:t>
            </w:r>
          </w:p>
        </w:tc>
        <w:tc>
          <w:tcPr>
            <w:tcW w:w="3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(3,111,644)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(4,557,125)</w:t>
            </w:r>
          </w:p>
        </w:tc>
      </w:tr>
      <w:tr>
        <w:trPr>
          <w:trHeight w:val="250"/>
        </w:trPr>
        <w:tc>
          <w:tcPr>
            <w:tcW w:w="744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(59,055,610)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(147,821,009)</w:t>
            </w:r>
          </w:p>
        </w:tc>
      </w:tr>
      <w:tr>
        <w:trPr>
          <w:trHeight w:val="203"/>
        </w:trPr>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3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(78,000,000)</w:t>
            </w:r>
          </w:p>
        </w:tc>
      </w:tr>
      <w:tr>
        <w:trPr>
          <w:trHeight w:val="250"/>
        </w:trPr>
        <w:tc>
          <w:tcPr>
            <w:tcW w:w="7440" w:type="dxa"/>
            <w:vAlign w:val="bottom"/>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3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68,221,875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61,379,666</w:t>
            </w:r>
          </w:p>
        </w:tc>
      </w:tr>
      <w:tr>
        <w:trPr>
          <w:trHeight w:val="263"/>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(87,217,383)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(87,733,776)</w:t>
            </w:r>
          </w:p>
        </w:tc>
      </w:tr>
      <w:tr>
        <w:trPr>
          <w:trHeight w:val="25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Repurchases of common stock</w:t>
            </w: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(262,763,375)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(521,749,624)</w:t>
            </w:r>
          </w:p>
        </w:tc>
      </w:tr>
      <w:tr>
        <w:trPr>
          <w:trHeight w:val="250"/>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(281,758,883)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(626,103,734)</w:t>
            </w:r>
          </w:p>
        </w:tc>
      </w:tr>
      <w:tr>
        <w:trPr>
          <w:trHeight w:val="203"/>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43,125,805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(375,717,455)</w:t>
            </w:r>
          </w:p>
        </w:tc>
      </w:tr>
      <w:tr>
        <w:trPr>
          <w:trHeight w:val="230"/>
        </w:trPr>
        <w:tc>
          <w:tcPr>
            <w:tcW w:w="7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4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569,734,496</w:t>
            </w:r>
          </w:p>
        </w:tc>
      </w:tr>
      <w:tr>
        <w:trPr>
          <w:trHeight w:val="257"/>
        </w:trPr>
        <w:tc>
          <w:tcPr>
            <w:tcW w:w="7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260,151,083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194,017,041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2018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2019, and the results of operations and cash flows for the interim periods presented.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Adopted in Fiscal Year 2019</w:t>
      </w:r>
    </w:p>
    <w:p>
      <w:pPr>
        <w:spacing w:after="0" w:line="234"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 xml:space="preserve">Effective January 1, 2019,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provides guidance for lease accounting. The new guidance contained in the ASU stipulates that lessees will need to recognize a right-of-use ("ROU") asset and a lease liability for substantially all leases (other than leases that meet the definition of a short-term lease). The liability will be equal to the present value of lease payments. Treatment in the consolidated statements of income will be similar to the historical treatment of operating and capital leases. The adoption of this standard did not have a material impact on the Company's consolidated balance sheet or consolidated income statement. Disclosures are now required to meet the objective of enabling users of financial statements to assess the amount, timing, and uncertainty of cash flows arising from leases.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3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w:t>
      </w:r>
      <w:r>
        <w:rPr>
          <w:rFonts w:ascii="Arial" w:cs="Arial" w:eastAsia="Arial" w:hAnsi="Arial"/>
          <w:sz w:val="18"/>
          <w:szCs w:val="18"/>
          <w:color w:val="auto"/>
        </w:rPr>
        <w:t>s. The standard requires a change in the measurement approach for credit losses on financial assets measured on</w:t>
      </w:r>
      <w:r>
        <w:rPr>
          <w:rFonts w:ascii="Arial" w:cs="Arial" w:eastAsia="Arial" w:hAnsi="Arial"/>
          <w:sz w:val="18"/>
          <w:szCs w:val="18"/>
          <w:i w:val="1"/>
          <w:iCs w:val="1"/>
          <w:color w:val="auto"/>
        </w:rPr>
        <w:t xml:space="preserve"> </w:t>
      </w:r>
      <w:r>
        <w:rPr>
          <w:rFonts w:ascii="Arial" w:cs="Arial" w:eastAsia="Arial" w:hAnsi="Arial"/>
          <w:sz w:val="18"/>
          <w:szCs w:val="18"/>
          <w:color w:val="auto"/>
        </w:rPr>
        <w:t>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The Company will be required to adopt ASU 2016-13 as of January 1, 2020. Early adoption is permitted. The Company does not anticipate a material impact on the Company’s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252"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The carrying value of Goodwill as of both September 30, 2019 and December 31, 2018 was $307.4 million.</w:t>
      </w:r>
    </w:p>
    <w:p>
      <w:pPr>
        <w:spacing w:after="0" w:line="24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thus resulting in the need for interim impairment testing, including long-term revenue growth projections, profitability, discount rates, recent market valuations from transactions by comparable companies, volatility in the Company's market capitalization, and general</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industry, market and macroeconomic conditions. No such events or circumstances in the most recently completed quarter indicated the need for interim impairment testing.</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w:t>
      </w:r>
    </w:p>
    <w:p>
      <w:pPr>
        <w:spacing w:after="0" w:line="5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Gross</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Net</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37,160,431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(22,094,953)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15,065,478</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12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52,000,000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80" w:type="dxa"/>
            <w:vAlign w:val="bottom"/>
          </w:tcPr>
          <w:p>
            <w:pPr>
              <w:spacing w:after="0"/>
              <w:rPr>
                <w:sz w:val="22"/>
                <w:szCs w:val="22"/>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180,000,000</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0"/>
        </w:trPr>
        <w:tc>
          <w:tcPr>
            <w:tcW w:w="416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43,000,000</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(25,800,000)</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17,200,000</w:t>
            </w:r>
          </w:p>
        </w:tc>
        <w:tc>
          <w:tcPr>
            <w:tcW w:w="80" w:type="dxa"/>
            <w:vAlign w:val="bottom"/>
          </w:tcPr>
          <w:p>
            <w:pPr>
              <w:spacing w:after="0"/>
              <w:rPr>
                <w:sz w:val="21"/>
                <w:szCs w:val="21"/>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Exclusive Licensing Agreement</w:t>
            </w:r>
          </w:p>
        </w:tc>
        <w:tc>
          <w:tcPr>
            <w:tcW w:w="1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96,000,000</w:t>
            </w: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80" w:type="dxa"/>
            <w:vAlign w:val="bottom"/>
            <w:tcBorders>
              <w:bottom w:val="single" w:sz="8" w:color="auto"/>
            </w:tcBorders>
            <w:shd w:val="clear" w:color="auto" w:fill="CCEEFF"/>
          </w:tcPr>
          <w:p>
            <w:pPr>
              <w:spacing w:after="0"/>
              <w:rPr>
                <w:sz w:val="22"/>
                <w:szCs w:val="22"/>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371,000,000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(115,800,000)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255,200,000</w:t>
            </w:r>
          </w:p>
        </w:tc>
        <w:tc>
          <w:tcPr>
            <w:tcW w:w="8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408,160,431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(137,894,953)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270,265,478</w:t>
            </w:r>
          </w:p>
        </w:tc>
        <w:tc>
          <w:tcPr>
            <w:tcW w:w="8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color w:val="auto"/>
              </w:rPr>
              <w:t>As of December 31, 2018:</w:t>
            </w: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4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24"/>
                <w:szCs w:val="24"/>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24"/>
                <w:szCs w:val="24"/>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36,737,434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(21,014,168)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15,723,266</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52,000,000</w:t>
            </w:r>
          </w:p>
        </w:tc>
        <w:tc>
          <w:tcPr>
            <w:tcW w:w="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(78,750,000)</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101,250,000</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0"/>
        </w:trPr>
        <w:tc>
          <w:tcPr>
            <w:tcW w:w="416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43,000,000</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(22,575,000)</w:t>
            </w:r>
          </w:p>
        </w:tc>
        <w:tc>
          <w:tcPr>
            <w:tcW w:w="2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20,425,000</w:t>
            </w:r>
          </w:p>
        </w:tc>
        <w:tc>
          <w:tcPr>
            <w:tcW w:w="8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63"/>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96,000,000</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371,000,000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(101,325,000)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269,675,000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407,737,434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(122,339,168)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285,398,266</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Amortization expense on patents and intangible assets was approximately $5.6 million and $16.8 million during the three and nine months ended September 30, 2019, respectively, compared to approximately $5.6 million and $16.9 million for the same periods ended September 30, 2018, respectively.</w:t>
      </w:r>
    </w:p>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Excluding the impact of any future acquisitions, the Company continues to estimate amortization expense for each of the years ended December 31, 2019, 2020, and 2021 to be approximately $22 million annually, approximately $21 million for 2022, and approximately $19 million for the year ended December 31, 2023.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4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government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certificates of deposit have remaining maturities of less than one year and are considered as Level 1 assets. These investments are carried at cost, which approximates fair value.</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Company will also periodically make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such equity investments are held at cost. These technology investments totaled $8.6 million and $3.85 million as of September 30, 2019 and December 31, 2018, respectively. These investments are classified within Long-Term Investments in the consolidated balance sheet.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September 30, 2019 and December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80" w:type="dxa"/>
            <w:vAlign w:val="bottom"/>
          </w:tcPr>
          <w:p>
            <w:pPr>
              <w:jc w:val="center"/>
              <w:ind w:right="135"/>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6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8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260,151,083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260,151,083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150,299,384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150,299,384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16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38,163,353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38,163,353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16,050,560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16,050,560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1,671,264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1,671,264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971,726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971,726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42,320,659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42,320,659</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40,467,299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40,467,299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11,637,510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11,637,510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9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561,732,838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411,422,193</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150,310,645</w:t>
            </w:r>
          </w:p>
        </w:tc>
        <w:tc>
          <w:tcPr>
            <w:tcW w:w="1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0" w:right="239" w:bottom="1440" w:gutter="0" w:footer="0" w:header="0"/>
          <w:type w:val="continuous"/>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7"/>
          </w:tcPr>
          <w:p>
            <w:pPr>
              <w:jc w:val="center"/>
              <w:ind w:right="5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80" w:type="dxa"/>
            <w:vAlign w:val="bottom"/>
          </w:tcPr>
          <w:p>
            <w:pPr>
              <w:jc w:val="center"/>
              <w:ind w:right="136"/>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217,025,278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150,299,384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150,299,384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9,176,227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9,176,227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6,967,700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6,967,700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2,219,688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2,219,688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60,369,930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60,369,930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18,025,432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18,025,432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40" w:type="dxa"/>
            <w:vAlign w:val="bottom"/>
          </w:tcPr>
          <w:p>
            <w:pPr>
              <w:jc w:val="right"/>
              <w:ind w:right="73"/>
              <w:spacing w:after="0"/>
              <w:rPr>
                <w:sz w:val="20"/>
                <w:szCs w:val="20"/>
                <w:color w:val="auto"/>
              </w:rPr>
            </w:pPr>
            <w:r>
              <w:rPr>
                <w:rFonts w:ascii="Arial" w:cs="Arial" w:eastAsia="Arial" w:hAnsi="Arial"/>
                <w:sz w:val="18"/>
                <w:szCs w:val="18"/>
                <w:color w:val="auto"/>
              </w:rPr>
              <w:t>56,483,720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56,483,720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520,567,359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369,544,350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151,023,009</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September 30,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3"/>
        </w:trPr>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50"/>
        </w:trPr>
        <w:tc>
          <w:tcPr>
            <w:tcW w:w="342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150,299,384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150,299,384</w:t>
            </w:r>
          </w:p>
        </w:tc>
      </w:tr>
      <w:tr>
        <w:trPr>
          <w:trHeight w:val="263"/>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38,067,382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97,271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38,163,353</w:t>
            </w:r>
          </w:p>
        </w:tc>
      </w:tr>
      <w:tr>
        <w:trPr>
          <w:trHeight w:val="250"/>
        </w:trPr>
        <w:tc>
          <w:tcPr>
            <w:tcW w:w="342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1,673,133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13,163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1,671,264</w:t>
            </w:r>
          </w:p>
        </w:tc>
      </w:tr>
      <w:tr>
        <w:trPr>
          <w:trHeight w:val="263"/>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15,955,794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94,766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16,050,560</w:t>
            </w:r>
          </w:p>
        </w:tc>
      </w:tr>
      <w:tr>
        <w:trPr>
          <w:trHeight w:val="250"/>
        </w:trPr>
        <w:tc>
          <w:tcPr>
            <w:tcW w:w="342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971,726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971,726</w:t>
            </w:r>
          </w:p>
        </w:tc>
      </w:tr>
      <w:tr>
        <w:trPr>
          <w:trHeight w:val="26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0"/>
        </w:trPr>
        <w:tc>
          <w:tcPr>
            <w:tcW w:w="34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41,191,483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1,130,771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42,320,659</w:t>
            </w:r>
          </w:p>
        </w:tc>
      </w:tr>
      <w:tr>
        <w:trPr>
          <w:trHeight w:val="263"/>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39,170,735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1,296,564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40,467,299</w:t>
            </w:r>
          </w:p>
        </w:tc>
      </w:tr>
      <w:tr>
        <w:trPr>
          <w:trHeight w:val="250"/>
        </w:trPr>
        <w:tc>
          <w:tcPr>
            <w:tcW w:w="342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11,539,947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97,563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11,637,510</w:t>
            </w:r>
          </w:p>
        </w:tc>
      </w:tr>
      <w:tr>
        <w:trPr>
          <w:trHeight w:val="28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298,869,584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2,730,098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301,581,755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0" w:right="239" w:bottom="1440" w:gutter="0" w:footer="0" w:header="0"/>
          <w:type w:val="continuous"/>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b w:val="1"/>
                <w:bCs w:val="1"/>
                <w:color w:val="auto"/>
              </w:rPr>
              <w:t>Market Value</w:t>
            </w:r>
          </w:p>
        </w:tc>
      </w:tr>
      <w:tr>
        <w:trPr>
          <w:trHeight w:val="21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50"/>
        </w:trPr>
        <w:tc>
          <w:tcPr>
            <w:tcW w:w="384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150,299,384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150,299,384</w:t>
            </w:r>
          </w:p>
        </w:tc>
      </w:tr>
      <w:tr>
        <w:trPr>
          <w:trHeight w:val="263"/>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9,186,586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9,176,227</w:t>
            </w:r>
          </w:p>
        </w:tc>
      </w:tr>
      <w:tr>
        <w:trPr>
          <w:trHeight w:val="250"/>
        </w:trPr>
        <w:tc>
          <w:tcPr>
            <w:tcW w:w="38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6,981,305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6,967,700</w:t>
            </w:r>
          </w:p>
        </w:tc>
      </w:tr>
      <w:tr>
        <w:trPr>
          <w:trHeight w:val="263"/>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2,219,688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2,219,688</w:t>
            </w: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60,659,498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50,340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(339,908)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60,369,930</w:t>
            </w:r>
          </w:p>
        </w:tc>
      </w:tr>
      <w:tr>
        <w:trPr>
          <w:trHeight w:val="250"/>
        </w:trPr>
        <w:tc>
          <w:tcPr>
            <w:tcW w:w="384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17,840,518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184,914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18,025,432</w:t>
            </w:r>
          </w:p>
        </w:tc>
      </w:tr>
      <w:tr>
        <w:trPr>
          <w:trHeight w:val="257"/>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56,280,552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205,553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56,483,720</w:t>
            </w: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303,467,531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440,807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(366,257)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303,542,081</w:t>
            </w:r>
          </w:p>
        </w:tc>
      </w:tr>
      <w:tr>
        <w:trPr>
          <w:trHeight w:val="21"/>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September 30, 2019,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7"/>
                <w:szCs w:val="17"/>
                <w:color w:val="auto"/>
              </w:rPr>
            </w:pPr>
          </w:p>
        </w:tc>
        <w:tc>
          <w:tcPr>
            <w:tcW w:w="178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 Fair Value</w:t>
            </w:r>
          </w:p>
        </w:tc>
      </w:tr>
      <w:tr>
        <w:trPr>
          <w:trHeight w:val="256"/>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10,055,721</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72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5"/>
        </w:trPr>
        <w:tc>
          <w:tcPr>
            <w:tcW w:w="5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17,927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10,055,721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2018,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6"/>
                <w:szCs w:val="16"/>
                <w:color w:val="auto"/>
              </w:rPr>
            </w:pPr>
          </w:p>
        </w:tc>
        <w:tc>
          <w:tcPr>
            <w:tcW w:w="178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 Fair Value</w:t>
            </w:r>
          </w:p>
        </w:tc>
      </w:tr>
      <w:tr>
        <w:trPr>
          <w:trHeight w:val="25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365,824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68,722,980</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3,000,000</w:t>
            </w:r>
          </w:p>
        </w:tc>
      </w:tr>
      <w:tr>
        <w:trPr>
          <w:trHeight w:val="275"/>
        </w:trPr>
        <w:tc>
          <w:tcPr>
            <w:tcW w:w="5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366,257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71,722,980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ASC 320,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as amended, provides guidance on determining when an investment is other than temporarily impaired. No investment losses were considered to be other than temporary during the periods presented. The Company has the intention and current ability to hold its debt investments until the amortized cost basis has been recovered.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Fixed income securities as of September 30, 2019 have contractual maturities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206,184,561</w:t>
            </w:r>
          </w:p>
        </w:tc>
      </w:tr>
      <w:tr>
        <w:trPr>
          <w:trHeight w:val="250"/>
        </w:trPr>
        <w:tc>
          <w:tcPr>
            <w:tcW w:w="804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4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59,332,380</w:t>
            </w:r>
          </w:p>
        </w:tc>
      </w:tr>
      <w:tr>
        <w:trPr>
          <w:trHeight w:val="25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35,093,088</w:t>
            </w:r>
          </w:p>
        </w:tc>
      </w:tr>
      <w:tr>
        <w:trPr>
          <w:trHeight w:val="250"/>
        </w:trPr>
        <w:tc>
          <w:tcPr>
            <w:tcW w:w="804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300,610,029</w:t>
            </w:r>
          </w:p>
        </w:tc>
      </w:tr>
      <w:tr>
        <w:trPr>
          <w:trHeight w:val="27"/>
        </w:trPr>
        <w:tc>
          <w:tcPr>
            <w:tcW w:w="8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760"/>
          </w:cols>
          <w:pgMar w:left="90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36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(5) 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BFE4FF"/>
          </w:tcPr>
          <w:p>
            <w:pPr>
              <w:jc w:val="right"/>
              <w:ind w:right="54"/>
              <w:spacing w:after="0"/>
              <w:rPr>
                <w:sz w:val="20"/>
                <w:szCs w:val="20"/>
                <w:color w:val="auto"/>
              </w:rPr>
            </w:pPr>
            <w:r>
              <w:rPr>
                <w:rFonts w:ascii="Arial" w:cs="Arial" w:eastAsia="Arial" w:hAnsi="Arial"/>
                <w:sz w:val="18"/>
                <w:szCs w:val="18"/>
                <w:color w:val="auto"/>
              </w:rPr>
              <w:t>158,436,983</w:t>
            </w:r>
          </w:p>
        </w:tc>
        <w:tc>
          <w:tcPr>
            <w:tcW w:w="120" w:type="dxa"/>
            <w:vAlign w:val="bottom"/>
            <w:tcBorders>
              <w:top w:val="single" w:sz="8" w:color="BFE4FF"/>
            </w:tcBorders>
            <w:shd w:val="clear" w:color="auto" w:fill="BFE4FF"/>
          </w:tcPr>
          <w:p>
            <w:pPr>
              <w:spacing w:after="0"/>
              <w:rPr>
                <w:sz w:val="22"/>
                <w:szCs w:val="22"/>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ind w:right="54"/>
              <w:spacing w:after="0"/>
              <w:rPr>
                <w:sz w:val="20"/>
                <w:szCs w:val="20"/>
                <w:color w:val="auto"/>
              </w:rPr>
            </w:pPr>
            <w:r>
              <w:rPr>
                <w:rFonts w:ascii="Arial" w:cs="Arial" w:eastAsia="Arial" w:hAnsi="Arial"/>
                <w:sz w:val="18"/>
                <w:szCs w:val="18"/>
                <w:color w:val="auto"/>
              </w:rPr>
              <w:t>139,058,541</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32,096,512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35,386,615</w:t>
            </w:r>
          </w:p>
        </w:tc>
      </w:tr>
      <w:tr>
        <w:trPr>
          <w:trHeight w:val="26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48,143,300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50,836,443</w:t>
            </w:r>
          </w:p>
        </w:tc>
      </w:tr>
      <w:tr>
        <w:trPr>
          <w:trHeight w:val="244"/>
        </w:trPr>
        <w:tc>
          <w:tcPr>
            <w:tcW w:w="62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238,676,795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225,281,599</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23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nine months ended September 30, 2019:</w:t>
      </w:r>
    </w:p>
    <w:p>
      <w:pPr>
        <w:spacing w:after="0" w:line="2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jc w:val="right"/>
              <w:ind w:right="53"/>
              <w:spacing w:after="0"/>
              <w:rPr>
                <w:sz w:val="20"/>
                <w:szCs w:val="20"/>
                <w:color w:val="auto"/>
              </w:rPr>
            </w:pPr>
            <w:r>
              <w:rPr>
                <w:rFonts w:ascii="Arial" w:cs="Arial" w:eastAsia="Arial" w:hAnsi="Arial"/>
                <w:sz w:val="14"/>
                <w:szCs w:val="14"/>
                <w:b w:val="1"/>
                <w:bCs w:val="1"/>
                <w:color w:val="auto"/>
              </w:rPr>
              <w:t>Nine Months Ended September</w:t>
            </w:r>
          </w:p>
        </w:tc>
      </w:tr>
      <w:tr>
        <w:trPr>
          <w:trHeight w:val="190"/>
        </w:trPr>
        <w:tc>
          <w:tcPr>
            <w:tcW w:w="4920" w:type="dxa"/>
            <w:vAlign w:val="bottom"/>
          </w:tcPr>
          <w:p>
            <w:pPr>
              <w:spacing w:after="0"/>
              <w:rPr>
                <w:sz w:val="16"/>
                <w:szCs w:val="16"/>
                <w:color w:val="auto"/>
              </w:rPr>
            </w:pPr>
          </w:p>
        </w:tc>
        <w:tc>
          <w:tcPr>
            <w:tcW w:w="27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60" w:type="dxa"/>
            <w:vAlign w:val="bottom"/>
          </w:tcPr>
          <w:p>
            <w:pPr>
              <w:jc w:val="right"/>
              <w:ind w:right="1013"/>
              <w:spacing w:after="0"/>
              <w:rPr>
                <w:sz w:val="20"/>
                <w:szCs w:val="20"/>
                <w:color w:val="auto"/>
              </w:rPr>
            </w:pPr>
            <w:r>
              <w:rPr>
                <w:rFonts w:ascii="Arial" w:cs="Arial" w:eastAsia="Arial" w:hAnsi="Arial"/>
                <w:sz w:val="14"/>
                <w:szCs w:val="14"/>
                <w:b w:val="1"/>
                <w:bCs w:val="1"/>
                <w:color w:val="auto"/>
              </w:rPr>
              <w:t>30,</w:t>
            </w:r>
          </w:p>
        </w:tc>
      </w:tr>
      <w:tr>
        <w:trPr>
          <w:trHeight w:val="222"/>
        </w:trPr>
        <w:tc>
          <w:tcPr>
            <w:tcW w:w="4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20" w:type="dxa"/>
            <w:vAlign w:val="bottom"/>
          </w:tcPr>
          <w:p>
            <w:pPr>
              <w:jc w:val="right"/>
              <w:ind w:right="10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jc w:val="right"/>
              <w:ind w:right="953"/>
              <w:spacing w:after="0"/>
              <w:rPr>
                <w:sz w:val="20"/>
                <w:szCs w:val="20"/>
                <w:color w:val="auto"/>
              </w:rPr>
            </w:pPr>
            <w:r>
              <w:rPr>
                <w:rFonts w:ascii="Arial" w:cs="Arial" w:eastAsia="Arial" w:hAnsi="Arial"/>
                <w:sz w:val="14"/>
                <w:szCs w:val="14"/>
                <w:b w:val="1"/>
                <w:bCs w:val="1"/>
                <w:color w:val="auto"/>
              </w:rPr>
              <w:t>2019</w:t>
            </w:r>
          </w:p>
        </w:tc>
      </w:tr>
      <w:tr>
        <w:trPr>
          <w:trHeight w:val="24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6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111,897,852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325,136,888</w:t>
            </w:r>
          </w:p>
        </w:tc>
      </w:tr>
      <w:tr>
        <w:trPr>
          <w:trHeight w:val="263"/>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Allocated to participating securities</w:t>
            </w:r>
          </w:p>
        </w:tc>
        <w:tc>
          <w:tcPr>
            <w:tcW w:w="64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1,389,659</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3,699,548</w:t>
            </w:r>
          </w:p>
        </w:tc>
      </w:tr>
      <w:tr>
        <w:trPr>
          <w:trHeight w:val="244"/>
        </w:trPr>
        <w:tc>
          <w:tcPr>
            <w:tcW w:w="4920" w:type="dxa"/>
            <w:vAlign w:val="bottom"/>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6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110,508,193</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321,437,340</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30"/>
        </w:trPr>
        <w:tc>
          <w:tcPr>
            <w:tcW w:w="4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spacing w:after="0"/>
              <w:rPr>
                <w:sz w:val="21"/>
                <w:szCs w:val="21"/>
                <w:color w:val="auto"/>
              </w:rPr>
            </w:pP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251,075,859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252,811,950</w:t>
            </w:r>
          </w:p>
        </w:tc>
      </w:tr>
      <w:tr>
        <w:trPr>
          <w:trHeight w:val="263"/>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per share - Basic</w:t>
            </w:r>
          </w:p>
        </w:tc>
        <w:tc>
          <w:tcPr>
            <w:tcW w:w="6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w:t>
            </w:r>
          </w:p>
        </w:tc>
      </w:tr>
      <w:tr>
        <w:trPr>
          <w:trHeight w:val="257"/>
        </w:trPr>
        <w:tc>
          <w:tcPr>
            <w:tcW w:w="4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6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Allocation of Net Income used in basic computation</w:t>
            </w: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110,508,193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321,437,340</w:t>
            </w:r>
          </w:p>
        </w:tc>
      </w:tr>
      <w:tr>
        <w:trPr>
          <w:trHeight w:val="257"/>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Reallocation of undistributed earnings</w:t>
            </w:r>
          </w:p>
        </w:tc>
        <w:tc>
          <w:tcPr>
            <w:tcW w:w="64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6,051</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15,389</w:t>
            </w: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Net Income available to common shareholders - Diluted</w:t>
            </w: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110,514,244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321,452,729</w:t>
            </w:r>
          </w:p>
        </w:tc>
      </w:tr>
      <w:tr>
        <w:trPr>
          <w:trHeight w:val="101"/>
        </w:trPr>
        <w:tc>
          <w:tcPr>
            <w:tcW w:w="49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Number of shares used in basic computation</w:t>
            </w:r>
          </w:p>
        </w:tc>
        <w:tc>
          <w:tcPr>
            <w:tcW w:w="640" w:type="dxa"/>
            <w:vAlign w:val="bottom"/>
          </w:tcPr>
          <w:p>
            <w:pPr>
              <w:spacing w:after="0"/>
              <w:rPr>
                <w:sz w:val="21"/>
                <w:szCs w:val="21"/>
                <w:color w:val="auto"/>
              </w:rPr>
            </w:pP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251,075,859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252,811,950</w:t>
            </w:r>
          </w:p>
        </w:tc>
      </w:tr>
      <w:tr>
        <w:trPr>
          <w:trHeight w:val="235"/>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weighted average dilutive common stock</w:t>
            </w:r>
          </w:p>
        </w:tc>
        <w:tc>
          <w:tcPr>
            <w:tcW w:w="6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r>
      <w:tr>
        <w:trPr>
          <w:trHeight w:val="224"/>
        </w:trPr>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equivalents</w:t>
            </w:r>
          </w:p>
        </w:tc>
        <w:tc>
          <w:tcPr>
            <w:tcW w:w="6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1,503,123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1,455,901</w:t>
            </w:r>
          </w:p>
        </w:tc>
      </w:tr>
      <w:tr>
        <w:trPr>
          <w:trHeight w:val="257"/>
        </w:trPr>
        <w:tc>
          <w:tcPr>
            <w:tcW w:w="492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252,578,982</w:t>
            </w: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254,267,851</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24"/>
        </w:trPr>
        <w:tc>
          <w:tcPr>
            <w:tcW w:w="4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Net income per share - Diluted</w:t>
            </w:r>
          </w:p>
        </w:tc>
        <w:tc>
          <w:tcPr>
            <w:tcW w:w="640" w:type="dxa"/>
            <w:vAlign w:val="bottom"/>
          </w:tcPr>
          <w:p>
            <w:pPr>
              <w:jc w:val="right"/>
              <w:ind w:right="433"/>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1.26</w:t>
            </w:r>
          </w:p>
        </w:tc>
      </w:tr>
      <w:tr>
        <w:trPr>
          <w:trHeight w:val="263"/>
        </w:trPr>
        <w:tc>
          <w:tcPr>
            <w:tcW w:w="49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 diluted average</w:t>
            </w:r>
          </w:p>
        </w:tc>
        <w:tc>
          <w:tcPr>
            <w:tcW w:w="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common shares outstanding because their effect would be</w:t>
            </w:r>
          </w:p>
        </w:tc>
        <w:tc>
          <w:tcPr>
            <w:tcW w:w="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7"/>
        </w:trPr>
        <w:tc>
          <w:tcPr>
            <w:tcW w:w="4920" w:type="dxa"/>
            <w:vAlign w:val="bottom"/>
          </w:tcPr>
          <w:p>
            <w:pPr>
              <w:ind w:left="20"/>
              <w:spacing w:after="0"/>
              <w:rPr>
                <w:sz w:val="20"/>
                <w:szCs w:val="20"/>
                <w:color w:val="auto"/>
              </w:rPr>
            </w:pPr>
            <w:r>
              <w:rPr>
                <w:rFonts w:ascii="Arial" w:cs="Arial" w:eastAsia="Arial" w:hAnsi="Arial"/>
                <w:sz w:val="18"/>
                <w:szCs w:val="18"/>
                <w:color w:val="auto"/>
              </w:rPr>
              <w:t>anti-dilutive</w:t>
            </w:r>
          </w:p>
        </w:tc>
        <w:tc>
          <w:tcPr>
            <w:tcW w:w="640" w:type="dxa"/>
            <w:vAlign w:val="bottom"/>
          </w:tcPr>
          <w:p>
            <w:pPr>
              <w:spacing w:after="0"/>
              <w:rPr>
                <w:sz w:val="18"/>
                <w:szCs w:val="18"/>
                <w:color w:val="auto"/>
              </w:rPr>
            </w:pPr>
          </w:p>
        </w:tc>
        <w:tc>
          <w:tcPr>
            <w:tcW w:w="2020" w:type="dxa"/>
            <w:vAlign w:val="bottom"/>
          </w:tcPr>
          <w:p>
            <w:pPr>
              <w:jc w:val="right"/>
              <w:ind w:right="71"/>
              <w:spacing w:after="0"/>
              <w:rPr>
                <w:sz w:val="20"/>
                <w:szCs w:val="20"/>
                <w:color w:val="auto"/>
              </w:rPr>
            </w:pPr>
            <w:r>
              <w:rPr>
                <w:rFonts w:ascii="Arial" w:cs="Arial" w:eastAsia="Arial" w:hAnsi="Arial"/>
                <w:sz w:val="18"/>
                <w:szCs w:val="18"/>
                <w:color w:val="auto"/>
              </w:rPr>
              <w:t>3,054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53"/>
              <w:spacing w:after="0"/>
              <w:rPr>
                <w:sz w:val="20"/>
                <w:szCs w:val="20"/>
                <w:color w:val="auto"/>
              </w:rPr>
            </w:pPr>
            <w:r>
              <w:rPr>
                <w:rFonts w:ascii="Arial" w:cs="Arial" w:eastAsia="Arial" w:hAnsi="Arial"/>
                <w:sz w:val="18"/>
                <w:szCs w:val="18"/>
                <w:color w:val="auto"/>
              </w:rPr>
              <w:t>170,386</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of September 30, 2019,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21"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In February 2019, the Company's Compensation Committee and Board of Directors approved the 2019 Omnibus Plan, which was then approved by shareholders in May 2019. 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Upon shareholder approval,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including those made to non-officers in the first quarter of 2019, remain outstanding in accordance with their terms and are governed by the Prior Plans as applicable.</w:t>
      </w:r>
    </w:p>
    <w:p>
      <w:pPr>
        <w:spacing w:after="0" w:line="14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2018, for additional information related to the Prior Plans.</w:t>
      </w:r>
    </w:p>
    <w:p>
      <w:pPr>
        <w:spacing w:after="0" w:line="1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recognized compensation expense for share-based payments of $5,712,132 and $15,927,434 for the three and nine months ended September 30, 2019, respectively, and $4,829,463 and $13,196,413 for the three and nine months ended September 30, 2018, respectively.</w:t>
      </w:r>
    </w:p>
    <w:p>
      <w:pPr>
        <w:spacing w:after="0" w:line="121"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Compensation cost for share based payment awards capitalized as part of inventory as of September 30, 2019 and December 31, 2018 was $320,009 and $242,673, respectively.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 Omnibus Incentive Plan</w:t>
      </w:r>
    </w:p>
    <w:p>
      <w:pPr>
        <w:spacing w:after="0" w:line="26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Omnibus Incentive Plan was approved by shareholders during the second quarter of 2019 (thereby replacing the Prior Plans) and covers 45,000,000 shares of common stock. The purpose of the 2019 Omnibus Incentive Plan is to attract and retain employees, officers, and directors of the Company and its subsidiaries and to motivate and provide such persons incentives and rewards for performance.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2019 Omnibus Plan replaced the Company's shareholder approved Employee Stock Option Plan.</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years. As of September 30, 2019, there was $7,235,605 of unearned compensation cost related to share-based payments, which is expected to be recognized over the remaining vesting periods.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 w:right="160"/>
        <w:spacing w:after="0" w:line="262"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ectPr>
          <w:pgSz w:w="11900" w:h="16838" w:orient="portrait"/>
          <w:cols w:equalWidth="0" w:num="1">
            <w:col w:w="10764"/>
          </w:cols>
          <w:pgMar w:left="896"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p>
      <w:pPr>
        <w:ind w:left="24"/>
        <w:spacing w:after="0" w:line="232" w:lineRule="auto"/>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p>
      <w:pPr>
        <w:ind w:left="24"/>
        <w:spacing w:after="0" w:line="233" w:lineRule="auto"/>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p>
      <w:pPr>
        <w:spacing w:after="0" w:line="1" w:lineRule="exact"/>
        <w:rPr>
          <w:sz w:val="20"/>
          <w:szCs w:val="20"/>
          <w:color w:val="auto"/>
        </w:rPr>
      </w:pPr>
    </w:p>
    <w:p>
      <w:pPr>
        <w:ind w:left="24"/>
        <w:spacing w:after="0" w:line="238" w:lineRule="auto"/>
        <w:rPr>
          <w:sz w:val="20"/>
          <w:szCs w:val="20"/>
          <w:color w:val="auto"/>
        </w:rPr>
      </w:pPr>
      <w:r>
        <w:rPr>
          <w:rFonts w:ascii="Arial" w:cs="Arial" w:eastAsia="Arial" w:hAnsi="Arial"/>
          <w:sz w:val="17"/>
          <w:szCs w:val="17"/>
          <w:color w:val="auto"/>
        </w:rPr>
        <w:t xml:space="preserve">Expected term of options (years) </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Weighted-avg. grant date fair value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2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00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15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43"/>
        </w:trPr>
        <w:tc>
          <w:tcPr>
            <w:tcW w:w="152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24.25 %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23.32 %</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23.84 %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26.65 %</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2.94 %</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2.78 %</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57"/>
        </w:trPr>
        <w:tc>
          <w:tcPr>
            <w:tcW w:w="15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-814070</wp:posOffset>
            </wp:positionV>
            <wp:extent cx="614870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48705" cy="17145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-479425</wp:posOffset>
            </wp:positionV>
            <wp:extent cx="614870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48705" cy="16319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-153670</wp:posOffset>
            </wp:positionV>
            <wp:extent cx="614870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48705" cy="16319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824" w:space="600"/>
            <w:col w:w="7340"/>
          </w:cols>
          <w:pgMar w:left="896" w:top="360" w:right="239" w:bottom="1440" w:gutter="0" w:footer="0" w:header="0"/>
          <w:type w:val="continuous"/>
        </w:sectPr>
      </w:pPr>
    </w:p>
    <w:p>
      <w:pPr>
        <w:ind w:left="324" w:hanging="324"/>
        <w:spacing w:after="0"/>
        <w:tabs>
          <w:tab w:leader="none" w:pos="32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440" w:hanging="324"/>
        <w:spacing w:after="0" w:line="204" w:lineRule="auto"/>
        <w:tabs>
          <w:tab w:leader="none" w:pos="32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11" w:lineRule="auto"/>
        <w:tabs>
          <w:tab w:leader="none" w:pos="32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2019 Omnibus Plan replaced the Company's shareholder approved Second Restricted Stock Plan.</w:t>
      </w:r>
    </w:p>
    <w:p>
      <w:pPr>
        <w:spacing w:after="0" w:line="252" w:lineRule="exact"/>
        <w:rPr>
          <w:sz w:val="20"/>
          <w:szCs w:val="20"/>
          <w:color w:val="auto"/>
        </w:rPr>
      </w:pPr>
    </w:p>
    <w:p>
      <w:pPr>
        <w:jc w:val="both"/>
        <w:ind w:left="4"/>
        <w:spacing w:after="0" w:line="251"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2019, the Company had unearned stock-based compensation of $45,627,650 associated with the restricted stock grants issued under the 2019 Omnibus Plan and the prior plan. The unearned stock-based compensation related to these grants is being amortized to compensation expense over the applicable restriction periods. Amortization expense from restricted stock grants in the three and nine months ended September 30, 2019 was $3,843,962 and $9,890,137, respectively, and for the three and nine months ended September 30, 2018 was $2,480,911 and $6,314,544, respectively.</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36"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As of September 30, 2019, the Company had unearned stock-based compensation of $ 2,480,321 associated with these performance share grants. The unearned stock-based compensation related to these grants is being amortized to compensation expense over the applicable performance periods. Amortization expense from performance share grants in the three and nine months ended September 30, 2019 was $263,392 and $633,576, respectively. No amortization expense for performance share grants was incurred in 2018, as no such awards were issued and outstanding.</w:t>
      </w:r>
    </w:p>
    <w:p>
      <w:pPr>
        <w:sectPr>
          <w:pgSz w:w="11900" w:h="16838" w:orient="portrait"/>
          <w:cols w:equalWidth="0" w:num="1">
            <w:col w:w="10764"/>
          </w:cols>
          <w:pgMar w:left="896" w:top="3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56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69850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4"/>
          </w:cols>
          <w:pgMar w:left="896" w:top="36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7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September 30, 2019, the Company has issued 1,105,438 shares under this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pacing w:after="0" w:line="229"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74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(1,851,574)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(194,395)</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(1,674,887)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645,030</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Other Comprehensive loss before</w:t>
            </w:r>
          </w:p>
        </w:tc>
        <w:tc>
          <w:tcPr>
            <w:tcW w:w="2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(1,623,102)</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(1,174,213)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(1,799,789)</w:t>
            </w:r>
          </w:p>
        </w:tc>
        <w:tc>
          <w:tcPr>
            <w:tcW w:w="3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(2,013,638)</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change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(1,623,102)</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(1,174,213)</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(1,799,789)</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(2,013,638)</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(3,474,676)</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(1,368,608)</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(3,474,676)</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(1,368,608)</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gains (losses) on available-for-sale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2,350,795</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(271,939)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74,549</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188"/>
        </w:trPr>
        <w:tc>
          <w:tcPr>
            <w:tcW w:w="3860" w:type="dxa"/>
            <w:vAlign w:val="bottom"/>
          </w:tcPr>
          <w:p>
            <w:pPr>
              <w:ind w:left="240"/>
              <w:spacing w:after="0" w:line="189"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657,128</w:t>
            </w:r>
          </w:p>
        </w:tc>
        <w:tc>
          <w:tcPr>
            <w:tcW w:w="360" w:type="dxa"/>
            <w:vAlign w:val="bottom"/>
          </w:tcPr>
          <w:p>
            <w:pPr>
              <w:spacing w:after="0"/>
              <w:rPr>
                <w:sz w:val="16"/>
                <w:szCs w:val="16"/>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(276,010)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3,106,369</w:t>
            </w:r>
          </w:p>
        </w:tc>
        <w:tc>
          <w:tcPr>
            <w:tcW w:w="320" w:type="dxa"/>
            <w:vAlign w:val="bottom"/>
          </w:tcPr>
          <w:p>
            <w:pPr>
              <w:spacing w:after="0"/>
              <w:rPr>
                <w:sz w:val="16"/>
                <w:szCs w:val="16"/>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8"/>
                <w:szCs w:val="18"/>
                <w:color w:val="auto"/>
              </w:rPr>
              <w:t>33,941</w:t>
            </w:r>
          </w:p>
        </w:tc>
        <w:tc>
          <w:tcPr>
            <w:tcW w:w="0" w:type="dxa"/>
            <w:vAlign w:val="bottom"/>
          </w:tcPr>
          <w:p>
            <w:pPr>
              <w:spacing w:after="0"/>
              <w:rPr>
                <w:sz w:val="1"/>
                <w:szCs w:val="1"/>
                <w:color w:val="auto"/>
              </w:rPr>
            </w:pPr>
          </w:p>
        </w:tc>
      </w:tr>
      <w:tr>
        <w:trPr>
          <w:trHeight w:val="217"/>
        </w:trPr>
        <w:tc>
          <w:tcPr>
            <w:tcW w:w="386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9"/>
              </w:rPr>
              <w:t>Amounts reclassified from accumulated other</w:t>
            </w:r>
          </w:p>
        </w:tc>
        <w:tc>
          <w:tcPr>
            <w:tcW w:w="2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(295,752)</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(205,433)</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(468,747)</w:t>
            </w:r>
          </w:p>
        </w:tc>
        <w:tc>
          <w:tcPr>
            <w:tcW w:w="3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(770,974)</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361,376</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(481,443)</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2,637,622</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(737,033)</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2,712,171</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(753,382)</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2,712,171</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(753,382)</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gains on derivatives: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(12,770)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Other comprehensive income before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2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114,889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175,308</w:t>
            </w:r>
          </w:p>
        </w:tc>
        <w:tc>
          <w:tcPr>
            <w:tcW w:w="0" w:type="dxa"/>
            <w:vAlign w:val="bottom"/>
          </w:tcPr>
          <w:p>
            <w:pPr>
              <w:spacing w:after="0"/>
              <w:rPr>
                <w:sz w:val="1"/>
                <w:szCs w:val="1"/>
                <w:color w:val="auto"/>
              </w:rPr>
            </w:pPr>
          </w:p>
        </w:tc>
      </w:tr>
      <w:tr>
        <w:trPr>
          <w:trHeight w:val="235"/>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(102,119)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(97,282)</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12,770</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78,026</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Accumulated other comprehensive loss, end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(762,505)</w:t>
            </w:r>
          </w:p>
        </w:tc>
        <w:tc>
          <w:tcPr>
            <w:tcW w:w="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(2,121,990)</w:t>
            </w:r>
          </w:p>
        </w:tc>
        <w:tc>
          <w:tcPr>
            <w:tcW w:w="14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(762,505)</w:t>
            </w:r>
          </w:p>
        </w:tc>
        <w:tc>
          <w:tcPr>
            <w:tcW w:w="3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(2,121,990)</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period</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660" w:right="100"/>
        <w:spacing w:after="0" w:line="26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and nine months ended September 30, 2019 and 2018.</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89"/>
        </w:trPr>
        <w:tc>
          <w:tcPr>
            <w:tcW w:w="3260" w:type="dxa"/>
            <w:vAlign w:val="bottom"/>
            <w:gridSpan w:val="2"/>
          </w:tcPr>
          <w:p>
            <w:pPr>
              <w:ind w:left="300"/>
              <w:spacing w:after="0"/>
              <w:rPr>
                <w:sz w:val="20"/>
                <w:szCs w:val="20"/>
                <w:color w:val="auto"/>
              </w:rPr>
            </w:pPr>
            <w:r>
              <w:rPr>
                <w:rFonts w:ascii="Arial" w:cs="Arial" w:eastAsia="Arial" w:hAnsi="Arial"/>
                <w:sz w:val="16"/>
                <w:szCs w:val="16"/>
                <w:b w:val="1"/>
                <w:bCs w:val="1"/>
                <w:color w:val="auto"/>
              </w:rPr>
              <w:t>Details about Accumulated Other</w:t>
            </w:r>
          </w:p>
        </w:tc>
        <w:tc>
          <w:tcPr>
            <w:tcW w:w="160" w:type="dxa"/>
            <w:vAlign w:val="bottom"/>
          </w:tcPr>
          <w:p>
            <w:pPr>
              <w:spacing w:after="0"/>
              <w:rPr>
                <w:sz w:val="16"/>
                <w:szCs w:val="16"/>
                <w:color w:val="auto"/>
              </w:rPr>
            </w:pPr>
          </w:p>
        </w:tc>
        <w:tc>
          <w:tcPr>
            <w:tcW w:w="4120" w:type="dxa"/>
            <w:vAlign w:val="bottom"/>
            <w:gridSpan w:val="10"/>
          </w:tcPr>
          <w:p>
            <w:pPr>
              <w:jc w:val="center"/>
              <w:ind w:right="100"/>
              <w:spacing w:after="0"/>
              <w:rPr>
                <w:sz w:val="20"/>
                <w:szCs w:val="20"/>
                <w:color w:val="auto"/>
              </w:rPr>
            </w:pPr>
            <w:r>
              <w:rPr>
                <w:rFonts w:ascii="Arial" w:cs="Arial" w:eastAsia="Arial" w:hAnsi="Arial"/>
                <w:sz w:val="16"/>
                <w:szCs w:val="16"/>
                <w:b w:val="1"/>
                <w:bCs w:val="1"/>
                <w:color w:val="auto"/>
              </w:rPr>
              <w:t>Amounts Reclassified from Other Comprehensive</w:t>
            </w:r>
          </w:p>
        </w:tc>
        <w:tc>
          <w:tcPr>
            <w:tcW w:w="10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Statement of Consolidated</w:t>
            </w:r>
          </w:p>
        </w:tc>
        <w:tc>
          <w:tcPr>
            <w:tcW w:w="0" w:type="dxa"/>
            <w:vAlign w:val="bottom"/>
          </w:tcPr>
          <w:p>
            <w:pPr>
              <w:spacing w:after="0"/>
              <w:rPr>
                <w:sz w:val="1"/>
                <w:szCs w:val="1"/>
                <w:color w:val="auto"/>
              </w:rPr>
            </w:pPr>
          </w:p>
        </w:tc>
      </w:tr>
      <w:tr>
        <w:trPr>
          <w:trHeight w:val="228"/>
        </w:trPr>
        <w:tc>
          <w:tcPr>
            <w:tcW w:w="3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Comprehensive Income Components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49"/>
        </w:trPr>
        <w:tc>
          <w:tcPr>
            <w:tcW w:w="3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vMerge w:val="restart"/>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Realized gain on sale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gridSpan w:val="2"/>
          </w:tcPr>
          <w:p>
            <w:pPr>
              <w:ind w:left="220"/>
              <w:spacing w:after="0"/>
              <w:rPr>
                <w:sz w:val="20"/>
                <w:szCs w:val="20"/>
                <w:color w:val="auto"/>
              </w:rPr>
            </w:pPr>
            <w:r>
              <w:rPr>
                <w:rFonts w:ascii="Arial" w:cs="Arial" w:eastAsia="Arial" w:hAnsi="Arial"/>
                <w:sz w:val="18"/>
                <w:szCs w:val="18"/>
                <w:color w:val="auto"/>
              </w:rPr>
              <w:t>of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374,370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260,042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593,351</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975,917</w:t>
            </w:r>
          </w:p>
        </w:tc>
        <w:tc>
          <w:tcPr>
            <w:tcW w:w="10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(78,618)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(54,609)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(124,604)</w:t>
            </w:r>
          </w:p>
        </w:tc>
        <w:tc>
          <w:tcPr>
            <w:tcW w:w="1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(204,943)</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295,752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205,433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468,747</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770,974</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Unrealized gains on derivatives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Realized gain on 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129,265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123,142</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(27,146)</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(25,860)</w:t>
            </w:r>
          </w:p>
        </w:tc>
        <w:tc>
          <w:tcPr>
            <w:tcW w:w="10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102,119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97,282</w:t>
            </w:r>
          </w:p>
        </w:tc>
        <w:tc>
          <w:tcPr>
            <w:tcW w:w="100" w:type="dxa"/>
            <w:vAlign w:val="bottom"/>
            <w:shd w:val="clear" w:color="auto" w:fill="CCEEFF"/>
          </w:tcPr>
          <w:p>
            <w:pPr>
              <w:spacing w:after="0"/>
              <w:rPr>
                <w:sz w:val="20"/>
                <w:szCs w:val="20"/>
                <w:color w:val="auto"/>
              </w:rPr>
            </w:pPr>
          </w:p>
        </w:tc>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135"/>
        </w:trPr>
        <w:tc>
          <w:tcPr>
            <w:tcW w:w="3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net reclassifications for the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295,752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307,552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468,747</w:t>
            </w:r>
          </w:p>
        </w:tc>
        <w:tc>
          <w:tcPr>
            <w:tcW w:w="1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868,256</w:t>
            </w:r>
          </w:p>
        </w:tc>
        <w:tc>
          <w:tcPr>
            <w:tcW w:w="1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period</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On October 15, 2018, the Company entered into a new Credit Agreement (“Credit Agreement”) with PNC as the administrative agent and sole lender.</w:t>
      </w:r>
    </w:p>
    <w:p>
      <w:pPr>
        <w:spacing w:after="0" w:line="22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Pursuant to this new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September 30, 2019, there was no outstanding balance on the Revolver. The Revolver expires on October 15, 2023.</w:t>
      </w:r>
    </w:p>
    <w:p>
      <w:pPr>
        <w:spacing w:after="0" w:line="23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the Company was in compliance with its covenants under the Credit Agreement.</w:t>
      </w:r>
    </w:p>
    <w:p>
      <w:pPr>
        <w:spacing w:after="0" w:line="252" w:lineRule="exact"/>
        <w:rPr>
          <w:sz w:val="20"/>
          <w:szCs w:val="20"/>
          <w:color w:val="auto"/>
        </w:rPr>
      </w:pPr>
    </w:p>
    <w:p>
      <w:pPr>
        <w:jc w:val="both"/>
        <w:ind w:left="66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During the three and nine months ended September 30, 2018, under a previous credit facility, interest expense was $ 0.1 million and </w:t>
      </w:r>
      <w:hyperlink w:anchor="page3">
        <w:r>
          <w:rPr>
            <w:rFonts w:ascii="Arial" w:cs="Arial" w:eastAsia="Arial" w:hAnsi="Arial"/>
            <w:sz w:val="18"/>
            <w:szCs w:val="18"/>
            <w:color w:val="auto"/>
          </w:rPr>
          <w:t xml:space="preserve">$0.8 million, respectively, which was netted with the "Other income (loss), net" section of the </w:t>
        </w:r>
        <w:r>
          <w:rPr>
            <w:rFonts w:ascii="Arial" w:cs="Arial" w:eastAsia="Arial" w:hAnsi="Arial"/>
            <w:sz w:val="18"/>
            <w:szCs w:val="18"/>
            <w:u w:val="single" w:color="auto"/>
            <w:color w:val="0000FF"/>
          </w:rPr>
          <w:t>Unaudited Consolidated Statements of</w:t>
        </w:r>
      </w:hyperlink>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Income</w:t>
        </w:r>
        <w:r>
          <w:rPr>
            <w:rFonts w:ascii="Arial" w:cs="Arial" w:eastAsia="Arial" w:hAnsi="Arial"/>
            <w:sz w:val="18"/>
            <w:szCs w:val="18"/>
            <w:color w:val="000000"/>
          </w:rPr>
          <w:t>.</w:t>
        </w:r>
      </w:hyperlink>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decrease in common stock during the nine months ended September 30, 2019, was primarily due to the repurchases of 11.4 million shares, partially offset by the issuance of 5.1 million shares of the Company’s common stock under the Company’s stock-based compensation plans. The total net decrease was 6.3 million shares.</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announced a $0.005 (1/2 cent) per share increase in its quarterly cash dividend rate during the first quarter of 2019. As such, the Company recorded a cash dividend of $0.115 during the third quarter of 2019 as compared to a cash dividend of $0.110 per share during the third quarter of 2018. The third quarter 2019 dividend of $29.1 million was declared on August 27, 2019, and was paid on October 23, 2019.</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5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Segment Reporting</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shown below.</w:t>
      </w: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3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r>
      <w:tr>
        <w:trPr>
          <w:trHeight w:val="222"/>
        </w:trPr>
        <w:tc>
          <w:tcPr>
            <w:tcW w:w="2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464,280,707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449,184,447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1,376,704,413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1,348,395,245</w:t>
            </w:r>
          </w:p>
        </w:tc>
      </w:tr>
      <w:tr>
        <w:trPr>
          <w:trHeight w:val="257"/>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13,480,710</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11,068,986</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38,357,355</w:t>
            </w:r>
          </w:p>
        </w:tc>
        <w:tc>
          <w:tcPr>
            <w:tcW w:w="4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32,259,733</w:t>
            </w:r>
          </w:p>
        </w:tc>
      </w:tr>
      <w:tr>
        <w:trPr>
          <w:trHeight w:val="257"/>
        </w:trPr>
        <w:tc>
          <w:tcPr>
            <w:tcW w:w="29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477,761,417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460,253,433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1,415,061,768</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1,380,654,978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2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50"/>
        </w:trPr>
        <w:tc>
          <w:tcPr>
            <w:tcW w:w="292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123,342,538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124,351,499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364,590,462</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373,071,852</w:t>
            </w:r>
          </w:p>
        </w:tc>
      </w:tr>
      <w:tr>
        <w:trPr>
          <w:trHeight w:val="257"/>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4,793,142</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3,076,412</w:t>
            </w:r>
          </w:p>
        </w:tc>
        <w:tc>
          <w:tcPr>
            <w:tcW w:w="3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13,046,517</w:t>
            </w:r>
          </w:p>
        </w:tc>
        <w:tc>
          <w:tcPr>
            <w:tcW w:w="4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9,554,396</w:t>
            </w:r>
          </w:p>
        </w:tc>
      </w:tr>
      <w:tr>
        <w:trPr>
          <w:trHeight w:val="257"/>
        </w:trPr>
        <w:tc>
          <w:tcPr>
            <w:tcW w:w="29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128,135,680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127,427,911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377,636,979</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382,626,248</w:t>
            </w:r>
          </w:p>
        </w:tc>
      </w:tr>
      <w:tr>
        <w:trPr>
          <w:trHeight w:val="21"/>
        </w:trPr>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4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effective tax rate was 15.9% in the nine months ended September 30, 2019 compared to 15.2% for the same period in 2018. Generally, effective tax rates for these periods differ from statutory federal income tax rates, due to provisions for state and local income taxes, permanent tax differences, and the foreign-derived intangible income tax deduction and research and development tax credits. The increase in the effective tax rate for the nine months ended September 30, 2019 compared to the same period of 2018 was primarily</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a decrease in discrete tax benefits related to stock-based compensation in the current year and other tax planning strategies.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Automotive Products for the three and nine month periods ended September 30, 2019 and September 30, 2018:</w:t>
      </w:r>
    </w:p>
    <w:p>
      <w:pPr>
        <w:spacing w:after="0" w:line="29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tcPr>
          <w:p>
            <w:pPr>
              <w:jc w:val="right"/>
              <w:ind w:right="194"/>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700" w:type="dxa"/>
            <w:vAlign w:val="bottom"/>
          </w:tcPr>
          <w:p>
            <w:pPr>
              <w:jc w:val="right"/>
              <w:ind w:right="194"/>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194"/>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7"/>
                <w:szCs w:val="17"/>
                <w:color w:val="auto"/>
              </w:rPr>
            </w:pPr>
          </w:p>
        </w:tc>
        <w:tc>
          <w:tcPr>
            <w:tcW w:w="1720" w:type="dxa"/>
            <w:vAlign w:val="bottom"/>
          </w:tcPr>
          <w:p>
            <w:pPr>
              <w:jc w:val="right"/>
              <w:ind w:right="194"/>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7"/>
                <w:szCs w:val="17"/>
                <w:color w:val="auto"/>
              </w:rPr>
            </w:pPr>
          </w:p>
        </w:tc>
        <w:tc>
          <w:tcPr>
            <w:tcW w:w="1700" w:type="dxa"/>
            <w:vAlign w:val="bottom"/>
          </w:tcPr>
          <w:p>
            <w:pPr>
              <w:jc w:val="right"/>
              <w:ind w:right="194"/>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224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Automotive Products</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r>
      <w:tr>
        <w:trPr>
          <w:trHeight w:val="257"/>
        </w:trPr>
        <w:tc>
          <w:tcPr>
            <w:tcW w:w="2240" w:type="dxa"/>
            <w:vAlign w:val="bottom"/>
          </w:tcPr>
          <w:p>
            <w:pPr>
              <w:ind w:left="120"/>
              <w:spacing w:after="0"/>
              <w:rPr>
                <w:sz w:val="20"/>
                <w:szCs w:val="20"/>
                <w:color w:val="auto"/>
              </w:rPr>
            </w:pPr>
            <w:r>
              <w:rPr>
                <w:rFonts w:ascii="Arial" w:cs="Arial" w:eastAsia="Arial" w:hAnsi="Arial"/>
                <w:sz w:val="18"/>
                <w:szCs w:val="18"/>
                <w:color w:val="auto"/>
              </w:rPr>
              <w:t>U.S.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4"/>
              <w:spacing w:after="0"/>
              <w:rPr>
                <w:sz w:val="20"/>
                <w:szCs w:val="20"/>
                <w:color w:val="auto"/>
              </w:rPr>
            </w:pPr>
            <w:r>
              <w:rPr>
                <w:rFonts w:ascii="Arial" w:cs="Arial" w:eastAsia="Arial" w:hAnsi="Arial"/>
                <w:sz w:val="18"/>
                <w:szCs w:val="18"/>
                <w:color w:val="auto"/>
              </w:rPr>
              <w:t>145,798,028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54"/>
              <w:spacing w:after="0"/>
              <w:rPr>
                <w:sz w:val="20"/>
                <w:szCs w:val="20"/>
                <w:color w:val="auto"/>
              </w:rPr>
            </w:pPr>
            <w:r>
              <w:rPr>
                <w:rFonts w:ascii="Arial" w:cs="Arial" w:eastAsia="Arial" w:hAnsi="Arial"/>
                <w:sz w:val="18"/>
                <w:szCs w:val="18"/>
                <w:color w:val="auto"/>
              </w:rPr>
              <w:t>151,229,829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431,729,037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434,439,455</w:t>
            </w:r>
          </w:p>
        </w:tc>
      </w:tr>
      <w:tr>
        <w:trPr>
          <w:trHeight w:val="257"/>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74,047,596</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81,621,623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225,649,215</w:t>
            </w: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259,057,369</w:t>
            </w:r>
          </w:p>
        </w:tc>
      </w:tr>
      <w:tr>
        <w:trPr>
          <w:trHeight w:val="250"/>
        </w:trPr>
        <w:tc>
          <w:tcPr>
            <w:tcW w:w="2240" w:type="dxa"/>
            <w:vAlign w:val="bottom"/>
          </w:tcPr>
          <w:p>
            <w:pPr>
              <w:ind w:left="120"/>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60,641,977</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55,363,644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172,697,963</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153,843,723</w:t>
            </w:r>
          </w:p>
        </w:tc>
      </w:tr>
      <w:tr>
        <w:trPr>
          <w:trHeight w:val="263"/>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43,884,609</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28,410,998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130,473,702</w:t>
            </w: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73,868,425</w:t>
            </w:r>
          </w:p>
        </w:tc>
      </w:tr>
      <w:tr>
        <w:trPr>
          <w:trHeight w:val="250"/>
        </w:trPr>
        <w:tc>
          <w:tcPr>
            <w:tcW w:w="2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139,908,497</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132,558,353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416,154,496</w:t>
            </w: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427,186,273</w:t>
            </w:r>
          </w:p>
        </w:tc>
      </w:tr>
      <w:tr>
        <w:trPr>
          <w:trHeight w:val="25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464,280,707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449,184,447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1,376,704,413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1,348,395,245</w:t>
            </w:r>
          </w:p>
        </w:tc>
      </w:tr>
      <w:tr>
        <w:trPr>
          <w:trHeight w:val="250"/>
        </w:trPr>
        <w:tc>
          <w:tcPr>
            <w:tcW w:w="224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Products (U.S.)</w:t>
            </w:r>
          </w:p>
        </w:tc>
        <w:tc>
          <w:tcPr>
            <w:tcW w:w="100" w:type="dxa"/>
            <w:vAlign w:val="bottom"/>
            <w:tcBorders>
              <w:bottom w:val="single" w:sz="8" w:color="BFE4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13,480,710</w:t>
            </w: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11,068,986</w:t>
            </w:r>
          </w:p>
        </w:tc>
        <w:tc>
          <w:tcPr>
            <w:tcW w:w="80" w:type="dxa"/>
            <w:vAlign w:val="bottom"/>
            <w:tcBorders>
              <w:bottom w:val="single" w:sz="8" w:color="BFE4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38,357,355</w:t>
            </w: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32,259,733</w:t>
            </w:r>
          </w:p>
        </w:tc>
      </w:tr>
      <w:tr>
        <w:trPr>
          <w:trHeight w:val="277"/>
        </w:trPr>
        <w:tc>
          <w:tcPr>
            <w:tcW w:w="224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477,761,417</w:t>
            </w: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BFE4FF"/>
          </w:tcPr>
          <w:p>
            <w:pPr>
              <w:jc w:val="right"/>
              <w:ind w:right="54"/>
              <w:spacing w:after="0"/>
              <w:rPr>
                <w:sz w:val="20"/>
                <w:szCs w:val="20"/>
                <w:color w:val="auto"/>
              </w:rPr>
            </w:pPr>
            <w:r>
              <w:rPr>
                <w:rFonts w:ascii="Arial" w:cs="Arial" w:eastAsia="Arial" w:hAnsi="Arial"/>
                <w:sz w:val="18"/>
                <w:szCs w:val="18"/>
                <w:color w:val="auto"/>
              </w:rPr>
              <w:t>460,253,433</w:t>
            </w:r>
          </w:p>
        </w:tc>
        <w:tc>
          <w:tcPr>
            <w:tcW w:w="80" w:type="dxa"/>
            <w:vAlign w:val="bottom"/>
            <w:shd w:val="clear" w:color="auto" w:fill="BFE4FF"/>
          </w:tcPr>
          <w:p>
            <w:pPr>
              <w:spacing w:after="0"/>
              <w:rPr>
                <w:sz w:val="24"/>
                <w:szCs w:val="24"/>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1,415,061,768</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BFE4FF"/>
          </w:tcPr>
          <w:p>
            <w:pPr>
              <w:jc w:val="right"/>
              <w:ind w:right="54"/>
              <w:spacing w:after="0"/>
              <w:rPr>
                <w:sz w:val="20"/>
                <w:szCs w:val="20"/>
                <w:color w:val="auto"/>
              </w:rPr>
            </w:pPr>
            <w:r>
              <w:rPr>
                <w:rFonts w:ascii="Arial" w:cs="Arial" w:eastAsia="Arial" w:hAnsi="Arial"/>
                <w:sz w:val="18"/>
                <w:szCs w:val="18"/>
                <w:color w:val="auto"/>
              </w:rPr>
              <w:t>1,380,654,978</w:t>
            </w:r>
          </w:p>
        </w:tc>
      </w:tr>
      <w:tr>
        <w:trPr>
          <w:trHeight w:val="20"/>
        </w:trPr>
        <w:tc>
          <w:tcPr>
            <w:tcW w:w="22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3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nine month periods ended September 30, 2019 and September 30, 2018:</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2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23"/>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Automotive Segment</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Automotive Mirrors &amp;</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418,746,334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399,732,577</w:t>
            </w:r>
          </w:p>
        </w:tc>
        <w:tc>
          <w:tcPr>
            <w:tcW w:w="2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1,241,147,268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1,200,521,589</w:t>
            </w:r>
          </w:p>
        </w:tc>
        <w:tc>
          <w:tcPr>
            <w:tcW w:w="0" w:type="dxa"/>
            <w:vAlign w:val="bottom"/>
          </w:tcPr>
          <w:p>
            <w:pPr>
              <w:spacing w:after="0"/>
              <w:rPr>
                <w:sz w:val="1"/>
                <w:szCs w:val="1"/>
                <w:color w:val="auto"/>
              </w:rPr>
            </w:pPr>
          </w:p>
        </w:tc>
      </w:tr>
      <w:tr>
        <w:trPr>
          <w:trHeight w:val="217"/>
        </w:trPr>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Electronics</w:t>
            </w: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HomeLink Modules*</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45,534,373</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49,451,870</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135,557,145</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147,873,656</w:t>
            </w:r>
          </w:p>
        </w:tc>
        <w:tc>
          <w:tcPr>
            <w:tcW w:w="0" w:type="dxa"/>
            <w:vAlign w:val="bottom"/>
          </w:tcPr>
          <w:p>
            <w:pPr>
              <w:spacing w:after="0"/>
              <w:rPr>
                <w:sz w:val="1"/>
                <w:szCs w:val="1"/>
                <w:color w:val="auto"/>
              </w:rPr>
            </w:pPr>
          </w:p>
        </w:tc>
      </w:tr>
      <w:tr>
        <w:trPr>
          <w:trHeight w:val="27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464,280,707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449,184,447</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1,376,704,413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1,348,395,245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80" w:type="dxa"/>
            <w:vAlign w:val="bottom"/>
          </w:tcPr>
          <w:p>
            <w:pPr>
              <w:ind w:left="220"/>
              <w:spacing w:after="0"/>
              <w:rPr>
                <w:sz w:val="20"/>
                <w:szCs w:val="20"/>
                <w:color w:val="auto"/>
              </w:rPr>
            </w:pPr>
            <w:r>
              <w:rPr>
                <w:rFonts w:ascii="Arial" w:cs="Arial" w:eastAsia="Arial" w:hAnsi="Arial"/>
                <w:sz w:val="18"/>
                <w:szCs w:val="18"/>
                <w:color w:val="auto"/>
              </w:rPr>
              <w:t>Fire Protection Products</w:t>
            </w:r>
          </w:p>
        </w:tc>
        <w:tc>
          <w:tcPr>
            <w:tcW w:w="1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5,977,245</w:t>
            </w:r>
          </w:p>
        </w:tc>
        <w:tc>
          <w:tcPr>
            <w:tcW w:w="22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5,918,085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18,188,744</w:t>
            </w:r>
          </w:p>
        </w:tc>
        <w:tc>
          <w:tcPr>
            <w:tcW w:w="220" w:type="dxa"/>
            <w:vAlign w:val="bottom"/>
          </w:tcPr>
          <w:p>
            <w:pPr>
              <w:spacing w:after="0"/>
              <w:rPr>
                <w:sz w:val="21"/>
                <w:szCs w:val="21"/>
                <w:color w:val="auto"/>
              </w:rPr>
            </w:pPr>
          </w:p>
        </w:tc>
        <w:tc>
          <w:tcPr>
            <w:tcW w:w="1580" w:type="dxa"/>
            <w:vAlign w:val="bottom"/>
          </w:tcPr>
          <w:p>
            <w:pPr>
              <w:jc w:val="right"/>
              <w:ind w:right="54"/>
              <w:spacing w:after="0"/>
              <w:rPr>
                <w:sz w:val="20"/>
                <w:szCs w:val="20"/>
                <w:color w:val="auto"/>
              </w:rPr>
            </w:pPr>
            <w:r>
              <w:rPr>
                <w:rFonts w:ascii="Arial" w:cs="Arial" w:eastAsia="Arial" w:hAnsi="Arial"/>
                <w:sz w:val="18"/>
                <w:szCs w:val="18"/>
                <w:color w:val="auto"/>
              </w:rPr>
              <w:t>17,010,954</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Windows Products</w:t>
            </w:r>
          </w:p>
        </w:tc>
        <w:tc>
          <w:tcPr>
            <w:tcW w:w="1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7,503,465</w:t>
            </w:r>
          </w:p>
        </w:tc>
        <w:tc>
          <w:tcPr>
            <w:tcW w:w="2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5,150,901</w:t>
            </w: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20,168,611</w:t>
            </w: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15,248,779</w:t>
            </w:r>
          </w:p>
        </w:tc>
        <w:tc>
          <w:tcPr>
            <w:tcW w:w="0" w:type="dxa"/>
            <w:vAlign w:val="bottom"/>
          </w:tcPr>
          <w:p>
            <w:pPr>
              <w:spacing w:after="0"/>
              <w:rPr>
                <w:sz w:val="1"/>
                <w:szCs w:val="1"/>
                <w:color w:val="auto"/>
              </w:rPr>
            </w:pPr>
          </w:p>
        </w:tc>
      </w:tr>
      <w:tr>
        <w:trPr>
          <w:trHeight w:val="257"/>
        </w:trPr>
        <w:tc>
          <w:tcPr>
            <w:tcW w:w="268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13,480,710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11,068,986</w:t>
            </w:r>
          </w:p>
        </w:tc>
        <w:tc>
          <w:tcPr>
            <w:tcW w:w="2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38,357,355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32,259,733</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(15) Leases</w:t>
      </w:r>
    </w:p>
    <w:p>
      <w:pPr>
        <w:spacing w:after="0" w:line="252" w:lineRule="exact"/>
        <w:rPr>
          <w:sz w:val="20"/>
          <w:szCs w:val="20"/>
          <w:color w:val="auto"/>
        </w:rPr>
      </w:pPr>
    </w:p>
    <w:p>
      <w:pPr>
        <w:jc w:val="both"/>
        <w:ind w:left="260"/>
        <w:spacing w:after="0" w:line="25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September 30, 2019 was 2 years, with a weighted average discount rate of 2.9%.</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minimum lease payments for operating leases as of September 30,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177800</wp:posOffset>
            </wp:positionV>
            <wp:extent cx="62687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8720" cy="137160"/>
                    </a:xfrm>
                    <a:prstGeom prst="rect">
                      <a:avLst/>
                    </a:prstGeom>
                    <a:noFill/>
                  </pic:spPr>
                </pic:pic>
              </a:graphicData>
            </a:graphic>
          </wp:anchor>
        </w:drawing>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26035</wp:posOffset>
            </wp:positionV>
            <wp:extent cx="6268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183" w:lineRule="exact"/>
        <w:rPr>
          <w:sz w:val="20"/>
          <w:szCs w:val="20"/>
          <w:color w:val="auto"/>
        </w:rPr>
      </w:pPr>
    </w:p>
    <w:tbl>
      <w:tblPr>
        <w:tblLayout w:type="fixed"/>
        <w:tblInd w:w="260" w:type="dxa"/>
        <w:tblCellMar>
          <w:top w:w="0" w:type="dxa"/>
          <w:left w:w="0" w:type="dxa"/>
          <w:bottom w:w="0" w:type="dxa"/>
          <w:right w:w="0" w:type="dxa"/>
        </w:tblCellMar>
      </w:tblP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361,604</w:t>
            </w:r>
          </w:p>
        </w:tc>
        <w:tc>
          <w:tcPr>
            <w:tcW w:w="20" w:type="dxa"/>
            <w:vAlign w:val="bottom"/>
          </w:tcPr>
          <w:p>
            <w:pPr>
              <w:spacing w:after="0"/>
              <w:rPr>
                <w:sz w:val="22"/>
                <w:szCs w:val="22"/>
                <w:color w:val="auto"/>
              </w:rPr>
            </w:pP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575,861</w:t>
            </w:r>
          </w:p>
        </w:tc>
        <w:tc>
          <w:tcPr>
            <w:tcW w:w="20" w:type="dxa"/>
            <w:vAlign w:val="bottom"/>
          </w:tcPr>
          <w:p>
            <w:pPr>
              <w:spacing w:after="0"/>
              <w:rPr>
                <w:sz w:val="21"/>
                <w:szCs w:val="21"/>
                <w:color w:val="auto"/>
              </w:rPr>
            </w:pPr>
          </w:p>
        </w:tc>
      </w:tr>
      <w:tr>
        <w:trPr>
          <w:trHeight w:val="26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143,581</w:t>
            </w:r>
          </w:p>
        </w:tc>
        <w:tc>
          <w:tcPr>
            <w:tcW w:w="20" w:type="dxa"/>
            <w:vAlign w:val="bottom"/>
          </w:tcPr>
          <w:p>
            <w:pPr>
              <w:spacing w:after="0"/>
              <w:rPr>
                <w:sz w:val="22"/>
                <w:szCs w:val="22"/>
                <w:color w:val="auto"/>
              </w:rPr>
            </w:pP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57,143</w:t>
            </w:r>
          </w:p>
        </w:tc>
        <w:tc>
          <w:tcPr>
            <w:tcW w:w="20" w:type="dxa"/>
            <w:vAlign w:val="bottom"/>
          </w:tcPr>
          <w:p>
            <w:pPr>
              <w:spacing w:after="0"/>
              <w:rPr>
                <w:sz w:val="21"/>
                <w:szCs w:val="21"/>
                <w:color w:val="auto"/>
              </w:rPr>
            </w:pPr>
          </w:p>
        </w:tc>
      </w:tr>
      <w:tr>
        <w:trPr>
          <w:trHeight w:val="26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11,130</w:t>
            </w:r>
          </w:p>
        </w:tc>
        <w:tc>
          <w:tcPr>
            <w:tcW w:w="20" w:type="dxa"/>
            <w:vAlign w:val="bottom"/>
          </w:tcPr>
          <w:p>
            <w:pPr>
              <w:spacing w:after="0"/>
              <w:rPr>
                <w:sz w:val="22"/>
                <w:szCs w:val="22"/>
                <w:color w:val="auto"/>
              </w:rPr>
            </w:pPr>
          </w:p>
        </w:tc>
      </w:tr>
      <w:tr>
        <w:trPr>
          <w:trHeight w:val="250"/>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12,797</w:t>
            </w:r>
          </w:p>
        </w:tc>
        <w:tc>
          <w:tcPr>
            <w:tcW w:w="20" w:type="dxa"/>
            <w:vAlign w:val="bottom"/>
          </w:tcPr>
          <w:p>
            <w:pPr>
              <w:spacing w:after="0"/>
              <w:rPr>
                <w:sz w:val="21"/>
                <w:szCs w:val="21"/>
                <w:color w:val="auto"/>
              </w:rPr>
            </w:pPr>
          </w:p>
        </w:tc>
      </w:tr>
      <w:tr>
        <w:trPr>
          <w:trHeight w:val="257"/>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1,162,116</w:t>
            </w:r>
          </w:p>
        </w:tc>
        <w:tc>
          <w:tcPr>
            <w:tcW w:w="20" w:type="dxa"/>
            <w:vAlign w:val="bottom"/>
          </w:tcPr>
          <w:p>
            <w:pPr>
              <w:spacing w:after="0"/>
              <w:rPr>
                <w:sz w:val="22"/>
                <w:szCs w:val="22"/>
                <w:color w:val="auto"/>
              </w:rPr>
            </w:pPr>
          </w:p>
        </w:tc>
      </w:tr>
      <w:tr>
        <w:trPr>
          <w:trHeight w:val="250"/>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(20,423)</w:t>
            </w:r>
          </w:p>
        </w:tc>
        <w:tc>
          <w:tcPr>
            <w:tcW w:w="20" w:type="dxa"/>
            <w:vAlign w:val="bottom"/>
          </w:tcPr>
          <w:p>
            <w:pPr>
              <w:spacing w:after="0"/>
              <w:rPr>
                <w:sz w:val="21"/>
                <w:szCs w:val="21"/>
                <w:color w:val="auto"/>
              </w:rPr>
            </w:pPr>
          </w:p>
        </w:tc>
      </w:tr>
      <w:tr>
        <w:trPr>
          <w:trHeight w:val="250"/>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1,141,693</w:t>
            </w:r>
          </w:p>
        </w:tc>
        <w:tc>
          <w:tcPr>
            <w:tcW w:w="20" w:type="dxa"/>
            <w:vAlign w:val="bottom"/>
          </w:tcPr>
          <w:p>
            <w:pPr>
              <w:spacing w:after="0"/>
              <w:rPr>
                <w:sz w:val="21"/>
                <w:szCs w:val="21"/>
                <w:color w:val="auto"/>
              </w:rPr>
            </w:pPr>
          </w:p>
        </w:tc>
      </w:tr>
      <w:tr>
        <w:trPr>
          <w:trHeight w:val="621"/>
        </w:trPr>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Reported as of September 30, 2019</w:t>
            </w:r>
          </w:p>
        </w:tc>
        <w:tc>
          <w:tcPr>
            <w:tcW w:w="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r>
      <w:tr>
        <w:trPr>
          <w:trHeight w:val="256"/>
        </w:trPr>
        <w:tc>
          <w:tcPr>
            <w:tcW w:w="7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870,930</w:t>
            </w:r>
          </w:p>
        </w:tc>
        <w:tc>
          <w:tcPr>
            <w:tcW w:w="20" w:type="dxa"/>
            <w:vAlign w:val="bottom"/>
            <w:shd w:val="clear" w:color="auto" w:fill="CCEEFF"/>
          </w:tcPr>
          <w:p>
            <w:pPr>
              <w:spacing w:after="0"/>
              <w:rPr>
                <w:sz w:val="22"/>
                <w:szCs w:val="22"/>
                <w:color w:val="auto"/>
              </w:rPr>
            </w:pPr>
          </w:p>
        </w:tc>
      </w:tr>
      <w:tr>
        <w:trPr>
          <w:trHeight w:val="250"/>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270,763</w:t>
            </w:r>
          </w:p>
        </w:tc>
        <w:tc>
          <w:tcPr>
            <w:tcW w:w="20" w:type="dxa"/>
            <w:vAlign w:val="bottom"/>
            <w:tcBorders>
              <w:bottom w:val="single" w:sz="8" w:color="auto"/>
            </w:tcBorders>
          </w:tcPr>
          <w:p>
            <w:pPr>
              <w:spacing w:after="0"/>
              <w:rPr>
                <w:sz w:val="21"/>
                <w:szCs w:val="21"/>
                <w:color w:val="auto"/>
              </w:rPr>
            </w:pPr>
          </w:p>
        </w:tc>
      </w:tr>
      <w:tr>
        <w:trPr>
          <w:trHeight w:val="250"/>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1,141,693</w:t>
            </w:r>
          </w:p>
        </w:tc>
        <w:tc>
          <w:tcPr>
            <w:tcW w:w="20" w:type="dxa"/>
            <w:vAlign w:val="bottom"/>
            <w:tcBorders>
              <w:bottom w:val="single" w:sz="8" w:color="auto"/>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THIRD QUARTER 2019 VERSUS THIRD QUARTER 2018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third quarter of 2019 increased by $17.5 million or 4% when compared with the third quarter of 2018.</w:t>
      </w:r>
    </w:p>
    <w:p>
      <w:pPr>
        <w:spacing w:after="0" w:line="16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Automotive net sales for the third quarter of 2019 increased 3% to $464.3 million, compared with automotive net sales of $449.2 million in the third quarter of 2018. This quarter over quarter growth was driven primarily by a 6% quarter over quarter increase in automotive mirror unit shipments. The 6% increase in automotive mirror unit shipments in the third quarter of 2019 to 10.8 million units compared with 10.2 million units in the third quarter of 2018, was primarily due to an increase of 18% for the Company's exterior auto-dimming mirrors unit shipments on a quarter over quarter basis. The quarter over quarter growth in revenue was partially offset by Company specific product revenue headwinds of approximately 350 basis points when compared to the same prior year quarter, in addition to the GM strike affecting the Company's shipments in the third quarter of 2019. The GM strike began on September 15, 2019 and, as a result, caused approximately 200 basis points in lost revenue in the third quarter of 2019.</w:t>
      </w:r>
    </w:p>
    <w:p>
      <w:pPr>
        <w:spacing w:after="0" w:line="233" w:lineRule="exact"/>
        <w:rPr>
          <w:sz w:val="20"/>
          <w:szCs w:val="20"/>
          <w:color w:val="auto"/>
        </w:rPr>
      </w:pPr>
    </w:p>
    <w:p>
      <w:pPr>
        <w:ind w:left="660" w:right="300"/>
        <w:spacing w:after="0" w:line="26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nine months ended September 30, 2019, and 2018 </w:t>
      </w:r>
      <w:r>
        <w:rPr>
          <w:rFonts w:ascii="Arial" w:cs="Arial" w:eastAsia="Arial" w:hAnsi="Arial"/>
          <w:sz w:val="18"/>
          <w:szCs w:val="18"/>
          <w:i w:val="1"/>
          <w:iCs w:val="1"/>
          <w:color w:val="auto"/>
        </w:rPr>
        <w:t>(in thousands).</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32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0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3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Change</w:t>
            </w:r>
          </w:p>
        </w:tc>
      </w:tr>
      <w:tr>
        <w:trPr>
          <w:trHeight w:val="25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9"/>
              </w:rPr>
              <w:t>1%</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6,571</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6,636</w:t>
            </w: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w:t>
            </w:r>
          </w:p>
        </w:tc>
      </w:tr>
      <w:tr>
        <w:trPr>
          <w:trHeight w:val="25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28%</w:t>
            </w: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3,961</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2,871</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38%</w:t>
            </w:r>
          </w:p>
        </w:tc>
      </w:tr>
      <w:tr>
        <w:trPr>
          <w:trHeight w:val="257"/>
        </w:trPr>
        <w:tc>
          <w:tcPr>
            <w:tcW w:w="3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11%</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10,532</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9,507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r>
      <w:tr>
        <w:trPr>
          <w:trHeight w:val="270"/>
        </w:trPr>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5,154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9"/>
              </w:rPr>
              <w:t>1%</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15,785</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15,801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13%</w:t>
            </w: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6,025</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6,091</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w:t>
            </w:r>
          </w:p>
        </w:tc>
      </w:tr>
      <w:tr>
        <w:trPr>
          <w:trHeight w:val="257"/>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7,290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9"/>
              </w:rPr>
              <w:t>4%</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21,810</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21,892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99"/>
              </w:rPr>
              <w:t>1%</w:t>
            </w:r>
          </w:p>
        </w:tc>
        <w:tc>
          <w:tcPr>
            <w:tcW w:w="10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22,356</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22,437</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18%</w:t>
            </w: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9,986</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8,962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11%</w:t>
            </w:r>
          </w:p>
        </w:tc>
      </w:tr>
      <w:tr>
        <w:trPr>
          <w:trHeight w:val="282"/>
        </w:trPr>
        <w:tc>
          <w:tcPr>
            <w:tcW w:w="3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Auto-Dimming Mirror Units</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color w:val="auto"/>
                <w:w w:val="99"/>
              </w:rPr>
              <w:t>6%</w:t>
            </w:r>
          </w:p>
        </w:tc>
        <w:tc>
          <w:tcPr>
            <w:tcW w:w="10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32,342</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31,399</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Other net sales were $13.5 million in the third quarter of 2019, an increase of 22%, compared to $11.1 million in the third quarter of 2018. This increase is in large part attributable to a 46% quarter over quarter improvement in variable dimmable aircraft windows sales, which increased to $7.5 million in the third quarter of 2019 from $5.2 million in the third quarter of 2018. Fire protection sales increased by 1% in the third quarter of 2019 to $6.0 million, compared to $5.9 million in the third quarter of 2018.</w:t>
      </w:r>
    </w:p>
    <w:p>
      <w:pPr>
        <w:spacing w:after="0" w:line="21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62.3% in the third quarter of 2019 versus 62.4%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2018. The quarter over quarter net increase in the gross profit margin was primarily the result of annual customer price reductions and additional tariffs enacted over the course of 2019 impacting the third quarter, which was partially offset by improvements in product mix related to certain advance feature products as well as purchasing cost reductions. On a quarter over quarter basis, annual customer price reductions had a negative impact of approximately 200 - 250 basis points and the above-referenced enacted tariffs had a negative impact of approximately 50 - 100 basis points. Purchasing cost reductions had a positive impact of approximately 100 - 150 basis points, and</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2" w:name="page23"/>
    <w:bookmarkEnd w:id="22"/>
    <w:p>
      <w:pPr>
        <w:jc w:val="both"/>
        <w:spacing w:after="0" w:line="262" w:lineRule="auto"/>
        <w:rPr>
          <w:sz w:val="20"/>
          <w:szCs w:val="20"/>
          <w:color w:val="auto"/>
        </w:rPr>
      </w:pPr>
      <w:r>
        <w:rPr>
          <w:rFonts w:ascii="Arial" w:cs="Arial" w:eastAsia="Arial" w:hAnsi="Arial"/>
          <w:sz w:val="18"/>
          <w:szCs w:val="18"/>
          <w:color w:val="auto"/>
        </w:rPr>
        <w:t>product mix improvements independently had a positive impact of approximately 150 - 200 basis points on a quarter over quarter basis.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("E, R &amp; D") for the third quarter of 2019 increased by 9% or</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when compared with the third quarter of 2018, primarily due to increased staffing levels and benefits, which continue to support growth and the development of new business and technology advances.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("S, G &amp; A") expenses increased by 22% or $4.1 million for the third quarter of 2019 compared to the third quarter of 2018. S, G &amp; A expenses were at approximately 5% of net sales in the third quarter of 2019, up from 4% of net sales in the third quarter of 2018. S, G, &amp; A expenses increased on a quarter over quarter basis primarily due to increased headcount and other resources required to fund development and launch of new products, travel and other resources associated with mitigation of tariffs, increased legal and professional fees associated with a minor acquisition of new technology, and ongoing focus on tax planning.</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operating expenses were $52.2 million in the third quarter of 2019, which increased by 15% or $6.6 million, from $45.6 million in the third quarter of 2018.</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third quarter of 2019 increased by $0.3 million when compared with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15.0% in the third quarter of 2019 compared to 14.7% for same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effective tax rates for these quarters differ from statutory federal income tax rates, due to provisions for state and local income taxes, permanent tax differences, research and development tax credits and the foreign-derived intangible income tax deduction.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third quarter of 2019 was $111.9 million, up from $111.3 million the third quarter of 2018.</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2019 VERSUS NINE MONTHS ENDED SEPTEMBER 30, 2018</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nine months ended September 30, 2019 increased by $34.4 million or 2%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Automotive net sales for the first nine months of 2019 were $1.38 billion, up 2% compared with automotive net sales of $1.35 billion for the first nine months of 2018, driven by a 3% period over period increase in automotive mirror unit shipments. North American automotive mirror shipments in the nine months ended September 30, 2019 increased 11% to 10.5 million units compared with the same period in 2018, primarily due to a period over period increase of 38% for North American unit shipments of the Company's exterior auto-dimming mirrors.</w:t>
      </w: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62.8% for the first nine months of 2019,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62.5% in the same period last year. The period over period decrease in the gross profit margin was primarily the result of annual customer price reductions and tariffs enacted in the second half of calendar year 2018 and in 2019, which was partially offset by improvements in product mix related to certain advance feature products as well as purchasing cost reductions. On a period over period basis, annual customer price reductions had a negative impact of approximately 150 - 200 basis points and the above-referenced enacted tariffs had a negative impact of approximately 50 - 100 basis points. Purchasing cost reductions and product mix improvements each independently had a positive impact on a period over period basis of approximately 100 - 150 basis points.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nine months ended September 30, 2019 increased 7% or $5.7 million when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same period last year, primarily due to increased staffing levels related to development and launch of new business.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 G &amp; A expenses for the first nine months of 2019 increased 13% or $7.4 million when compared with the same period last year, primarily due to increases in staffing levels and benefits, travel and other resources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949" w:right="239" w:bottom="1440" w:gutter="0" w:footer="0" w:header="0"/>
        </w:sectPr>
      </w:pPr>
    </w:p>
    <w:bookmarkStart w:id="23" w:name="page24"/>
    <w:bookmarkEnd w:id="23"/>
    <w:p>
      <w:pPr>
        <w:jc w:val="both"/>
        <w:spacing w:after="0" w:line="262" w:lineRule="auto"/>
        <w:rPr>
          <w:sz w:val="20"/>
          <w:szCs w:val="20"/>
          <w:color w:val="auto"/>
        </w:rPr>
      </w:pPr>
      <w:r>
        <w:rPr>
          <w:rFonts w:ascii="Arial" w:cs="Arial" w:eastAsia="Arial" w:hAnsi="Arial"/>
          <w:sz w:val="18"/>
          <w:szCs w:val="18"/>
          <w:color w:val="auto"/>
        </w:rPr>
        <w:t>associated with mitigation of tariffs, increased legal and professional fees associated with a minor acquisition of new technology, and ongoing focus on tax planning.</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nine months ended September 30, 2019 increased by $0.5 million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primarily due to lower period over period interest expense compared to the first nine months of 2018.</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15.9% for the nine months ended September 30, 2019 compared to 15.2%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2018. The increase in the effective tax rate for the nine months ended September 30, 2019 compared to the same period of 2018 is primarily due to a decrease in discrete tax benefits related to equity compensation in the current year.</w:t>
      </w:r>
    </w:p>
    <w:p>
      <w:pPr>
        <w:spacing w:after="0" w:line="9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for the nine months ended September 30, 2019 decreased by $6.5 million or 2% to $325.1 million versus</w:t>
      </w:r>
      <w:r>
        <w:rPr>
          <w:rFonts w:ascii="Arial" w:cs="Arial" w:eastAsia="Arial" w:hAnsi="Arial"/>
          <w:sz w:val="17"/>
          <w:szCs w:val="17"/>
          <w:i w:val="1"/>
          <w:iCs w:val="1"/>
          <w:color w:val="auto"/>
        </w:rPr>
        <w:t xml:space="preserve"> </w:t>
      </w:r>
      <w:r>
        <w:rPr>
          <w:rFonts w:ascii="Arial" w:cs="Arial" w:eastAsia="Arial" w:hAnsi="Arial"/>
          <w:sz w:val="17"/>
          <w:szCs w:val="17"/>
          <w:color w:val="auto"/>
        </w:rPr>
        <w:t>$331.6 million in the same period last year, due to the decrease in gross margin and increases in operating expenses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cash and cash equivalents as of September 30, 2019 were $ 260.2 million, which increased $43.1 million compared to $217.0 million as of December 31, 2018. The increase was primarily due to positive cash flows from operations, which was partially offset by share repurchases, dividend payments and capital expenditures during the nine months ended September 30, 2019.</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investments as of September 30, 2019 were $ 207.2 million, up from $169.4 million as of December 31, 2018, and Long-term investments were $103.0 million as of September 30, 2019, compared to $138.0 million as of December 31, 2018. Fluctuations in the two balances were driven by changes in fixed income investment maturities within the investment portfolio.</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as of September 30, 2019 increased approximately $39.6 million compared to December 31, 2018, primarily due to the higher sales during the most recently completed quarter, as well as timing of sales within each of the comparative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September 30, 2019 were $238.7 million, compared to $225.3 million as of December 31, 2018.</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payable as of September 30, 2019 increased approximately $2.5 million to $95.3 million when compared to December 31, 2018.</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Accrued liabilities as of September 30, 2019 increased approximately $10.6 million compared to December 31, 2018, primarily due to an increase in accrued salaries and wages and tax liabilities due to timing of certain wage and tax payments.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 from operating activities for the nine months ended September 30, 2019 decreased $14.3 million to $383.9 million, compared with $398.2 million during the same nine month period last year, primarily due to lower net income and changes in working capital.</w:t>
      </w:r>
    </w:p>
    <w:p>
      <w:pPr>
        <w:spacing w:after="0" w:line="1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Capital expenditures for the nine months ended September 30, 2019 were approximately $58.3 million, compared with approximately $68.8 million for the same nine month period last year.</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1098" w:right="239" w:bottom="1440" w:gutter="0" w:footer="0" w:header="0"/>
        </w:sectPr>
      </w:pPr>
    </w:p>
    <w:bookmarkStart w:id="24" w:name="page25"/>
    <w:bookmarkEnd w:id="24"/>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805,191,273</w:t>
            </w:r>
          </w:p>
        </w:tc>
        <w:tc>
          <w:tcPr>
            <w:tcW w:w="1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681,769,335</w:t>
            </w:r>
          </w:p>
        </w:tc>
      </w:tr>
      <w:tr>
        <w:trPr>
          <w:trHeight w:val="25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103,025,468</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137,979,082</w:t>
            </w:r>
          </w:p>
        </w:tc>
      </w:tr>
      <w:tr>
        <w:trPr>
          <w:trHeight w:val="27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908,216,741</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819,748,417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As previously disclosed,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and nine months ended September 30, 2019, the Company repurchased 3,569,577 and 11,369,224 shares, respectively. The Company has 22,472,033 shares remaining under the plan as of September 30, 2019, as is further detailed in </w:t>
      </w:r>
      <w:hyperlink w:anchor="page34">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00" w:lineRule="exact"/>
        <w:rPr>
          <w:sz w:val="20"/>
          <w:szCs w:val="20"/>
          <w:color w:val="auto"/>
        </w:rPr>
      </w:pP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overall revenue growth during the third quarter of 2019 out-paced word-wide light vehicle production growth by between approximately seven and nine percent (7%-9%), in large part due to the many different product launches that have been executed in 2018 and year to date in 2019. The growth in revenue was partially offset by Company specific product revenue headwinds of approximately 350 basis points when compared to the same prior year quarter, in addition to the GM strike affecting the Company's unit shipments. The GM strike began on September 15, 2019 and, as a result, caused approximately 200 basis points in lost revenue in the third quarter of 2019. The Company's unit and revenue growth continue to be driven by the Company's electrochromic technology, the success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well as other electronic features, such as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Interior and exterior auto-dimming mirrors and advanced electronic features were launched on 16 net new vehicle models during the third quarter of 2019. Advanced feature launches in the quarter were led by new launches of HomeLink</w:t>
      </w:r>
      <w:r>
        <w:rPr>
          <w:rFonts w:ascii="Arial" w:cs="Arial" w:eastAsia="Arial" w:hAnsi="Arial"/>
          <w:sz w:val="23"/>
          <w:szCs w:val="23"/>
          <w:color w:val="auto"/>
          <w:vertAlign w:val="superscript"/>
        </w:rPr>
        <w:t>®</w:t>
      </w:r>
      <w:r>
        <w:rPr>
          <w:rFonts w:ascii="Arial" w:cs="Arial" w:eastAsia="Arial" w:hAnsi="Arial"/>
          <w:sz w:val="18"/>
          <w:szCs w:val="18"/>
          <w:color w:val="auto"/>
        </w:rPr>
        <w:t>, where there were 7 net new nameplate launches. During the third quarter of 2019 the Company launched base interior auto-dimming mirrors on 5 new nameplates for domestic China automaker customers. These nameplate launches represent further penetration of the Company's core auto-dimming technology into the China market.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7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1440" w:right="239" w:bottom="1440" w:gutter="0" w:footer="0" w:header="0"/>
        </w:sectPr>
      </w:pPr>
    </w:p>
    <w:bookmarkStart w:id="25" w:name="page26"/>
    <w:bookmarkEnd w:id="25"/>
    <w:p>
      <w:pPr>
        <w:jc w:val="both"/>
        <w:spacing w:after="0" w:line="238" w:lineRule="auto"/>
        <w:rPr>
          <w:sz w:val="20"/>
          <w:szCs w:val="20"/>
          <w:color w:val="auto"/>
        </w:rPr>
      </w:pPr>
      <w:r>
        <w:rPr>
          <w:rFonts w:ascii="Arial" w:cs="Arial" w:eastAsia="Arial" w:hAnsi="Arial"/>
          <w:sz w:val="18"/>
          <w:szCs w:val="18"/>
          <w:color w:val="auto"/>
        </w:rPr>
        <w:t>As of the third quarter of 2019,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five automaker customers, which are General Motors, Subaru, Toyota, Nissan, and Jaguar Land Rover. The launches for Jaguar Land Rover are the first launches with a European based OEM and include product shipments that will be used for global applications on these vehicles. In the third quarter of 2019, the Company launched one additional nameplate, which means the Company is currently shipping on 31 vehicle nameplates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During the third quarter of 2019, the Company was also able to secure its 10th OEM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continues to see interest from other automotive customers and is negotiating with other customers on an on-going basis.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allow automakers to use cameras as an option to replace conventional rearview mirrors within the United States. NHTSA responded to this petition on June 30, 2016 with a letter requesting additional information, and noted on October 10, 2019 that NHTSA had not received a complete response to the letter.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2018, the Office of Management and Budget published its regulatory and deregulatory agenda, which included a reference to a prerule stage for NHTSA related to amending the rear visibility standard to allow the option for camera-monitor systems to replace mirrors. Also,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As of January 2017, CMS are also permitted as an alternative to replace mirrors in the Korean market. Notwithstanding the foregoing, the Company continues to believe rearview mirrors provide a robust, simple and cost effective means to view</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949" w:right="2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18"/>
          <w:szCs w:val="18"/>
          <w:color w:val="auto"/>
        </w:rPr>
        <w:t>the surrounding areas of a vehicle and remain the primary safety function for rear vision.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3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219"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which uses both RF and wireless cloud-based connectivity to deliver complete vehicle-to-home automation. With the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app on the user’s smartphone via Bluetooth Low Energy. The app contains predefined, user-programmed actions, from single device operations to entire home automation scenes. The app, in turn, communicates to the home’s smart hub over the cloud server network and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the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 markets like China. The unique attributes of the China market allow for potential new use cases of these products and offer what the Company believes to be a real opportunity for growth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into the Company's rearview mirrors. In January 2017, the Company signed an extension of its agreement in the ordinary course of business, which enables the Company to offer the Integrated Toll Module system in Canada and Mexico. In September 2019, the Company</w:t>
      </w:r>
    </w:p>
    <w:p>
      <w:pPr>
        <w:spacing w:after="0" w:line="1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signed a new agreement with TransCore in the ordinary course of business which extended the term of the partnership.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 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In the first quarter of 2019, the Company</w:t>
      </w:r>
    </w:p>
    <w:p>
      <w:pPr>
        <w:spacing w:after="0" w:line="200" w:lineRule="exact"/>
        <w:rPr>
          <w:sz w:val="20"/>
          <w:szCs w:val="20"/>
          <w:color w:val="auto"/>
        </w:rPr>
      </w:pPr>
    </w:p>
    <w:p>
      <w:pPr>
        <w:spacing w:after="0" w:line="382"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1098" w:right="239" w:bottom="1440" w:gutter="0" w:footer="0" w:header="0"/>
        </w:sectPr>
      </w:pPr>
    </w:p>
    <w:bookmarkStart w:id="27" w:name="page28"/>
    <w:bookmarkEnd w:id="27"/>
    <w:p>
      <w:pPr>
        <w:jc w:val="both"/>
        <w:spacing w:after="0" w:line="210" w:lineRule="auto"/>
        <w:rPr>
          <w:sz w:val="20"/>
          <w:szCs w:val="20"/>
          <w:color w:val="auto"/>
        </w:rPr>
      </w:pPr>
      <w:r>
        <w:rPr>
          <w:rFonts w:ascii="Arial" w:cs="Arial" w:eastAsia="Arial" w:hAnsi="Arial"/>
          <w:sz w:val="18"/>
          <w:szCs w:val="18"/>
          <w:color w:val="auto"/>
        </w:rPr>
        <w:t>began its first volume shipments of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to Audi. During the second quarter of 2019, the first consumers began registering their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online to activate the device and began using the system for normal tolling use. The Company will monitor and assess feedback from consumers, dealers, and the OEM in order to help others understand the use case and acceptance of this product. Over the next 18 months,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as well as the initial launch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two additional OEMs. These OEM launches are targeted to begin production shipments in the 2020 or 2021 time periods.</w:t>
      </w:r>
    </w:p>
    <w:p>
      <w:pPr>
        <w:spacing w:after="0" w:line="160"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3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is the home automation app that pairs with the vehicle and allows drivers to operate home automation devices from the vehicle's center console display. Drivers of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could potentially replace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4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w:t>
      </w:r>
    </w:p>
    <w:p>
      <w:pPr>
        <w:spacing w:after="0" w:line="3" w:lineRule="exact"/>
        <w:rPr>
          <w:sz w:val="20"/>
          <w:szCs w:val="20"/>
          <w:color w:val="auto"/>
        </w:rPr>
      </w:pPr>
    </w:p>
    <w:p>
      <w:pPr>
        <w:jc w:val="both"/>
        <w:ind w:firstLine="202"/>
        <w:spacing w:after="0" w:line="212" w:lineRule="auto"/>
        <w:rPr>
          <w:sz w:val="20"/>
          <w:szCs w:val="20"/>
          <w:color w:val="auto"/>
        </w:rPr>
      </w:pPr>
      <w:r>
        <w:rPr>
          <w:rFonts w:ascii="Arial" w:cs="Arial" w:eastAsia="Arial" w:hAnsi="Arial"/>
          <w:sz w:val="18"/>
          <w:szCs w:val="18"/>
          <w:color w:val="auto"/>
        </w:rPr>
        <w:t>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939" w:right="239" w:bottom="1440" w:gutter="0" w:footer="0" w:header="0"/>
        </w:sectPr>
      </w:pPr>
    </w:p>
    <w:bookmarkStart w:id="28" w:name="page29"/>
    <w:bookmarkEnd w:id="28"/>
    <w:p>
      <w:pPr>
        <w:jc w:val="both"/>
        <w:spacing w:after="0" w:line="246" w:lineRule="auto"/>
        <w:rPr>
          <w:sz w:val="20"/>
          <w:szCs w:val="20"/>
          <w:color w:val="auto"/>
        </w:rPr>
      </w:pPr>
      <w:r>
        <w:rPr>
          <w:rFonts w:ascii="Arial" w:cs="Arial" w:eastAsia="Arial" w:hAnsi="Arial"/>
          <w:sz w:val="18"/>
          <w:szCs w:val="18"/>
          <w:color w:val="auto"/>
        </w:rPr>
        <w:t>to other regions’ version of NCAP, identified new technologies that are not currently included in NCAP, and suggested Congress legislatively direct actions to improve NCAP.</w:t>
      </w:r>
    </w:p>
    <w:p>
      <w:pPr>
        <w:spacing w:after="0" w:line="22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Automotive revenues represent approximately 97% - 98% of the Company's total revenue, consisting of interior and exterior electrochromic automatic-dimming rearview mirrors and automotive electronics.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and other electronic features that it offers in vehicles and the aerospace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9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forecasts for light vehicle production for the fourth quarter and full year of 2019 are based on IHS Markit's mid-October 2019 forecasts for light vehicle production in North America, Europe, China, and Japan and Korea. Using the mid-October 2019 light vehicle production forecasts indicated in the table below, the Company has provided certain guidance for calendar years 2019 and 2020.</w:t>
      </w:r>
    </w:p>
    <w:p>
      <w:pPr>
        <w:spacing w:after="0" w:line="258"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color w:val="auto"/>
        </w:rPr>
        <w:t>Light Vehicle Production (per IHS Markit Automotive mid-October light vehicle production forecast)</w:t>
      </w:r>
    </w:p>
    <w:p>
      <w:pPr>
        <w:spacing w:after="0" w:line="31"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i w:val="1"/>
          <w:iCs w:val="1"/>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rPr>
              <w:t>Calendar</w:t>
            </w: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Calendar</w:t>
            </w:r>
          </w:p>
        </w:tc>
        <w:tc>
          <w:tcPr>
            <w:tcW w:w="960" w:type="dxa"/>
            <w:vAlign w:val="bottom"/>
          </w:tcPr>
          <w:p>
            <w:pPr>
              <w:spacing w:after="0"/>
              <w:rPr>
                <w:sz w:val="14"/>
                <w:szCs w:val="14"/>
                <w:color w:val="auto"/>
              </w:rPr>
            </w:pPr>
          </w:p>
        </w:tc>
      </w:tr>
      <w:tr>
        <w:trPr>
          <w:trHeight w:val="202"/>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4Q 2019</w:t>
            </w: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4Q 2018</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Year 2019</w:t>
            </w:r>
          </w:p>
        </w:tc>
        <w:tc>
          <w:tcPr>
            <w:tcW w:w="96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2018</w:t>
            </w:r>
          </w:p>
        </w:tc>
        <w:tc>
          <w:tcPr>
            <w:tcW w:w="960" w:type="dxa"/>
            <w:vAlign w:val="bottom"/>
          </w:tcPr>
          <w:p>
            <w:pPr>
              <w:jc w:val="right"/>
              <w:ind w:right="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Europe</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5.30</w:t>
            </w: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980" w:type="dxa"/>
            <w:vAlign w:val="bottom"/>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21.21</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21.99</w:t>
            </w:r>
          </w:p>
        </w:tc>
        <w:tc>
          <w:tcPr>
            <w:tcW w:w="9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8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Light Vehicle Production</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19.39</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20.31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75.19</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79.00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Based on the aforementioned IHS Markit light vehicle production forecasts, current forecasted product mix, expense growth estimates, actual performance through the first nine months of 2019, and estimates regarding the impact of the GM strike that are detailed herein, the Company has provided certain updates for the fourth quarter 2019, as well as its previously announced annual guidance ranges, which are also set forth below. Guidance for the fourth quarter of 2019 reflects the Company's best estimate of the impact of the ongoing GM strike, as well as changes to the IHS Markit's estimates for light vehicle production for the fourth quarter. Based on order changes the Company has seen during the end of the third quarter and beginning of the fourth quarter of 2019 from GM, the Company estimates the impact to be approximately $7 - $8 million in lost sales, per week of the strike. Based on the lost sales to date, the Company's estimate of additional lost revenue before the GM strike ends and GM resumes full vehicle production, and changes to IHS estimates, the Company estimates that net sales will be between $430 million and $455 million for the fourth quarter of 2019.</w:t>
      </w: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aforementioned, the Company currently estimates that top line revenue for calendar year 2019 will be between $1.84 and $1.87 billion.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continues to see order rates and booked business that allow for these estimates despite period-over-period year declines in light vehicle production in its primary markets. Nevertheless, ongoing uncertainties remain including: impact of ongoing customer employee strikes; light vehicle production levels; impacts of already in place and potential additional future tariffs; impacts of regulation changes; automotive plant shutdowns; supplier part shortages;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updated net sales guidance for the fourth quarter and calendar year 2019, the Company has estimated that the gross margin for the fourth quarter will be between 35% and 36%. Based on actual results for the first nine months of 2019, the aforementioned forecasted revenues for the remainder of 2019, anticipated product mix and anticipated tariff costs, the Company has also estimated that the gross profit margin will be between 36.6% and 37.0% for calendar year 2019.</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estimated that its operating expenses, which include E, R &amp; D expenses and S, G &amp; A expenses, are expected to be approximately $198 - $200 million for calendar year 2019, primarily due to staffing costs, professional fees and travel expenses, which continue to support growth and the development of new business and technology advances.</w:t>
      </w:r>
    </w:p>
    <w:p>
      <w:pPr>
        <w:spacing w:after="0" w:line="22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light of on-going demand for the Company's auto-dimming mirrors and electronics, and based on actual spending levels through the first nine months of 2019, the Company continues to anticipate that 2019</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1184" w:right="2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8"/>
          <w:szCs w:val="18"/>
          <w:color w:val="auto"/>
        </w:rPr>
        <w:t>capital expenditures will be approximately $90 - $100 million, the majority of which will be equipment purchases. Capital expenditures in the calendar year 2019 are currently anticipated to be financed from current cash and cash equivalents on hand and cash flows from operating activities.</w:t>
      </w:r>
    </w:p>
    <w:p>
      <w:pPr>
        <w:spacing w:after="0" w:line="13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Based on actual results for the first nine months of 2019, and expected projects in the fourth quarter, the Company has estimated that depreciation and amortization expense for calendar year 2019 will be approximately $104 - $107 million.</w:t>
      </w:r>
    </w:p>
    <w:p>
      <w:pPr>
        <w:spacing w:after="0" w:line="6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estimated its effective annual tax rate for calendar year 2019 to be in the range of 16.0% to 16.5%.</w:t>
      </w:r>
      <w:r>
        <w:rPr>
          <w:rFonts w:ascii="MS PGothic" w:cs="MS PGothic" w:eastAsia="MS PGothic" w:hAnsi="MS PGothic"/>
          <w:sz w:val="18"/>
          <w:szCs w:val="18"/>
          <w:color w:val="auto"/>
        </w:rPr>
        <w:t> </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the previously announced share repurchase plan, the Company intends to continue to repurchase additional shares of its common stock in 2019, but share repurchases may vary from time to time and will take into account macroeconomic events, market trends, and other factors the Company deems appropriate (including the market price of the stock, anti-dilutive effect of repurchases, and available cash).</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based on available light vehicle production forecasts and current forecasted product mix, the Company is making no changes to its previously announced range of revenue estimates for calendar year 2020, which continues to be estimated to be over and above the 2019 revenue estimates in the range of 3% to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949"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4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other-than-temporary impairment adjustment on available for sale securities (mark-to-market adjustments). During the quarter ended September 30, 2019, there are no material changes in the risk factors previously disclosed in the Company's report on Form 10-K for the fiscal year ended December 31, 2018, except as set forth in Item 2.</w:t>
      </w:r>
    </w:p>
    <w:p>
      <w:pPr>
        <w:spacing w:after="0" w:line="14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could be affected by uncertain economic conditions in foreign markets that can reduce demand for its products.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September 30, 2019, and have concluded that as of that date, the Company's disclosure controls and procedures are effective.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2019 that materially affected, or are reasonably likely to materially affect, the Company's internal control over financial reporting.</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74"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"poised",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4" w:right="239" w:bottom="1440" w:gutter="0" w:footer="0" w:header="0"/>
        </w:sectPr>
      </w:pPr>
    </w:p>
    <w:bookmarkStart w:id="32" w:name="page33"/>
    <w:bookmarkEnd w:id="32"/>
    <w:p>
      <w:pPr>
        <w:jc w:val="both"/>
        <w:spacing w:after="0" w:line="251" w:lineRule="auto"/>
        <w:rPr>
          <w:sz w:val="20"/>
          <w:szCs w:val="20"/>
          <w:color w:val="auto"/>
        </w:rPr>
      </w:pPr>
      <w:r>
        <w:rPr>
          <w:rFonts w:ascii="Arial" w:cs="Arial" w:eastAsia="Arial" w:hAnsi="Arial"/>
          <w:sz w:val="18"/>
          <w:szCs w:val="18"/>
          <w:color w:val="auto"/>
        </w:rPr>
        <w:t>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Includes content supplied by IHS Markit Light Vehicle Production Forecast (October 16, 2019) (http://www.gentex.com/ forecast-disclaimer).</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949"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2018. There have been no material changes from the risk factors previously disclosed in the Company’s report on Form 10-K for the year ended December 31, 2018, except to the extent described in Part I – Item 2 and Item 3 of this Form 10-Q.</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74"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As previously disclosed,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nine months ended September 30, 2019, the Company repurchased 11,369,224 shares. The Company has 22,472,033 shares remaining under the plan as of September 30, 2019.</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quarter of the nine months ended September 30, 2019:</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5360" w:type="dxa"/>
            <w:vAlign w:val="bottom"/>
            <w:gridSpan w:val="3"/>
          </w:tcPr>
          <w:p>
            <w:pPr>
              <w:jc w:val="right"/>
              <w:ind w:right="1554"/>
              <w:spacing w:after="0"/>
              <w:rPr>
                <w:sz w:val="20"/>
                <w:szCs w:val="20"/>
                <w:color w:val="auto"/>
              </w:rPr>
            </w:pPr>
            <w:r>
              <w:rPr>
                <w:rFonts w:ascii="Arial" w:cs="Arial" w:eastAsia="Arial" w:hAnsi="Arial"/>
                <w:sz w:val="14"/>
                <w:szCs w:val="14"/>
                <w:b w:val="1"/>
                <w:bCs w:val="1"/>
                <w:color w:val="auto"/>
              </w:rPr>
              <w:t>Issuer Purchase of Equity Securities</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 a</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8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5"/>
                <w:szCs w:val="5"/>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 Plan or</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vMerge w:val="continue"/>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auto"/>
            </w:tcBorders>
            <w:vMerge w:val="continue"/>
          </w:tcPr>
          <w:p>
            <w:pPr>
              <w:spacing w:after="0"/>
              <w:rPr>
                <w:sz w:val="14"/>
                <w:szCs w:val="14"/>
                <w:color w:val="auto"/>
              </w:rPr>
            </w:pPr>
          </w:p>
        </w:tc>
        <w:tc>
          <w:tcPr>
            <w:tcW w:w="1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2019</w:t>
            </w:r>
          </w:p>
        </w:tc>
        <w:tc>
          <w:tcPr>
            <w:tcW w:w="1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75,001</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21.42</w:t>
            </w:r>
          </w:p>
        </w:tc>
        <w:tc>
          <w:tcPr>
            <w:tcW w:w="2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75,001</w:t>
            </w:r>
          </w:p>
        </w:tc>
        <w:tc>
          <w:tcPr>
            <w:tcW w:w="2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33,766,256</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February 2019</w:t>
            </w:r>
          </w:p>
        </w:tc>
        <w:tc>
          <w:tcPr>
            <w:tcW w:w="1860" w:type="dxa"/>
            <w:vAlign w:val="bottom"/>
          </w:tcPr>
          <w:p>
            <w:pPr>
              <w:jc w:val="right"/>
              <w:ind w:right="53"/>
              <w:spacing w:after="0"/>
              <w:rPr>
                <w:sz w:val="20"/>
                <w:szCs w:val="20"/>
                <w:color w:val="auto"/>
              </w:rPr>
            </w:pPr>
            <w:r>
              <w:rPr>
                <w:rFonts w:ascii="Arial" w:cs="Arial" w:eastAsia="Arial" w:hAnsi="Arial"/>
                <w:sz w:val="18"/>
                <w:szCs w:val="18"/>
                <w:color w:val="auto"/>
              </w:rPr>
              <w:t>2,499,850</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20.24</w:t>
            </w: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2,499,850</w:t>
            </w: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31,266,406</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1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2,150,087</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20.49</w:t>
            </w:r>
          </w:p>
        </w:tc>
        <w:tc>
          <w:tcPr>
            <w:tcW w:w="2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2,150,087</w:t>
            </w:r>
          </w:p>
        </w:tc>
        <w:tc>
          <w:tcPr>
            <w:tcW w:w="2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29,116,319</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1st Quarter 2019 Total</w:t>
            </w:r>
          </w:p>
        </w:tc>
        <w:tc>
          <w:tcPr>
            <w:tcW w:w="1860" w:type="dxa"/>
            <w:vAlign w:val="bottom"/>
          </w:tcPr>
          <w:p>
            <w:pPr>
              <w:jc w:val="right"/>
              <w:ind w:right="53"/>
              <w:spacing w:after="0"/>
              <w:rPr>
                <w:sz w:val="20"/>
                <w:szCs w:val="20"/>
                <w:color w:val="auto"/>
              </w:rPr>
            </w:pPr>
            <w:r>
              <w:rPr>
                <w:rFonts w:ascii="Arial" w:cs="Arial" w:eastAsia="Arial" w:hAnsi="Arial"/>
                <w:sz w:val="18"/>
                <w:szCs w:val="18"/>
                <w:color w:val="auto"/>
              </w:rPr>
              <w:t>4,724,938</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20.37</w:t>
            </w: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4,724,938</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April 2019</w:t>
            </w:r>
          </w:p>
        </w:tc>
        <w:tc>
          <w:tcPr>
            <w:tcW w:w="1860" w:type="dxa"/>
            <w:vAlign w:val="bottom"/>
          </w:tcPr>
          <w:p>
            <w:pPr>
              <w:jc w:val="right"/>
              <w:spacing w:after="0"/>
              <w:rPr>
                <w:sz w:val="20"/>
                <w:szCs w:val="20"/>
                <w:color w:val="auto"/>
              </w:rPr>
            </w:pPr>
            <w:r>
              <w:rPr>
                <w:rFonts w:ascii="Arial" w:cs="Arial" w:eastAsia="Arial" w:hAnsi="Arial"/>
                <w:sz w:val="18"/>
                <w:szCs w:val="18"/>
                <w:color w:val="auto"/>
              </w:rPr>
              <w:t>240,037</w:t>
            </w:r>
          </w:p>
        </w:tc>
        <w:tc>
          <w:tcPr>
            <w:tcW w:w="1440" w:type="dxa"/>
            <w:vAlign w:val="bottom"/>
          </w:tcPr>
          <w:p>
            <w:pPr>
              <w:jc w:val="right"/>
              <w:spacing w:after="0"/>
              <w:rPr>
                <w:sz w:val="20"/>
                <w:szCs w:val="20"/>
                <w:color w:val="auto"/>
              </w:rPr>
            </w:pPr>
            <w:r>
              <w:rPr>
                <w:rFonts w:ascii="Arial" w:cs="Arial" w:eastAsia="Arial" w:hAnsi="Arial"/>
                <w:sz w:val="18"/>
                <w:szCs w:val="18"/>
                <w:color w:val="auto"/>
              </w:rPr>
              <w:t>23.07</w:t>
            </w:r>
          </w:p>
        </w:tc>
        <w:tc>
          <w:tcPr>
            <w:tcW w:w="2060" w:type="dxa"/>
            <w:vAlign w:val="bottom"/>
          </w:tcPr>
          <w:p>
            <w:pPr>
              <w:jc w:val="right"/>
              <w:spacing w:after="0"/>
              <w:rPr>
                <w:sz w:val="20"/>
                <w:szCs w:val="20"/>
                <w:color w:val="auto"/>
              </w:rPr>
            </w:pPr>
            <w:r>
              <w:rPr>
                <w:rFonts w:ascii="Arial" w:cs="Arial" w:eastAsia="Arial" w:hAnsi="Arial"/>
                <w:sz w:val="18"/>
                <w:szCs w:val="18"/>
                <w:color w:val="auto"/>
              </w:rPr>
              <w:t>240,037</w:t>
            </w:r>
          </w:p>
        </w:tc>
        <w:tc>
          <w:tcPr>
            <w:tcW w:w="2080" w:type="dxa"/>
            <w:vAlign w:val="bottom"/>
          </w:tcPr>
          <w:p>
            <w:pPr>
              <w:jc w:val="right"/>
              <w:spacing w:after="0"/>
              <w:rPr>
                <w:sz w:val="20"/>
                <w:szCs w:val="20"/>
                <w:color w:val="auto"/>
              </w:rPr>
            </w:pPr>
            <w:r>
              <w:rPr>
                <w:rFonts w:ascii="Arial" w:cs="Arial" w:eastAsia="Arial" w:hAnsi="Arial"/>
                <w:sz w:val="18"/>
                <w:szCs w:val="18"/>
                <w:color w:val="auto"/>
              </w:rPr>
              <w:t>28,876,282</w:t>
            </w:r>
          </w:p>
        </w:tc>
        <w:tc>
          <w:tcPr>
            <w:tcW w:w="0" w:type="dxa"/>
            <w:vAlign w:val="bottom"/>
          </w:tcPr>
          <w:p>
            <w:pPr>
              <w:spacing w:after="0"/>
              <w:rPr>
                <w:sz w:val="1"/>
                <w:szCs w:val="1"/>
                <w:color w:val="auto"/>
              </w:rPr>
            </w:pPr>
          </w:p>
        </w:tc>
      </w:tr>
      <w:tr>
        <w:trPr>
          <w:trHeight w:val="26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1,858,307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1,858,307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27,017,975</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2019</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976,365</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23.64</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976,365</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26,041,610</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2019 Total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3,074,709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3,074,709</w:t>
            </w: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2019</w:t>
            </w:r>
          </w:p>
        </w:tc>
        <w:tc>
          <w:tcPr>
            <w:tcW w:w="1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380,220</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27.22</w:t>
            </w:r>
          </w:p>
        </w:tc>
        <w:tc>
          <w:tcPr>
            <w:tcW w:w="2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380,220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25,661,390</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August 2019</w:t>
            </w:r>
          </w:p>
        </w:tc>
        <w:tc>
          <w:tcPr>
            <w:tcW w:w="1860" w:type="dxa"/>
            <w:vAlign w:val="bottom"/>
          </w:tcPr>
          <w:p>
            <w:pPr>
              <w:jc w:val="right"/>
              <w:ind w:right="53"/>
              <w:spacing w:after="0"/>
              <w:rPr>
                <w:sz w:val="20"/>
                <w:szCs w:val="20"/>
                <w:color w:val="auto"/>
              </w:rPr>
            </w:pPr>
            <w:r>
              <w:rPr>
                <w:rFonts w:ascii="Arial" w:cs="Arial" w:eastAsia="Arial" w:hAnsi="Arial"/>
                <w:sz w:val="18"/>
                <w:szCs w:val="18"/>
                <w:color w:val="auto"/>
              </w:rPr>
              <w:t>1,828,442</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26.69</w:t>
            </w:r>
          </w:p>
        </w:tc>
        <w:tc>
          <w:tcPr>
            <w:tcW w:w="2060" w:type="dxa"/>
            <w:vAlign w:val="bottom"/>
          </w:tcPr>
          <w:p>
            <w:pPr>
              <w:jc w:val="right"/>
              <w:ind w:right="54"/>
              <w:spacing w:after="0"/>
              <w:rPr>
                <w:sz w:val="20"/>
                <w:szCs w:val="20"/>
                <w:color w:val="auto"/>
              </w:rPr>
            </w:pPr>
            <w:r>
              <w:rPr>
                <w:rFonts w:ascii="Arial" w:cs="Arial" w:eastAsia="Arial" w:hAnsi="Arial"/>
                <w:sz w:val="18"/>
                <w:szCs w:val="18"/>
                <w:color w:val="auto"/>
              </w:rPr>
              <w:t>1,828,442</w:t>
            </w: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23,832,948</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2019</w:t>
            </w:r>
          </w:p>
        </w:tc>
        <w:tc>
          <w:tcPr>
            <w:tcW w:w="1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1,360,915</w:t>
            </w:r>
          </w:p>
        </w:tc>
        <w:tc>
          <w:tcPr>
            <w:tcW w:w="14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27.54</w:t>
            </w:r>
          </w:p>
        </w:tc>
        <w:tc>
          <w:tcPr>
            <w:tcW w:w="2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1,360,915</w:t>
            </w:r>
          </w:p>
        </w:tc>
        <w:tc>
          <w:tcPr>
            <w:tcW w:w="2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22,472,033</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3rd Quarter 2019 Total</w:t>
            </w:r>
          </w:p>
        </w:tc>
        <w:tc>
          <w:tcPr>
            <w:tcW w:w="1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3,569,577</w:t>
            </w:r>
          </w:p>
        </w:tc>
        <w:tc>
          <w:tcPr>
            <w:tcW w:w="144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27.07</w:t>
            </w:r>
          </w:p>
        </w:tc>
        <w:tc>
          <w:tcPr>
            <w:tcW w:w="2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3,569,577</w:t>
            </w:r>
          </w:p>
        </w:tc>
        <w:tc>
          <w:tcPr>
            <w:tcW w:w="20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2019 Total</w:t>
            </w:r>
          </w:p>
        </w:tc>
        <w:tc>
          <w:tcPr>
            <w:tcW w:w="1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11,369,224</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23.11</w:t>
            </w:r>
          </w:p>
        </w:tc>
        <w:tc>
          <w:tcPr>
            <w:tcW w:w="2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11,369,224</w:t>
            </w:r>
          </w:p>
        </w:tc>
        <w:tc>
          <w:tcPr>
            <w:tcW w:w="2080" w:type="dxa"/>
            <w:vAlign w:val="bottom"/>
          </w:tcPr>
          <w:p>
            <w:pPr>
              <w:jc w:val="right"/>
              <w:ind w:right="54"/>
              <w:spacing w:after="0"/>
              <w:rPr>
                <w:sz w:val="20"/>
                <w:szCs w:val="20"/>
                <w:color w:val="auto"/>
              </w:rPr>
            </w:pPr>
            <w:r>
              <w:rPr>
                <w:rFonts w:ascii="Arial" w:cs="Arial" w:eastAsia="Arial" w:hAnsi="Arial"/>
                <w:sz w:val="18"/>
                <w:szCs w:val="18"/>
                <w:color w:val="auto"/>
              </w:rPr>
              <w:t>22,472,033</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right="660"/>
        <w:spacing w:after="0" w:line="262" w:lineRule="auto"/>
        <w:rPr>
          <w:sz w:val="20"/>
          <w:szCs w:val="20"/>
          <w:color w:val="auto"/>
        </w:rPr>
      </w:pPr>
      <w:r>
        <w:rPr>
          <w:rFonts w:ascii="Arial" w:cs="Arial" w:eastAsia="Arial" w:hAnsi="Arial"/>
          <w:sz w:val="18"/>
          <w:szCs w:val="18"/>
          <w:color w:val="auto"/>
        </w:rPr>
        <w:t>As of September 30, 2019 the Company has repurchased 124,527,695 shares at a total cost of $1,804,879,295 under its share repurchase plan or otherwise previously disclosed.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1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5">
        <w:r>
          <w:rPr>
            <w:rFonts w:ascii="Arial" w:cs="Arial" w:eastAsia="Arial" w:hAnsi="Arial"/>
            <w:sz w:val="18"/>
            <w:szCs w:val="18"/>
            <w:u w:val="single" w:color="auto"/>
            <w:color w:val="0000FF"/>
          </w:rPr>
          <w:t>36</w:t>
        </w:r>
      </w:hyperlink>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w:t>
        <w:tab/>
        <w:t>November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w:t>
        <w:tab/>
        <w:t>November 1, 2019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43135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43135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23" w:lineRule="exact"/>
        <w:rPr>
          <w:sz w:val="20"/>
          <w:szCs w:val="20"/>
          <w:color w:val="auto"/>
        </w:rPr>
      </w:pPr>
    </w:p>
    <w:p>
      <w:pPr>
        <w:ind w:right="1480"/>
        <w:spacing w:after="0" w:line="227"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ectPr>
          <w:pgSz w:w="11900" w:h="16838" w:orient="portrait"/>
          <w:cols w:equalWidth="0" w:num="2">
            <w:col w:w="2840" w:space="720"/>
            <w:col w:w="7860"/>
          </w:cols>
          <w:pgMar w:left="240" w:top="92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2058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0585" cy="163195"/>
                    </a:xfrm>
                    <a:prstGeom prst="rect">
                      <a:avLst/>
                    </a:prstGeom>
                    <a:noFill/>
                  </pic:spPr>
                </pic:pic>
              </a:graphicData>
            </a:graphic>
          </wp:anchor>
        </w:drawing>
      </w:r>
    </w:p>
    <w:p>
      <w:pPr>
        <w:spacing w:after="0" w:line="20" w:lineRule="exact"/>
        <w:rPr>
          <w:sz w:val="20"/>
          <w:szCs w:val="20"/>
          <w:color w:val="auto"/>
        </w:rPr>
      </w:pPr>
    </w:p>
    <w:p>
      <w:pPr>
        <w:ind w:left="1340" w:hanging="1314"/>
        <w:spacing w:after="0"/>
        <w:tabs>
          <w:tab w:leader="none" w:pos="1340" w:val="left"/>
        </w:tabs>
        <w:numPr>
          <w:ilvl w:val="0"/>
          <w:numId w:val="5"/>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Speciman Form of Gentex Corporation Non-Employee Director Restricted Stock Agreement</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right"/>
              <w:ind w:right="870"/>
              <w:spacing w:after="0"/>
              <w:rPr>
                <w:sz w:val="20"/>
                <w:szCs w:val="20"/>
                <w:color w:val="auto"/>
              </w:rPr>
            </w:pPr>
            <w:r>
              <w:rPr>
                <w:rFonts w:ascii="Arial" w:cs="Arial" w:eastAsia="Arial" w:hAnsi="Arial"/>
                <w:sz w:val="18"/>
                <w:szCs w:val="18"/>
                <w:color w:val="auto"/>
              </w:rPr>
              <w:t>31.1</w:t>
            </w:r>
          </w:p>
        </w:tc>
        <w:tc>
          <w:tcPr>
            <w:tcW w:w="1004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(18 U.S.C. 1350).</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40" w:type="dxa"/>
            <w:vAlign w:val="bottom"/>
            <w:shd w:val="clear" w:color="auto" w:fill="CCEEFF"/>
          </w:tcPr>
          <w:p>
            <w:pPr>
              <w:jc w:val="right"/>
              <w:ind w:right="870"/>
              <w:spacing w:after="0" w:line="189" w:lineRule="exact"/>
              <w:rPr>
                <w:sz w:val="20"/>
                <w:szCs w:val="20"/>
                <w:color w:val="auto"/>
              </w:rPr>
            </w:pPr>
            <w:r>
              <w:rPr>
                <w:rFonts w:ascii="Arial" w:cs="Arial" w:eastAsia="Arial" w:hAnsi="Arial"/>
                <w:sz w:val="18"/>
                <w:szCs w:val="18"/>
                <w:color w:val="auto"/>
              </w:rPr>
              <w:t>31.2</w:t>
            </w:r>
          </w:p>
        </w:tc>
        <w:tc>
          <w:tcPr>
            <w:tcW w:w="10040" w:type="dxa"/>
            <w:vAlign w:val="bottom"/>
            <w:gridSpan w:val="5"/>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Certificate of the Chief Financial Officer of Gentex Corporation pursuant to Section 302 of the Sarbanes-Oxley Act of 2002 (18</w:t>
              </w:r>
            </w:hyperlink>
          </w:p>
        </w:tc>
      </w:tr>
      <w:tr>
        <w:trPr>
          <w:trHeight w:val="156"/>
        </w:trPr>
        <w:tc>
          <w:tcPr>
            <w:tcW w:w="13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U.S.C. 1350).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340" w:right="440" w:hanging="1314"/>
        <w:spacing w:after="0" w:line="227" w:lineRule="auto"/>
        <w:tabs>
          <w:tab w:leader="none" w:pos="1340" w:val="left"/>
        </w:tabs>
        <w:numPr>
          <w:ilvl w:val="0"/>
          <w:numId w:val="6"/>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Sarbanes-Oxley Act of 2002 (18 U.S.C. 1350).</w:t>
        </w:r>
      </w:hyperlink>
    </w:p>
    <w:p>
      <w:pPr>
        <w:spacing w:after="0" w:line="2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0"/>
        </w:trPr>
        <w:tc>
          <w:tcPr>
            <w:tcW w:w="1060" w:type="dxa"/>
            <w:vAlign w:val="bottom"/>
            <w:shd w:val="clear" w:color="auto" w:fill="CCEEFF"/>
          </w:tcPr>
          <w:p>
            <w:pPr>
              <w:spacing w:after="0"/>
              <w:rPr>
                <w:sz w:val="20"/>
                <w:szCs w:val="20"/>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are embedded within the Inline XBRL document</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32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6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32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6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32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2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GENTEX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29" w:lineRule="exact"/>
        <w:rPr>
          <w:sz w:val="20"/>
          <w:szCs w:val="20"/>
          <w:color w:val="auto"/>
        </w:rPr>
      </w:pPr>
    </w:p>
    <w:p>
      <w:pPr>
        <w:jc w:val="both"/>
        <w:ind w:firstLine="656"/>
        <w:spacing w:after="0" w:line="265" w:lineRule="auto"/>
        <w:tabs>
          <w:tab w:leader="none" w:pos="959"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The Award and the Plan</w:t>
      </w:r>
      <w:r>
        <w:rPr>
          <w:rFonts w:ascii="Arial" w:cs="Arial" w:eastAsia="Arial" w:hAnsi="Arial"/>
          <w:sz w:val="21"/>
          <w:szCs w:val="21"/>
          <w:color w:val="auto"/>
        </w:rPr>
        <w:t>. As of the Date of Grant set forth below, pursuant to this NonEmployee Director Restricted Stock Award Agreement (the "Agreement"), Gentex Corporation ("Gentex") grants to you the number of Shares set forth below. Any undefined terms in this Agreement appearing as defined terms will have the same meaning as they do in the Gentex Corporation 2019 Omnibus Incentive Plan as amended and/or restated from time to time (the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Number of Shares of Restricted Stock</w:t>
      </w:r>
      <w:r>
        <w:rPr>
          <w:rFonts w:ascii="Arial" w:cs="Arial" w:eastAsia="Arial" w:hAnsi="Arial"/>
          <w:sz w:val="22"/>
          <w:szCs w:val="22"/>
          <w:color w:val="auto"/>
        </w:rPr>
        <w:t>:</w:t>
      </w:r>
      <w:r>
        <w:rPr>
          <w:rFonts w:ascii="Arial" w:cs="Arial" w:eastAsia="Arial" w:hAnsi="Arial"/>
          <w:sz w:val="22"/>
          <w:szCs w:val="22"/>
          <w:b w:val="1"/>
          <w:bCs w:val="1"/>
          <w:color w:val="auto"/>
        </w:rPr>
        <w:t xml:space="preserve"> 4,403 </w:t>
      </w:r>
      <w:r>
        <w:rPr>
          <w:rFonts w:ascii="Arial" w:cs="Arial" w:eastAsia="Arial" w:hAnsi="Arial"/>
          <w:sz w:val="22"/>
          <w:szCs w:val="22"/>
          <w:color w:val="auto"/>
        </w:rPr>
        <w:t>(the "Shares")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Date of Grant: 16 May 2019</w:t>
      </w:r>
    </w:p>
    <w:p>
      <w:pPr>
        <w:spacing w:after="0" w:line="229" w:lineRule="exact"/>
        <w:rPr>
          <w:sz w:val="20"/>
          <w:szCs w:val="20"/>
          <w:color w:val="auto"/>
        </w:rPr>
      </w:pPr>
    </w:p>
    <w:p>
      <w:pPr>
        <w:ind w:firstLine="656"/>
        <w:spacing w:after="0" w:line="343" w:lineRule="auto"/>
        <w:tabs>
          <w:tab w:leader="none" w:pos="972"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Restriction</w:t>
      </w:r>
      <w:r>
        <w:rPr>
          <w:rFonts w:ascii="Arial" w:cs="Arial" w:eastAsia="Arial" w:hAnsi="Arial"/>
          <w:sz w:val="19"/>
          <w:szCs w:val="19"/>
          <w:color w:val="auto"/>
        </w:rPr>
        <w:t>. Until the Vesting Date (as defined below), the Shares shall be subject to restriction as contained in the following legend, which legend shall be conspicuously placed on the face of the certificate or otherwise accompany the Shares:</w:t>
      </w:r>
    </w:p>
    <w:p>
      <w:pPr>
        <w:spacing w:after="0" w:line="132"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The Shares represented hereby are subject to restrictions on transfer as provided in the Gentex Corporation 2019 Omnibus Incentive Plan and the NonEmployee Director Restricted Stock Award Agreement between Gentex Corporation and the record holder and such Shares are subject to forfeiture and return to Gentex Corporation upon the happening of certain events specified in such plan or agreement.</w:t>
      </w:r>
    </w:p>
    <w:p>
      <w:pPr>
        <w:spacing w:after="0" w:line="203" w:lineRule="exact"/>
        <w:rPr>
          <w:sz w:val="20"/>
          <w:szCs w:val="20"/>
          <w:color w:val="auto"/>
        </w:rPr>
      </w:pPr>
    </w:p>
    <w:p>
      <w:pPr>
        <w:jc w:val="both"/>
        <w:ind w:firstLine="656"/>
        <w:spacing w:after="0" w:line="248" w:lineRule="auto"/>
        <w:tabs>
          <w:tab w:leader="none" w:pos="945"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Vesting of Shares</w:t>
      </w:r>
      <w:r>
        <w:rPr>
          <w:rFonts w:ascii="Arial" w:cs="Arial" w:eastAsia="Arial" w:hAnsi="Arial"/>
          <w:sz w:val="22"/>
          <w:szCs w:val="22"/>
          <w:color w:val="auto"/>
        </w:rPr>
        <w:t>. Subject to the terms and conditions of Sections 4, 5 and 6 below, your right to receive one hundred percent (100%) of the Shares will become nonforfeitable on the first anniversary of the Date of Grant (the "Vesting Date") provided you remain a NonEmployee Director until such Vesting Date and provided further that if the annual meeting of shareholders in the year after the Date of Grant is held prior to such Vesting Date the date of the meeting shall become the Vesting Date provided you remain a NonEmployee Director until such meeting date.</w:t>
      </w:r>
    </w:p>
    <w:p>
      <w:pPr>
        <w:spacing w:after="0" w:line="219" w:lineRule="exact"/>
        <w:rPr>
          <w:rFonts w:ascii="Arial" w:cs="Arial" w:eastAsia="Arial" w:hAnsi="Arial"/>
          <w:sz w:val="22"/>
          <w:szCs w:val="22"/>
          <w:color w:val="auto"/>
        </w:rPr>
      </w:pPr>
    </w:p>
    <w:p>
      <w:pPr>
        <w:jc w:val="both"/>
        <w:ind w:firstLine="656"/>
        <w:spacing w:after="0" w:line="253" w:lineRule="auto"/>
        <w:tabs>
          <w:tab w:leader="none" w:pos="959"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In the event a Change in Control occurs prior to the Shares becoming nonforfeitable as provided in Section 3 above and while you are a NonEmployee Director, the Shares covered by this Agreement will become nonforfeitable.</w:t>
      </w:r>
    </w:p>
    <w:p>
      <w:pPr>
        <w:spacing w:after="0" w:line="212" w:lineRule="exact"/>
        <w:rPr>
          <w:rFonts w:ascii="Arial" w:cs="Arial" w:eastAsia="Arial" w:hAnsi="Arial"/>
          <w:sz w:val="22"/>
          <w:szCs w:val="22"/>
          <w:color w:val="auto"/>
        </w:rPr>
      </w:pPr>
    </w:p>
    <w:p>
      <w:pPr>
        <w:jc w:val="both"/>
        <w:ind w:firstLine="656"/>
        <w:spacing w:after="0" w:line="253" w:lineRule="auto"/>
        <w:tabs>
          <w:tab w:leader="none" w:pos="918"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Effect of Termination Due to Death or Disability</w:t>
      </w:r>
      <w:r>
        <w:rPr>
          <w:rFonts w:ascii="Arial" w:cs="Arial" w:eastAsia="Arial" w:hAnsi="Arial"/>
          <w:sz w:val="22"/>
          <w:szCs w:val="22"/>
          <w:color w:val="auto"/>
        </w:rPr>
        <w:t>. Notwithstanding Section 3 above, if you are no longer a NonEmployee Director by reason of death or disability (as reasonably determined by Gentex) before the Vesting Date, the shares will become nonforfeitable.</w:t>
      </w:r>
    </w:p>
    <w:p>
      <w:pPr>
        <w:spacing w:after="0" w:line="212" w:lineRule="exact"/>
        <w:rPr>
          <w:rFonts w:ascii="Arial" w:cs="Arial" w:eastAsia="Arial" w:hAnsi="Arial"/>
          <w:sz w:val="22"/>
          <w:szCs w:val="22"/>
          <w:color w:val="auto"/>
        </w:rPr>
      </w:pPr>
    </w:p>
    <w:p>
      <w:pPr>
        <w:jc w:val="both"/>
        <w:ind w:firstLine="656"/>
        <w:spacing w:after="0" w:line="253" w:lineRule="auto"/>
        <w:tabs>
          <w:tab w:leader="none" w:pos="932"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In the event that you are no longer a NonEmployee Director before the Vesting Date other than as specified in Sections 4 or 5 above, you will forfeit any Shares that have not become nonforfeitable by you at the time of such termination, unless otherwise determined by the Board and/or in accordance with the Plan.</w:t>
      </w:r>
    </w:p>
    <w:p>
      <w:pPr>
        <w:spacing w:after="0" w:line="212" w:lineRule="exact"/>
        <w:rPr>
          <w:rFonts w:ascii="Arial" w:cs="Arial" w:eastAsia="Arial" w:hAnsi="Arial"/>
          <w:sz w:val="22"/>
          <w:szCs w:val="22"/>
          <w:color w:val="auto"/>
        </w:rPr>
      </w:pPr>
    </w:p>
    <w:p>
      <w:pPr>
        <w:jc w:val="both"/>
        <w:ind w:right="20" w:firstLine="656"/>
        <w:spacing w:after="0" w:line="253" w:lineRule="auto"/>
        <w:tabs>
          <w:tab w:leader="none" w:pos="999"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Payment of Dividend Equivalents</w:t>
      </w:r>
      <w:r>
        <w:rPr>
          <w:rFonts w:ascii="Arial" w:cs="Arial" w:eastAsia="Arial" w:hAnsi="Arial"/>
          <w:sz w:val="22"/>
          <w:szCs w:val="22"/>
          <w:color w:val="auto"/>
        </w:rPr>
        <w:t>. From and after the Date of Grant and until the time when the Shares become nonforfeitable, on the date that Gentex pays a cash dividend (if any) to holders of shares of Common Stock generally, you will be entitled to payments of such dividends on the Shares.</w:t>
      </w:r>
    </w:p>
    <w:p>
      <w:pPr>
        <w:sectPr>
          <w:pgSz w:w="11900" w:h="16838" w:orient="portrait"/>
          <w:cols w:equalWidth="0" w:num="1">
            <w:col w:w="11420"/>
          </w:cols>
          <w:pgMar w:left="240" w:top="895" w:right="239" w:bottom="1440" w:gutter="0" w:footer="0" w:header="0"/>
        </w:sectPr>
      </w:pPr>
    </w:p>
    <w:bookmarkStart w:id="37" w:name="page38"/>
    <w:bookmarkEnd w:id="37"/>
    <w:p>
      <w:pPr>
        <w:ind w:left="-8" w:firstLine="656"/>
        <w:spacing w:after="0" w:line="263" w:lineRule="auto"/>
        <w:tabs>
          <w:tab w:leader="none" w:pos="924"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Shares Nontransferable</w:t>
      </w:r>
      <w:r>
        <w:rPr>
          <w:rFonts w:ascii="Arial" w:cs="Arial" w:eastAsia="Arial" w:hAnsi="Arial"/>
          <w:sz w:val="22"/>
          <w:szCs w:val="22"/>
          <w:color w:val="auto"/>
        </w:rPr>
        <w:t>. Neither the Shares nor any interest therein will be transferable or assignable other than by will or the laws of descent and distribution prior to the Vesting Date.</w:t>
      </w:r>
    </w:p>
    <w:p>
      <w:pPr>
        <w:spacing w:after="0" w:line="201" w:lineRule="exact"/>
        <w:rPr>
          <w:rFonts w:ascii="Arial" w:cs="Arial" w:eastAsia="Arial" w:hAnsi="Arial"/>
          <w:sz w:val="22"/>
          <w:szCs w:val="22"/>
          <w:color w:val="auto"/>
        </w:rPr>
      </w:pPr>
    </w:p>
    <w:p>
      <w:pPr>
        <w:jc w:val="both"/>
        <w:ind w:left="-8" w:firstLine="656"/>
        <w:spacing w:after="0" w:line="288" w:lineRule="auto"/>
        <w:tabs>
          <w:tab w:leader="none" w:pos="951"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Gentex will make any adjustments in the number of Shares that Gentex may determine to be equitably required to prevent any dilution or expansion of your rights under this Agreement that otherwise would result from any (A) stock dividend, stock split, reverse stock split, combination of shares, recapitalization or other change in the capital structure of Gentex,</w:t>
      </w:r>
    </w:p>
    <w:p>
      <w:pPr>
        <w:spacing w:after="0" w:line="1" w:lineRule="exact"/>
        <w:rPr>
          <w:rFonts w:ascii="Arial" w:cs="Arial" w:eastAsia="Arial" w:hAnsi="Arial"/>
          <w:sz w:val="19"/>
          <w:szCs w:val="19"/>
          <w:color w:val="auto"/>
        </w:rPr>
      </w:pPr>
    </w:p>
    <w:p>
      <w:pPr>
        <w:jc w:val="both"/>
        <w:ind w:left="-8" w:firstLine="8"/>
        <w:spacing w:after="0" w:line="244" w:lineRule="auto"/>
        <w:tabs>
          <w:tab w:leader="none" w:pos="361" w:val="left"/>
        </w:tabs>
        <w:numPr>
          <w:ilvl w:val="0"/>
          <w:numId w:val="11"/>
        </w:numPr>
        <w:rPr>
          <w:rFonts w:ascii="Arial" w:cs="Arial" w:eastAsia="Arial" w:hAnsi="Arial"/>
          <w:sz w:val="22"/>
          <w:szCs w:val="22"/>
          <w:color w:val="auto"/>
        </w:rPr>
      </w:pPr>
      <w:r>
        <w:rPr>
          <w:rFonts w:ascii="Arial" w:cs="Arial" w:eastAsia="Arial" w:hAnsi="Arial"/>
          <w:sz w:val="22"/>
          <w:szCs w:val="22"/>
          <w:color w:val="auto"/>
        </w:rPr>
        <w:t>merger, consolidation, spinoff, splitoff, spinout, splitup, separation, reorganization, partial or complete liquidation involving Gentex or other distribution of assets, issuance of rights or warrants to purchase securities of Gentex, or (C) other transaction or event having an effect similar to any of those referred to in Sections 10(A) or 10(B). Furthermore, in the event that any transaction or event described or referred to in the immediately preceding sentence will occur, Gentex may provide in substitution of any or all of your rights under this Agreement such alternative consideration as Gentex may determine in good faith to be equitable under the circumstances.</w:t>
      </w:r>
    </w:p>
    <w:p>
      <w:pPr>
        <w:spacing w:after="0" w:line="221" w:lineRule="exact"/>
        <w:rPr>
          <w:rFonts w:ascii="Arial" w:cs="Arial" w:eastAsia="Arial" w:hAnsi="Arial"/>
          <w:sz w:val="22"/>
          <w:szCs w:val="22"/>
          <w:color w:val="auto"/>
        </w:rPr>
      </w:pPr>
    </w:p>
    <w:p>
      <w:pPr>
        <w:jc w:val="both"/>
        <w:ind w:left="-8" w:firstLine="656"/>
        <w:spacing w:after="0" w:line="250" w:lineRule="auto"/>
        <w:tabs>
          <w:tab w:leader="none" w:pos="1018"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 of the Code</w:t>
      </w:r>
      <w:r>
        <w:rPr>
          <w:rFonts w:ascii="Arial" w:cs="Arial" w:eastAsia="Arial" w:hAnsi="Arial"/>
          <w:sz w:val="22"/>
          <w:szCs w:val="22"/>
          <w:color w:val="auto"/>
        </w:rPr>
        <w:t>. To the extent applicable, it is intended that this Agreement and the Plan be exempt from or comply with the provisions of Section 409A of the Code, so that the income inclusion provisions of Section 409A(a)(1) of the Code do not apply to you. This Agreement and the Plan will be administered in a manner consistent with this intent.</w:t>
      </w:r>
    </w:p>
    <w:p>
      <w:pPr>
        <w:spacing w:after="0" w:line="215" w:lineRule="exact"/>
        <w:rPr>
          <w:rFonts w:ascii="Arial" w:cs="Arial" w:eastAsia="Arial" w:hAnsi="Arial"/>
          <w:sz w:val="22"/>
          <w:szCs w:val="22"/>
          <w:color w:val="auto"/>
        </w:rPr>
      </w:pPr>
    </w:p>
    <w:p>
      <w:pPr>
        <w:jc w:val="both"/>
        <w:ind w:left="-8" w:firstLine="656"/>
        <w:spacing w:after="0" w:line="250" w:lineRule="auto"/>
        <w:tabs>
          <w:tab w:leader="none" w:pos="1024"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Relation to Plan</w:t>
      </w:r>
      <w:r>
        <w:rPr>
          <w:rFonts w:ascii="Arial" w:cs="Arial" w:eastAsia="Arial" w:hAnsi="Arial"/>
          <w:sz w:val="22"/>
          <w:szCs w:val="22"/>
          <w:color w:val="auto"/>
        </w:rPr>
        <w:t>. This Agreement is subject to the terms and conditions of the Plan. In the event of any inconsistency between the provisions of this Agreement and the Plan, the Plan will govern. The Board or the Compensation Committee will, except as expressly provided otherwise herein, have the right to determine any questions which arise in connection with the grant of Shares hereunder.</w:t>
      </w:r>
    </w:p>
    <w:p>
      <w:pPr>
        <w:spacing w:after="0" w:line="215" w:lineRule="exact"/>
        <w:rPr>
          <w:rFonts w:ascii="Arial" w:cs="Arial" w:eastAsia="Arial" w:hAnsi="Arial"/>
          <w:sz w:val="22"/>
          <w:szCs w:val="22"/>
          <w:color w:val="auto"/>
        </w:rPr>
      </w:pPr>
    </w:p>
    <w:p>
      <w:pPr>
        <w:jc w:val="both"/>
        <w:ind w:left="-8" w:firstLine="656"/>
        <w:spacing w:after="0" w:line="265" w:lineRule="auto"/>
        <w:tabs>
          <w:tab w:leader="none" w:pos="1018"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 Any amendment to the Plan will be deemed to be an amendment to this Agreement to the extent that the amendment is applicable hereto; provided, however, that no amendment will adversely affect your rights under this Agreement without your consent (provided, however, that your consent will not be required to any amendment that is deemed necessary by Gentex to ensure exemption from or compliance with Section 409A of the Code).</w:t>
      </w:r>
    </w:p>
    <w:p>
      <w:pPr>
        <w:spacing w:after="0" w:line="202" w:lineRule="exact"/>
        <w:rPr>
          <w:rFonts w:ascii="Arial" w:cs="Arial" w:eastAsia="Arial" w:hAnsi="Arial"/>
          <w:sz w:val="21"/>
          <w:szCs w:val="21"/>
          <w:color w:val="auto"/>
        </w:rPr>
      </w:pPr>
    </w:p>
    <w:p>
      <w:pPr>
        <w:jc w:val="both"/>
        <w:ind w:left="-8" w:firstLine="656"/>
        <w:spacing w:after="0" w:line="302" w:lineRule="auto"/>
        <w:tabs>
          <w:tab w:leader="none" w:pos="103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application of any provision in this Agreement to any person or circumstances is held invalid, unenforceable or otherwise illegal, the remainder of this Agreement and the application of such provision to anyother person or circumstances will not be affected, and the provisions so held to be invalid, unenforceable or otherwise illegal will be reformed to the extent (and only to the extent) necessary to make it enforceable, valid and legal.</w:t>
      </w:r>
    </w:p>
    <w:p>
      <w:pPr>
        <w:spacing w:after="0" w:line="169" w:lineRule="exact"/>
        <w:rPr>
          <w:rFonts w:ascii="Arial" w:cs="Arial" w:eastAsia="Arial" w:hAnsi="Arial"/>
          <w:sz w:val="19"/>
          <w:szCs w:val="19"/>
          <w:color w:val="auto"/>
        </w:rPr>
      </w:pPr>
    </w:p>
    <w:p>
      <w:pPr>
        <w:ind w:left="-8" w:firstLine="656"/>
        <w:spacing w:after="0" w:line="287" w:lineRule="auto"/>
        <w:tabs>
          <w:tab w:leader="none" w:pos="1032"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Compliance with Law</w:t>
      </w:r>
      <w:r>
        <w:rPr>
          <w:rFonts w:ascii="Arial" w:cs="Arial" w:eastAsia="Arial" w:hAnsi="Arial"/>
          <w:sz w:val="21"/>
          <w:szCs w:val="21"/>
          <w:color w:val="auto"/>
        </w:rPr>
        <w:t>. Notwithstanding any other provision of this Agreement, the Shares covered by this Agreement will not be paid if the payment thereof would result in violation of any applicable federal or state securities law.</w:t>
      </w:r>
    </w:p>
    <w:p>
      <w:pPr>
        <w:spacing w:after="0" w:line="178" w:lineRule="exact"/>
        <w:rPr>
          <w:rFonts w:ascii="Arial" w:cs="Arial" w:eastAsia="Arial" w:hAnsi="Arial"/>
          <w:sz w:val="21"/>
          <w:szCs w:val="21"/>
          <w:color w:val="auto"/>
        </w:rPr>
      </w:pPr>
    </w:p>
    <w:p>
      <w:pPr>
        <w:jc w:val="both"/>
        <w:ind w:left="-8" w:firstLine="656"/>
        <w:spacing w:after="0" w:line="253" w:lineRule="auto"/>
        <w:tabs>
          <w:tab w:leader="none" w:pos="1018"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Without limiting Section 8 above, the provisions of this Agreement will inure to the benefit of, and be binding upon, your successors, administrators, heirs, legal representatives and assigns, and the successors and assigns of Gentex.</w:t>
      </w:r>
    </w:p>
    <w:p>
      <w:pPr>
        <w:spacing w:after="0" w:line="212" w:lineRule="exact"/>
        <w:rPr>
          <w:rFonts w:ascii="Arial" w:cs="Arial" w:eastAsia="Arial" w:hAnsi="Arial"/>
          <w:sz w:val="22"/>
          <w:szCs w:val="22"/>
          <w:color w:val="auto"/>
        </w:rPr>
      </w:pPr>
    </w:p>
    <w:p>
      <w:pPr>
        <w:ind w:left="-8" w:right="20" w:firstLine="656"/>
        <w:spacing w:after="0" w:line="263" w:lineRule="auto"/>
        <w:tabs>
          <w:tab w:leader="none" w:pos="1018"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and construed in accordance with the internal substantive laws of the State of Michigan, without giving effect to any principles of conflict of laws thereof.</w:t>
      </w:r>
    </w:p>
    <w:p>
      <w:pPr>
        <w:sectPr>
          <w:pgSz w:w="11900" w:h="16838" w:orient="portrait"/>
          <w:cols w:equalWidth="0" w:num="1">
            <w:col w:w="11412"/>
          </w:cols>
          <w:pgMar w:left="248" w:top="901" w:right="239" w:bottom="1440" w:gutter="0" w:footer="0" w:header="0"/>
        </w:sectPr>
      </w:pPr>
    </w:p>
    <w:bookmarkStart w:id="38" w:name="page39"/>
    <w:bookmarkEnd w:id="38"/>
    <w:p>
      <w:pPr>
        <w:ind w:left="-656" w:firstLine="656"/>
        <w:spacing w:after="0" w:line="263" w:lineRule="auto"/>
        <w:tabs>
          <w:tab w:leader="none" w:pos="38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Failure to Enforce Not a Waiver</w:t>
      </w:r>
      <w:r>
        <w:rPr>
          <w:rFonts w:ascii="Arial" w:cs="Arial" w:eastAsia="Arial" w:hAnsi="Arial"/>
          <w:sz w:val="22"/>
          <w:szCs w:val="22"/>
          <w:color w:val="auto"/>
        </w:rPr>
        <w:t>. The failure of Gentex to enforce at any time any provision of this Agreement shall in no way be construed to be a waiver of such provision or of any other provision hereof.</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 parties hereto have executed this Agreement effective as of the Date of Grant.</w:t>
      </w:r>
    </w:p>
    <w:p>
      <w:pPr>
        <w:spacing w:after="0" w:line="247" w:lineRule="exact"/>
        <w:rPr>
          <w:sz w:val="20"/>
          <w:szCs w:val="20"/>
          <w:color w:val="auto"/>
        </w:rPr>
      </w:pPr>
    </w:p>
    <w:p>
      <w:pPr>
        <w:ind w:left="5184"/>
        <w:spacing w:after="0"/>
        <w:rPr>
          <w:sz w:val="20"/>
          <w:szCs w:val="20"/>
          <w:color w:val="auto"/>
        </w:rPr>
      </w:pPr>
      <w:r>
        <w:rPr>
          <w:rFonts w:ascii="Arial" w:cs="Arial" w:eastAsia="Arial" w:hAnsi="Arial"/>
          <w:sz w:val="22"/>
          <w:szCs w:val="22"/>
          <w:color w:val="auto"/>
        </w:rPr>
        <w:t>Gentex Corporation</w:t>
      </w:r>
    </w:p>
    <w:p>
      <w:pPr>
        <w:spacing w:after="0" w:line="247" w:lineRule="exact"/>
        <w:rPr>
          <w:sz w:val="20"/>
          <w:szCs w:val="20"/>
          <w:color w:val="auto"/>
        </w:rPr>
      </w:pPr>
    </w:p>
    <w:p>
      <w:pPr>
        <w:ind w:left="5184"/>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w:t>
      </w:r>
      <w:r>
        <w:rPr>
          <w:rFonts w:ascii="Arial" w:cs="Arial" w:eastAsia="Arial" w:hAnsi="Arial"/>
          <w:sz w:val="22"/>
          <w:szCs w:val="22"/>
          <w:i w:val="1"/>
          <w:iCs w:val="1"/>
          <w:u w:val="single" w:color="auto"/>
          <w:color w:val="auto"/>
        </w:rPr>
        <w:t>s/ Kevin Nash</w:t>
      </w:r>
    </w:p>
    <w:p>
      <w:pPr>
        <w:spacing w:after="0" w:line="247" w:lineRule="exact"/>
        <w:rPr>
          <w:sz w:val="20"/>
          <w:szCs w:val="20"/>
          <w:color w:val="auto"/>
        </w:rPr>
      </w:pPr>
    </w:p>
    <w:p>
      <w:pPr>
        <w:ind w:left="5844"/>
        <w:spacing w:after="0"/>
        <w:rPr>
          <w:sz w:val="20"/>
          <w:szCs w:val="20"/>
          <w:color w:val="auto"/>
        </w:rPr>
      </w:pPr>
      <w:r>
        <w:rPr>
          <w:rFonts w:ascii="Arial" w:cs="Arial" w:eastAsia="Arial" w:hAnsi="Arial"/>
          <w:sz w:val="22"/>
          <w:szCs w:val="22"/>
          <w:color w:val="auto"/>
        </w:rPr>
        <w:t>Kevin Nash</w:t>
      </w:r>
    </w:p>
    <w:p>
      <w:pPr>
        <w:spacing w:after="0" w:line="22" w:lineRule="exact"/>
        <w:rPr>
          <w:sz w:val="20"/>
          <w:szCs w:val="20"/>
          <w:color w:val="auto"/>
        </w:rPr>
      </w:pPr>
    </w:p>
    <w:p>
      <w:pPr>
        <w:ind w:left="5844"/>
        <w:spacing w:after="0"/>
        <w:rPr>
          <w:sz w:val="20"/>
          <w:szCs w:val="20"/>
          <w:color w:val="auto"/>
        </w:rPr>
      </w:pPr>
      <w:r>
        <w:rPr>
          <w:rFonts w:ascii="Arial" w:cs="Arial" w:eastAsia="Arial" w:hAnsi="Arial"/>
          <w:sz w:val="22"/>
          <w:szCs w:val="22"/>
          <w:color w:val="auto"/>
        </w:rPr>
        <w:t>Its Chief Financial Officer</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 undersigned hereby accepts and agrees to all terms and provisions of this Agreement.</w:t>
      </w:r>
    </w:p>
    <w:p>
      <w:pPr>
        <w:sectPr>
          <w:pgSz w:w="11900" w:h="16838" w:orient="portrait"/>
          <w:cols w:equalWidth="0" w:num="1">
            <w:col w:w="10764"/>
          </w:cols>
          <w:pgMar w:left="896" w:top="90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240" w:hanging="232"/>
        <w:spacing w:after="0" w:line="262" w:lineRule="auto"/>
        <w:tabs>
          <w:tab w:leader="none" w:pos="2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8"/>
          <w:szCs w:val="18"/>
          <w:color w:val="auto"/>
        </w:rPr>
      </w:pPr>
    </w:p>
    <w:p>
      <w:pPr>
        <w:ind w:left="660" w:hanging="238"/>
        <w:spacing w:after="0" w:line="262" w:lineRule="auto"/>
        <w:tabs>
          <w:tab w:leader="none" w:pos="6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660" w:hanging="238"/>
        <w:spacing w:after="0" w:line="262" w:lineRule="auto"/>
        <w:tabs>
          <w:tab w:leader="none" w:pos="63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2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240" w:hanging="232"/>
        <w:spacing w:after="0" w:line="262" w:lineRule="auto"/>
        <w:tabs>
          <w:tab w:leader="none" w:pos="2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8"/>
          <w:szCs w:val="18"/>
          <w:color w:val="auto"/>
        </w:rPr>
      </w:pPr>
    </w:p>
    <w:p>
      <w:pPr>
        <w:ind w:left="660" w:hanging="238"/>
        <w:spacing w:after="0" w:line="262" w:lineRule="auto"/>
        <w:tabs>
          <w:tab w:leader="none" w:pos="6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660" w:hanging="238"/>
        <w:spacing w:after="0" w:line="262" w:lineRule="auto"/>
        <w:tabs>
          <w:tab w:leader="none" w:pos="63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420"/>
          </w:cols>
          <w:pgMar w:left="240" w:top="927"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23" w:lineRule="exact"/>
        <w:rPr>
          <w:sz w:val="20"/>
          <w:szCs w:val="20"/>
          <w:color w:val="auto"/>
        </w:rPr>
      </w:pPr>
    </w:p>
    <w:p>
      <w:pPr>
        <w:ind w:left="240" w:hanging="232"/>
        <w:spacing w:after="0" w:line="262"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2019, which this statement accompanies,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240" w:right="20" w:hanging="232"/>
        <w:spacing w:after="0" w:line="262" w:lineRule="auto"/>
        <w:tabs>
          <w:tab w:leader="none" w:pos="2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2019,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decimal"/>
      <w:start w:val="32"/>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upperLetter"/>
      <w:start w:val="1"/>
    </w:lvl>
    <w:lvl w:ilvl="1">
      <w:lvlJc w:val="left"/>
      <w:lvlText w:val="%2."/>
      <w:numFmt w:val="decimal"/>
      <w:start w:val="8"/>
    </w:lvl>
  </w:abstractNum>
  <w:abstractNum w:abstractNumId="10">
    <w:nsid w:val="3352255A"/>
    <w:multiLevelType w:val="hybridMultilevel"/>
    <w:lvl w:ilvl="0">
      <w:lvlJc w:val="left"/>
      <w:lvlText w:val="(%1)"/>
      <w:numFmt w:val="upperLetter"/>
      <w:start w:val="2"/>
    </w:lvl>
    <w:lvl w:ilvl="1">
      <w:lvlJc w:val="left"/>
      <w:lvlText w:val="%2."/>
      <w:numFmt w:val="decimal"/>
      <w:start w:val="10"/>
    </w:lvl>
  </w:abstractNum>
  <w:abstractNum w:abstractNumId="11">
    <w:nsid w:val="109CF92E"/>
    <w:multiLevelType w:val="hybridMultilevel"/>
    <w:lvl w:ilvl="0">
      <w:lvlJc w:val="left"/>
      <w:lvlText w:val="%1."/>
      <w:numFmt w:val="decimal"/>
      <w:start w:val="17"/>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2019-12-28T03:20:45Z</dcterms:created>
  <dcterms:modified xsi:type="dcterms:W3CDTF">2019-12-28T03:20:45Z</dcterms:modified>
</cp:coreProperties>
</file>