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June 30, 2025 or</w:t>
      </w:r>
    </w:p>
    <w:p>
      <w:pPr>
        <w:spacing w:after="0" w:line="289"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20" w:type="dxa"/>
            <w:vAlign w:val="bottom"/>
          </w:tcPr>
          <w:p>
            <w:pPr>
              <w:ind w:left="340"/>
              <w:spacing w:after="0"/>
              <w:rPr>
                <w:sz w:val="20"/>
                <w:szCs w:val="20"/>
                <w:color w:val="auto"/>
              </w:rPr>
            </w:pPr>
            <w:r>
              <w:rPr>
                <w:rFonts w:ascii="Arial" w:cs="Arial" w:eastAsia="Arial" w:hAnsi="Arial"/>
                <w:sz w:val="16"/>
                <w:szCs w:val="16"/>
                <w:color w:val="auto"/>
              </w:rPr>
              <w:t>For the transition period from</w:t>
            </w: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to</w:t>
            </w:r>
          </w:p>
        </w:tc>
        <w:tc>
          <w:tcPr>
            <w:tcW w:w="5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280" w:type="dxa"/>
            <w:vAlign w:val="bottom"/>
            <w:gridSpan w:val="6"/>
          </w:tcPr>
          <w:p>
            <w:pPr>
              <w:ind w:left="34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6980" w:type="dxa"/>
            <w:vAlign w:val="bottom"/>
            <w:gridSpan w:val="2"/>
            <w:vMerge w:val="restart"/>
          </w:tcPr>
          <w:p>
            <w:pPr>
              <w:jc w:val="center"/>
              <w:ind w:right="4223"/>
              <w:spacing w:after="0"/>
              <w:rPr>
                <w:sz w:val="20"/>
                <w:szCs w:val="20"/>
                <w:color w:val="auto"/>
              </w:rPr>
            </w:pPr>
            <w:r>
              <w:rPr>
                <w:rFonts w:ascii="Arial" w:cs="Arial" w:eastAsia="Arial" w:hAnsi="Arial"/>
                <w:sz w:val="22"/>
                <w:szCs w:val="22"/>
                <w:b w:val="1"/>
                <w:bCs w:val="1"/>
                <w:color w:val="auto"/>
                <w:w w:val="97"/>
              </w:rPr>
              <w:t>GENTEX CORPORATION</w:t>
            </w: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540" w:type="dxa"/>
            <w:vAlign w:val="bottom"/>
            <w:gridSpan w:val="3"/>
          </w:tcPr>
          <w:p>
            <w:pPr>
              <w:jc w:val="center"/>
              <w:ind w:right="3663"/>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55"/>
        </w:trPr>
        <w:tc>
          <w:tcPr>
            <w:tcW w:w="4280" w:type="dxa"/>
            <w:vAlign w:val="bottom"/>
            <w:gridSpan w:val="6"/>
          </w:tcPr>
          <w:p>
            <w:pPr>
              <w:jc w:val="center"/>
              <w:ind w:left="1224"/>
              <w:spacing w:after="0"/>
              <w:rPr>
                <w:sz w:val="20"/>
                <w:szCs w:val="20"/>
                <w:color w:val="auto"/>
              </w:rPr>
            </w:pPr>
            <w:r>
              <w:rPr>
                <w:rFonts w:ascii="Arial" w:cs="Arial" w:eastAsia="Arial" w:hAnsi="Arial"/>
                <w:sz w:val="18"/>
                <w:szCs w:val="18"/>
                <w:b w:val="1"/>
                <w:bCs w:val="1"/>
                <w:color w:val="auto"/>
                <w:w w:val="99"/>
              </w:rPr>
              <w:t>Michigan</w:t>
            </w:r>
          </w:p>
        </w:tc>
        <w:tc>
          <w:tcPr>
            <w:tcW w:w="2200" w:type="dxa"/>
            <w:vAlign w:val="bottom"/>
          </w:tcPr>
          <w:p>
            <w:pPr>
              <w:spacing w:after="0"/>
              <w:rPr>
                <w:sz w:val="22"/>
                <w:szCs w:val="22"/>
                <w:color w:val="auto"/>
              </w:rPr>
            </w:pPr>
          </w:p>
        </w:tc>
        <w:tc>
          <w:tcPr>
            <w:tcW w:w="4780" w:type="dxa"/>
            <w:vAlign w:val="bottom"/>
          </w:tcPr>
          <w:p>
            <w:pPr>
              <w:jc w:val="right"/>
              <w:ind w:right="2263"/>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48"/>
        </w:trPr>
        <w:tc>
          <w:tcPr>
            <w:tcW w:w="4280" w:type="dxa"/>
            <w:vAlign w:val="bottom"/>
            <w:gridSpan w:val="6"/>
          </w:tcPr>
          <w:p>
            <w:pPr>
              <w:jc w:val="center"/>
              <w:ind w:left="1244"/>
              <w:spacing w:after="0" w:line="149" w:lineRule="exact"/>
              <w:rPr>
                <w:sz w:val="20"/>
                <w:szCs w:val="20"/>
                <w:color w:val="auto"/>
              </w:rPr>
            </w:pPr>
            <w:r>
              <w:rPr>
                <w:rFonts w:ascii="Arial" w:cs="Arial" w:eastAsia="Arial" w:hAnsi="Arial"/>
                <w:sz w:val="14"/>
                <w:szCs w:val="14"/>
                <w:color w:val="auto"/>
              </w:rPr>
              <w:t>(State or other jurisdiction of</w:t>
            </w:r>
          </w:p>
        </w:tc>
        <w:tc>
          <w:tcPr>
            <w:tcW w:w="2200" w:type="dxa"/>
            <w:vAlign w:val="bottom"/>
          </w:tcPr>
          <w:p>
            <w:pPr>
              <w:spacing w:after="0"/>
              <w:rPr>
                <w:sz w:val="12"/>
                <w:szCs w:val="12"/>
                <w:color w:val="auto"/>
              </w:rPr>
            </w:pPr>
          </w:p>
        </w:tc>
        <w:tc>
          <w:tcPr>
            <w:tcW w:w="4780" w:type="dxa"/>
            <w:vAlign w:val="bottom"/>
          </w:tcPr>
          <w:p>
            <w:pPr>
              <w:jc w:val="center"/>
              <w:ind w:right="783"/>
              <w:spacing w:after="0" w:line="149"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44"/>
              <w:spacing w:after="0"/>
              <w:rPr>
                <w:sz w:val="20"/>
                <w:szCs w:val="20"/>
                <w:color w:val="auto"/>
              </w:rPr>
            </w:pPr>
            <w:r>
              <w:rPr>
                <w:rFonts w:ascii="Arial" w:cs="Arial" w:eastAsia="Arial" w:hAnsi="Arial"/>
                <w:sz w:val="14"/>
                <w:szCs w:val="14"/>
                <w:color w:val="auto"/>
              </w:rPr>
              <w:t>incorporation or organization)</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64"/>
        </w:trPr>
        <w:tc>
          <w:tcPr>
            <w:tcW w:w="4280" w:type="dxa"/>
            <w:vAlign w:val="bottom"/>
            <w:gridSpan w:val="6"/>
          </w:tcPr>
          <w:p>
            <w:pPr>
              <w:jc w:val="center"/>
              <w:ind w:left="1244"/>
              <w:spacing w:after="0"/>
              <w:rPr>
                <w:sz w:val="20"/>
                <w:szCs w:val="20"/>
                <w:color w:val="auto"/>
              </w:rPr>
            </w:pPr>
            <w:r>
              <w:rPr>
                <w:rFonts w:ascii="Arial" w:cs="Arial" w:eastAsia="Arial" w:hAnsi="Arial"/>
                <w:sz w:val="16"/>
                <w:szCs w:val="16"/>
                <w:b w:val="1"/>
                <w:bCs w:val="1"/>
                <w:color w:val="auto"/>
              </w:rPr>
              <w:t>600 N. Centennial</w:t>
            </w:r>
          </w:p>
        </w:tc>
        <w:tc>
          <w:tcPr>
            <w:tcW w:w="220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4"/>
          </w:tcPr>
          <w:p>
            <w:pPr>
              <w:jc w:val="center"/>
              <w:ind w:right="1088"/>
              <w:spacing w:after="0"/>
              <w:rPr>
                <w:sz w:val="20"/>
                <w:szCs w:val="20"/>
                <w:color w:val="auto"/>
              </w:rPr>
            </w:pPr>
            <w:r>
              <w:rPr>
                <w:rFonts w:ascii="Arial" w:cs="Arial" w:eastAsia="Arial" w:hAnsi="Arial"/>
                <w:sz w:val="16"/>
                <w:szCs w:val="16"/>
                <w:b w:val="1"/>
                <w:bCs w:val="1"/>
                <w:color w:val="auto"/>
              </w:rPr>
              <w:t>Zeeland</w:t>
            </w:r>
          </w:p>
        </w:tc>
        <w:tc>
          <w:tcPr>
            <w:tcW w:w="2200" w:type="dxa"/>
            <w:vAlign w:val="bottom"/>
          </w:tcPr>
          <w:p>
            <w:pPr>
              <w:spacing w:after="0"/>
              <w:rPr>
                <w:sz w:val="18"/>
                <w:szCs w:val="18"/>
                <w:color w:val="auto"/>
              </w:rPr>
            </w:pPr>
          </w:p>
        </w:tc>
        <w:tc>
          <w:tcPr>
            <w:tcW w:w="4780" w:type="dxa"/>
            <w:vAlign w:val="bottom"/>
            <w:vMerge w:val="restart"/>
          </w:tcPr>
          <w:p>
            <w:pPr>
              <w:jc w:val="right"/>
              <w:ind w:right="2503"/>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860" w:type="dxa"/>
            <w:vAlign w:val="bottom"/>
            <w:gridSpan w:val="5"/>
          </w:tcPr>
          <w:p>
            <w:pPr>
              <w:jc w:val="center"/>
              <w:ind w:right="1048"/>
              <w:spacing w:after="0"/>
              <w:rPr>
                <w:sz w:val="20"/>
                <w:szCs w:val="20"/>
                <w:color w:val="auto"/>
              </w:rPr>
            </w:pPr>
            <w:r>
              <w:rPr>
                <w:rFonts w:ascii="Arial" w:cs="Arial" w:eastAsia="Arial" w:hAnsi="Arial"/>
                <w:sz w:val="16"/>
                <w:szCs w:val="16"/>
                <w:b w:val="1"/>
                <w:bCs w:val="1"/>
                <w:color w:val="auto"/>
              </w:rPr>
              <w:t>Michigan</w:t>
            </w:r>
          </w:p>
        </w:tc>
        <w:tc>
          <w:tcPr>
            <w:tcW w:w="2200" w:type="dxa"/>
            <w:vAlign w:val="bottom"/>
          </w:tcPr>
          <w:p>
            <w:pPr>
              <w:spacing w:after="0"/>
              <w:rPr>
                <w:sz w:val="20"/>
                <w:szCs w:val="20"/>
                <w:color w:val="auto"/>
              </w:rPr>
            </w:pP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24"/>
              <w:spacing w:after="0"/>
              <w:rPr>
                <w:sz w:val="20"/>
                <w:szCs w:val="20"/>
                <w:color w:val="auto"/>
              </w:rPr>
            </w:pPr>
            <w:r>
              <w:rPr>
                <w:rFonts w:ascii="Arial" w:cs="Arial" w:eastAsia="Arial" w:hAnsi="Arial"/>
                <w:sz w:val="14"/>
                <w:szCs w:val="14"/>
                <w:color w:val="auto"/>
              </w:rPr>
              <w:t>(Address of principal executive offices)</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jc w:val="right"/>
              <w:ind w:right="155"/>
              <w:spacing w:after="0"/>
              <w:rPr>
                <w:sz w:val="20"/>
                <w:szCs w:val="20"/>
                <w:color w:val="auto"/>
              </w:rPr>
            </w:pPr>
            <w:r>
              <w:rPr>
                <w:rFonts w:ascii="Arial" w:cs="Arial" w:eastAsia="Arial" w:hAnsi="Arial"/>
                <w:sz w:val="18"/>
                <w:szCs w:val="18"/>
                <w:b w:val="1"/>
                <w:bCs w:val="1"/>
                <w:color w:val="auto"/>
              </w:rPr>
              <w:t>(616) 772-1800</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40" w:type="dxa"/>
            <w:vAlign w:val="bottom"/>
            <w:gridSpan w:val="3"/>
          </w:tcPr>
          <w:p>
            <w:pPr>
              <w:jc w:val="center"/>
              <w:ind w:right="3643"/>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8840" w:type="dxa"/>
            <w:vAlign w:val="bottom"/>
            <w:gridSpan w:val="7"/>
          </w:tcPr>
          <w:p>
            <w:pPr>
              <w:jc w:val="right"/>
              <w:ind w:right="3883"/>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17"/>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60" w:type="dxa"/>
            <w:vAlign w:val="bottom"/>
            <w:gridSpan w:val="5"/>
          </w:tcPr>
          <w:p>
            <w:pPr>
              <w:jc w:val="center"/>
              <w:ind w:right="2923"/>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80"/>
        </w:trPr>
        <w:tc>
          <w:tcPr>
            <w:tcW w:w="428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96"/>
        </w:trPr>
        <w:tc>
          <w:tcPr>
            <w:tcW w:w="4280" w:type="dxa"/>
            <w:vAlign w:val="bottom"/>
            <w:tcBorders>
              <w:left w:val="single" w:sz="8" w:color="auto"/>
              <w:bottom w:val="single" w:sz="8" w:color="auto"/>
              <w:right w:val="single" w:sz="8" w:color="auto"/>
            </w:tcBorders>
            <w:gridSpan w:val="6"/>
          </w:tcPr>
          <w:p>
            <w:pPr>
              <w:ind w:left="40"/>
              <w:spacing w:after="0"/>
              <w:rPr>
                <w:sz w:val="20"/>
                <w:szCs w:val="20"/>
                <w:color w:val="auto"/>
              </w:rPr>
            </w:pPr>
            <w:r>
              <w:rPr>
                <w:rFonts w:ascii="Arial" w:cs="Arial" w:eastAsia="Arial" w:hAnsi="Arial"/>
                <w:sz w:val="14"/>
                <w:szCs w:val="14"/>
                <w:color w:val="auto"/>
              </w:rPr>
              <w:t>Common Stock, par value $0.06 per share</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GNTX</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234" w:lineRule="exact"/>
        <w:rPr>
          <w:sz w:val="24"/>
          <w:szCs w:val="24"/>
          <w:color w:val="auto"/>
        </w:rPr>
      </w:pPr>
    </w:p>
    <w:p>
      <w:pPr>
        <w:ind w:right="12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6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Wingdings" w:cs="Wingdings" w:eastAsia="Wingdings" w:hAnsi="Wingdings"/>
          <w:sz w:val="14"/>
          <w:szCs w:val="14"/>
          <w:b w:val="1"/>
          <w:bCs w:val="1"/>
          <w:color w:val="auto"/>
        </w:rPr>
        <w:t>o</w:t>
      </w:r>
    </w:p>
    <w:p>
      <w:pPr>
        <w:spacing w:after="0" w:line="166" w:lineRule="exact"/>
        <w:rPr>
          <w:sz w:val="24"/>
          <w:szCs w:val="24"/>
          <w:color w:val="auto"/>
        </w:rPr>
      </w:pPr>
    </w:p>
    <w:p>
      <w:pPr>
        <w:ind w:right="54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14" w:lineRule="exact"/>
        <w:rPr>
          <w:sz w:val="24"/>
          <w:szCs w:val="24"/>
          <w:color w:val="auto"/>
        </w:rPr>
      </w:pPr>
    </w:p>
    <w:p>
      <w:pPr>
        <w:ind w:right="28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0"/>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4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7"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67" w:lineRule="exact"/>
        <w:rPr>
          <w:sz w:val="24"/>
          <w:szCs w:val="24"/>
          <w:color w:val="auto"/>
        </w:rPr>
      </w:pPr>
    </w:p>
    <w:p>
      <w:pPr>
        <w:spacing w:after="0" w:line="161" w:lineRule="exact"/>
        <w:tabs>
          <w:tab w:leader="none" w:pos="8040" w:val="left"/>
          <w:tab w:leader="none" w:pos="840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2"/>
          <w:szCs w:val="12"/>
          <w:color w:val="auto"/>
        </w:rPr>
        <w:t>☑</w:t>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PRECEDING FIVE YEARS:</w:t>
      </w:r>
    </w:p>
    <w:p>
      <w:pPr>
        <w:spacing w:after="0" w:line="177" w:lineRule="exact"/>
        <w:rPr>
          <w:sz w:val="24"/>
          <w:szCs w:val="24"/>
          <w:color w:val="auto"/>
        </w:rPr>
      </w:pPr>
    </w:p>
    <w:p>
      <w:pPr>
        <w:ind w:right="56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14"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7"/>
                <w:szCs w:val="17"/>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July 25, 2025</w:t>
            </w:r>
          </w:p>
        </w:tc>
      </w:tr>
      <w:tr>
        <w:trPr>
          <w:trHeight w:val="189"/>
        </w:trPr>
        <w:tc>
          <w:tcPr>
            <w:tcW w:w="528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520" w:type="dxa"/>
            <w:vAlign w:val="bottom"/>
          </w:tcPr>
          <w:p>
            <w:pPr>
              <w:jc w:val="right"/>
              <w:ind w:right="2288"/>
              <w:spacing w:after="0"/>
              <w:rPr>
                <w:sz w:val="20"/>
                <w:szCs w:val="20"/>
                <w:color w:val="auto"/>
              </w:rPr>
            </w:pPr>
            <w:r>
              <w:rPr>
                <w:rFonts w:ascii="Arial" w:cs="Arial" w:eastAsia="Arial" w:hAnsi="Arial"/>
                <w:sz w:val="14"/>
                <w:szCs w:val="14"/>
                <w:color w:val="auto"/>
              </w:rPr>
              <w:t>219,489,358</w:t>
            </w:r>
          </w:p>
        </w:tc>
      </w:tr>
    </w:tbl>
    <w:p>
      <w:pPr>
        <w:spacing w:after="0" w:line="200" w:lineRule="exact"/>
        <w:rPr>
          <w:sz w:val="24"/>
          <w:szCs w:val="24"/>
          <w:color w:val="auto"/>
        </w:rPr>
      </w:pPr>
    </w:p>
    <w:p>
      <w:pPr>
        <w:sectPr>
          <w:pgSz w:w="11900" w:h="16838" w:orient="portrait"/>
          <w:cols w:equalWidth="0" w:num="1">
            <w:col w:w="11260"/>
          </w:cols>
          <w:pgMar w:left="320" w:top="607"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and Six Months Ended June 30, 2025</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 - Financial Information</w:t>
            </w:r>
          </w:p>
        </w:tc>
        <w:tc>
          <w:tcPr>
            <w:tcW w:w="1480" w:type="dxa"/>
            <w:vAlign w:val="bottom"/>
            <w:gridSpan w:val="3"/>
          </w:tcPr>
          <w:p>
            <w:pPr>
              <w:ind w:left="960"/>
              <w:spacing w:after="0"/>
              <w:rPr>
                <w:sz w:val="20"/>
                <w:szCs w:val="20"/>
                <w:color w:val="auto"/>
              </w:rPr>
            </w:pPr>
            <w:r>
              <w:rPr>
                <w:rFonts w:ascii="Arial" w:cs="Arial" w:eastAsia="Arial" w:hAnsi="Arial"/>
                <w:sz w:val="22"/>
                <w:szCs w:val="22"/>
                <w:b w:val="1"/>
                <w:bCs w:val="1"/>
                <w:color w:val="auto"/>
                <w:w w:val="94"/>
              </w:rPr>
              <w:t>Page</w:t>
            </w: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w:t>
            </w:r>
          </w:p>
        </w:tc>
        <w:tc>
          <w:tcPr>
            <w:tcW w:w="4620" w:type="dxa"/>
            <w:vAlign w:val="bottom"/>
            <w:gridSpan w:val="6"/>
          </w:tcPr>
          <w:p>
            <w:pPr>
              <w:spacing w:after="0" w:line="195" w:lineRule="exact"/>
              <w:rPr>
                <w:sz w:val="20"/>
                <w:szCs w:val="20"/>
                <w:color w:val="auto"/>
              </w:rPr>
            </w:pPr>
            <w:r>
              <w:rPr>
                <w:rFonts w:ascii="Arial" w:cs="Arial" w:eastAsia="Arial" w:hAnsi="Arial"/>
                <w:sz w:val="18"/>
                <w:szCs w:val="18"/>
                <w:color w:val="0000FF"/>
                <w:w w:val="99"/>
              </w:rPr>
              <w:t>Unaudited Condensed Consolidated Financial Statements</w:t>
            </w:r>
          </w:p>
        </w:tc>
        <w:tc>
          <w:tcPr>
            <w:tcW w:w="3420" w:type="dxa"/>
            <w:vAlign w:val="bottom"/>
            <w:gridSpan w:val="9"/>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jc w:val="center"/>
              <w:spacing w:after="0" w:line="195" w:lineRule="exact"/>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0000FF"/>
                <w:w w:val="99"/>
              </w:rPr>
              <w:t>Unaudited Condensed Consolidated Balance Sheets</w:t>
            </w:r>
          </w:p>
        </w:tc>
        <w:tc>
          <w:tcPr>
            <w:tcW w:w="420" w:type="dxa"/>
            <w:vAlign w:val="bottom"/>
          </w:tcPr>
          <w:p>
            <w:pPr>
              <w:spacing w:after="0"/>
              <w:rPr>
                <w:sz w:val="18"/>
                <w:szCs w:val="18"/>
                <w:color w:val="auto"/>
              </w:rPr>
            </w:pPr>
          </w:p>
        </w:tc>
        <w:tc>
          <w:tcPr>
            <w:tcW w:w="3420" w:type="dxa"/>
            <w:vAlign w:val="bottom"/>
            <w:gridSpan w:val="9"/>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Income</w:t>
            </w:r>
          </w:p>
        </w:tc>
        <w:tc>
          <w:tcPr>
            <w:tcW w:w="1260" w:type="dxa"/>
            <w:vAlign w:val="bottom"/>
            <w:gridSpan w:val="2"/>
          </w:tcPr>
          <w:p>
            <w:pPr>
              <w:jc w:val="center"/>
              <w:ind w:left="1069"/>
              <w:spacing w:after="0"/>
              <w:rPr>
                <w:sz w:val="20"/>
                <w:szCs w:val="20"/>
                <w:color w:val="auto"/>
              </w:rPr>
            </w:pPr>
            <w:r>
              <w:rPr>
                <w:rFonts w:ascii="Arial" w:cs="Arial" w:eastAsia="Arial" w:hAnsi="Arial"/>
                <w:sz w:val="18"/>
                <w:szCs w:val="18"/>
                <w:color w:val="0000FF"/>
                <w:w w:val="99"/>
              </w:rPr>
              <w:t>4</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0000FF"/>
                <w:w w:val="99"/>
              </w:rPr>
              <w:t>Unaudited Condensed Consolidated Statements of Comprehensive Income</w:t>
            </w:r>
          </w:p>
        </w:tc>
        <w:tc>
          <w:tcPr>
            <w:tcW w:w="2040" w:type="dxa"/>
            <w:vAlign w:val="bottom"/>
            <w:gridSpan w:val="3"/>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Shareholders' Investment</w:t>
            </w:r>
          </w:p>
        </w:tc>
        <w:tc>
          <w:tcPr>
            <w:tcW w:w="1260" w:type="dxa"/>
            <w:vAlign w:val="bottom"/>
            <w:gridSpan w:val="2"/>
          </w:tcPr>
          <w:p>
            <w:pPr>
              <w:jc w:val="center"/>
              <w:ind w:left="1069"/>
              <w:spacing w:after="0"/>
              <w:rPr>
                <w:sz w:val="20"/>
                <w:szCs w:val="20"/>
                <w:color w:val="auto"/>
              </w:rPr>
            </w:pPr>
            <w:r>
              <w:rPr>
                <w:rFonts w:ascii="Arial" w:cs="Arial" w:eastAsia="Arial" w:hAnsi="Arial"/>
                <w:sz w:val="18"/>
                <w:szCs w:val="18"/>
                <w:color w:val="0000FF"/>
                <w:w w:val="99"/>
              </w:rPr>
              <w:t>6</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040" w:type="dxa"/>
            <w:vAlign w:val="bottom"/>
            <w:gridSpan w:val="10"/>
          </w:tcPr>
          <w:p>
            <w:pPr>
              <w:spacing w:after="0"/>
              <w:rPr>
                <w:sz w:val="20"/>
                <w:szCs w:val="20"/>
                <w:color w:val="auto"/>
              </w:rPr>
            </w:pPr>
            <w:r>
              <w:rPr>
                <w:rFonts w:ascii="Arial" w:cs="Arial" w:eastAsia="Arial" w:hAnsi="Arial"/>
                <w:sz w:val="18"/>
                <w:szCs w:val="18"/>
                <w:color w:val="0000FF"/>
                <w:w w:val="99"/>
              </w:rPr>
              <w:t>Unaudited Condensed Consolidated Statements of Cash Flows</w:t>
            </w:r>
          </w:p>
        </w:tc>
        <w:tc>
          <w:tcPr>
            <w:tcW w:w="1080" w:type="dxa"/>
            <w:vAlign w:val="bottom"/>
            <w:gridSpan w:val="3"/>
          </w:tcPr>
          <w:p>
            <w:pPr>
              <w:spacing w:after="0"/>
              <w:rPr>
                <w:sz w:val="18"/>
                <w:szCs w:val="18"/>
                <w:color w:val="auto"/>
              </w:rPr>
            </w:pPr>
          </w:p>
        </w:tc>
        <w:tc>
          <w:tcPr>
            <w:tcW w:w="19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340" w:type="dxa"/>
            <w:vAlign w:val="bottom"/>
            <w:gridSpan w:val="11"/>
          </w:tcPr>
          <w:p>
            <w:pPr>
              <w:spacing w:after="0"/>
              <w:rPr>
                <w:sz w:val="20"/>
                <w:szCs w:val="20"/>
                <w:color w:val="auto"/>
              </w:rPr>
            </w:pPr>
            <w:r>
              <w:rPr>
                <w:rFonts w:ascii="Arial" w:cs="Arial" w:eastAsia="Arial" w:hAnsi="Arial"/>
                <w:sz w:val="18"/>
                <w:szCs w:val="18"/>
                <w:color w:val="0000FF"/>
                <w:w w:val="99"/>
              </w:rPr>
              <w:t>Notes to Unaudited Condensed Consolidated Financial Statements</w:t>
            </w:r>
          </w:p>
        </w:tc>
        <w:tc>
          <w:tcPr>
            <w:tcW w:w="2700" w:type="dxa"/>
            <w:vAlign w:val="bottom"/>
            <w:gridSpan w:val="4"/>
          </w:tcPr>
          <w:p>
            <w:pPr>
              <w:spacing w:after="0"/>
              <w:rPr>
                <w:sz w:val="18"/>
                <w:szCs w:val="18"/>
                <w:color w:val="auto"/>
              </w:rPr>
            </w:pPr>
          </w:p>
        </w:tc>
        <w:tc>
          <w:tcPr>
            <w:tcW w:w="1480" w:type="dxa"/>
            <w:vAlign w:val="bottom"/>
            <w:gridSpan w:val="3"/>
          </w:tcPr>
          <w:p>
            <w:pPr>
              <w:jc w:val="center"/>
              <w:ind w:left="869"/>
              <w:spacing w:after="0"/>
              <w:rPr>
                <w:sz w:val="20"/>
                <w:szCs w:val="20"/>
                <w:color w:val="auto"/>
              </w:rPr>
            </w:pPr>
            <w:r>
              <w:rPr>
                <w:rFonts w:ascii="Arial" w:cs="Arial" w:eastAsia="Arial" w:hAnsi="Arial"/>
                <w:sz w:val="18"/>
                <w:szCs w:val="18"/>
                <w:color w:val="0000FF"/>
                <w:w w:val="99"/>
              </w:rPr>
              <w:t>10</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gridSpan w:val="3"/>
          </w:tcPr>
          <w:p>
            <w:pPr>
              <w:jc w:val="center"/>
              <w:ind w:left="869"/>
              <w:spacing w:after="0"/>
              <w:rPr>
                <w:sz w:val="20"/>
                <w:szCs w:val="20"/>
                <w:color w:val="auto"/>
              </w:rPr>
            </w:pPr>
            <w:r>
              <w:rPr>
                <w:rFonts w:ascii="Arial" w:cs="Arial" w:eastAsia="Arial" w:hAnsi="Arial"/>
                <w:sz w:val="18"/>
                <w:szCs w:val="18"/>
                <w:color w:val="0000FF"/>
                <w:w w:val="99"/>
              </w:rPr>
              <w:t>33</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706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80" w:type="dxa"/>
            <w:vAlign w:val="bottom"/>
          </w:tcPr>
          <w:p>
            <w:pPr>
              <w:spacing w:after="0"/>
              <w:rPr>
                <w:sz w:val="18"/>
                <w:szCs w:val="18"/>
                <w:color w:val="auto"/>
              </w:rPr>
            </w:pPr>
          </w:p>
        </w:tc>
        <w:tc>
          <w:tcPr>
            <w:tcW w:w="1480" w:type="dxa"/>
            <w:vAlign w:val="bottom"/>
            <w:gridSpan w:val="3"/>
          </w:tcPr>
          <w:p>
            <w:pPr>
              <w:jc w:val="center"/>
              <w:ind w:left="869"/>
              <w:spacing w:after="0"/>
              <w:rPr>
                <w:sz w:val="20"/>
                <w:szCs w:val="20"/>
                <w:color w:val="auto"/>
              </w:rPr>
            </w:pPr>
            <w:r>
              <w:rPr>
                <w:rFonts w:ascii="Arial" w:cs="Arial" w:eastAsia="Arial" w:hAnsi="Arial"/>
                <w:sz w:val="18"/>
                <w:szCs w:val="18"/>
                <w:color w:val="0000FF"/>
                <w:w w:val="99"/>
              </w:rPr>
              <w:t>47</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8"/>
          </w:tcPr>
          <w:p>
            <w:pPr>
              <w:spacing w:after="0"/>
              <w:rPr>
                <w:sz w:val="20"/>
                <w:szCs w:val="20"/>
                <w:color w:val="auto"/>
              </w:rPr>
            </w:pPr>
            <w:r>
              <w:rPr>
                <w:rFonts w:ascii="Arial" w:cs="Arial" w:eastAsia="Arial" w:hAnsi="Arial"/>
                <w:sz w:val="18"/>
                <w:szCs w:val="18"/>
                <w:color w:val="0000FF"/>
              </w:rPr>
              <w:t>Controls and Procedures</w:t>
            </w:r>
          </w:p>
        </w:tc>
        <w:tc>
          <w:tcPr>
            <w:tcW w:w="3340" w:type="dxa"/>
            <w:vAlign w:val="bottom"/>
            <w:gridSpan w:val="7"/>
          </w:tcPr>
          <w:p>
            <w:pPr>
              <w:spacing w:after="0"/>
              <w:rPr>
                <w:sz w:val="18"/>
                <w:szCs w:val="18"/>
                <w:color w:val="auto"/>
              </w:rPr>
            </w:pPr>
          </w:p>
        </w:tc>
        <w:tc>
          <w:tcPr>
            <w:tcW w:w="1480" w:type="dxa"/>
            <w:vAlign w:val="bottom"/>
            <w:gridSpan w:val="3"/>
          </w:tcPr>
          <w:p>
            <w:pPr>
              <w:jc w:val="center"/>
              <w:ind w:left="869"/>
              <w:spacing w:after="0"/>
              <w:rPr>
                <w:sz w:val="20"/>
                <w:szCs w:val="20"/>
                <w:color w:val="auto"/>
              </w:rPr>
            </w:pPr>
            <w:r>
              <w:rPr>
                <w:rFonts w:ascii="Arial" w:cs="Arial" w:eastAsia="Arial" w:hAnsi="Arial"/>
                <w:sz w:val="18"/>
                <w:szCs w:val="18"/>
                <w:color w:val="0000FF"/>
                <w:w w:val="99"/>
              </w:rPr>
              <w:t>48</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55"/>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II - Other Information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line="195" w:lineRule="exact"/>
              <w:rPr>
                <w:sz w:val="20"/>
                <w:szCs w:val="20"/>
                <w:color w:val="auto"/>
              </w:rPr>
            </w:pPr>
            <w:r>
              <w:rPr>
                <w:rFonts w:ascii="Arial" w:cs="Arial" w:eastAsia="Arial" w:hAnsi="Arial"/>
                <w:sz w:val="18"/>
                <w:szCs w:val="18"/>
                <w:color w:val="0000FF"/>
                <w:w w:val="95"/>
              </w:rPr>
              <w:t>Risk Factors</w:t>
            </w:r>
          </w:p>
        </w:tc>
        <w:tc>
          <w:tcPr>
            <w:tcW w:w="7040" w:type="dxa"/>
            <w:vAlign w:val="bottom"/>
            <w:gridSpan w:val="12"/>
          </w:tcPr>
          <w:p>
            <w:pPr>
              <w:spacing w:after="0"/>
              <w:rPr>
                <w:sz w:val="16"/>
                <w:szCs w:val="16"/>
                <w:color w:val="auto"/>
              </w:rPr>
            </w:pPr>
          </w:p>
        </w:tc>
        <w:tc>
          <w:tcPr>
            <w:tcW w:w="1480" w:type="dxa"/>
            <w:vAlign w:val="bottom"/>
            <w:gridSpan w:val="3"/>
          </w:tcPr>
          <w:p>
            <w:pPr>
              <w:jc w:val="center"/>
              <w:ind w:left="869"/>
              <w:spacing w:after="0" w:line="195" w:lineRule="exact"/>
              <w:rPr>
                <w:sz w:val="20"/>
                <w:szCs w:val="20"/>
                <w:color w:val="auto"/>
              </w:rPr>
            </w:pPr>
            <w:r>
              <w:rPr>
                <w:rFonts w:ascii="Arial" w:cs="Arial" w:eastAsia="Arial" w:hAnsi="Arial"/>
                <w:sz w:val="18"/>
                <w:szCs w:val="18"/>
                <w:color w:val="0000FF"/>
                <w:w w:val="99"/>
              </w:rPr>
              <w:t>49</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80" w:type="dxa"/>
            <w:vAlign w:val="bottom"/>
            <w:gridSpan w:val="3"/>
          </w:tcPr>
          <w:p>
            <w:pPr>
              <w:jc w:val="center"/>
              <w:ind w:left="869"/>
              <w:spacing w:after="0"/>
              <w:rPr>
                <w:sz w:val="20"/>
                <w:szCs w:val="20"/>
                <w:color w:val="auto"/>
              </w:rPr>
            </w:pPr>
            <w:r>
              <w:rPr>
                <w:rFonts w:ascii="Arial" w:cs="Arial" w:eastAsia="Arial" w:hAnsi="Arial"/>
                <w:sz w:val="18"/>
                <w:szCs w:val="18"/>
                <w:color w:val="0000FF"/>
                <w:w w:val="99"/>
              </w:rPr>
              <w:t>49</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tcBorders>
              <w:left w:val="single" w:sz="8" w:color="0000FF"/>
            </w:tcBorders>
            <w:gridSpan w:val="6"/>
            <w:shd w:val="clear" w:color="auto" w:fill="0000FF"/>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4840" w:type="dxa"/>
            <w:vAlign w:val="bottom"/>
            <w:gridSpan w:val="9"/>
          </w:tcPr>
          <w:p>
            <w:pPr>
              <w:spacing w:after="0"/>
              <w:rPr>
                <w:sz w:val="20"/>
                <w:szCs w:val="20"/>
                <w:color w:val="auto"/>
              </w:rPr>
            </w:pPr>
            <w:r>
              <w:rPr>
                <w:rFonts w:ascii="Arial" w:cs="Arial" w:eastAsia="Arial" w:hAnsi="Arial"/>
                <w:sz w:val="18"/>
                <w:szCs w:val="18"/>
                <w:color w:val="0000FF"/>
              </w:rPr>
              <w:t>Exhibits</w:t>
            </w:r>
          </w:p>
        </w:tc>
        <w:tc>
          <w:tcPr>
            <w:tcW w:w="3200" w:type="dxa"/>
            <w:vAlign w:val="bottom"/>
            <w:gridSpan w:val="6"/>
          </w:tcPr>
          <w:p>
            <w:pPr>
              <w:spacing w:after="0"/>
              <w:rPr>
                <w:sz w:val="18"/>
                <w:szCs w:val="18"/>
                <w:color w:val="auto"/>
              </w:rPr>
            </w:pPr>
          </w:p>
        </w:tc>
        <w:tc>
          <w:tcPr>
            <w:tcW w:w="1480" w:type="dxa"/>
            <w:vAlign w:val="bottom"/>
            <w:gridSpan w:val="3"/>
          </w:tcPr>
          <w:p>
            <w:pPr>
              <w:jc w:val="center"/>
              <w:ind w:left="869"/>
              <w:spacing w:after="0"/>
              <w:rPr>
                <w:sz w:val="20"/>
                <w:szCs w:val="20"/>
                <w:color w:val="auto"/>
              </w:rPr>
            </w:pPr>
            <w:r>
              <w:rPr>
                <w:rFonts w:ascii="Arial" w:cs="Arial" w:eastAsia="Arial" w:hAnsi="Arial"/>
                <w:sz w:val="18"/>
                <w:szCs w:val="18"/>
                <w:color w:val="0000FF"/>
                <w:w w:val="99"/>
              </w:rPr>
              <w:t>49</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40" w:type="dxa"/>
            <w:vAlign w:val="bottom"/>
            <w:gridSpan w:val="12"/>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302FF"/>
                <w:w w:val="97"/>
              </w:rPr>
              <w:t>Signatures</w:t>
            </w:r>
          </w:p>
        </w:tc>
        <w:tc>
          <w:tcPr>
            <w:tcW w:w="7180" w:type="dxa"/>
            <w:vAlign w:val="bottom"/>
            <w:gridSpan w:val="13"/>
          </w:tcPr>
          <w:p>
            <w:pPr>
              <w:spacing w:after="0"/>
              <w:rPr>
                <w:sz w:val="18"/>
                <w:szCs w:val="18"/>
                <w:color w:val="auto"/>
              </w:rPr>
            </w:pPr>
          </w:p>
        </w:tc>
        <w:tc>
          <w:tcPr>
            <w:tcW w:w="1480" w:type="dxa"/>
            <w:vAlign w:val="bottom"/>
            <w:gridSpan w:val="3"/>
          </w:tcPr>
          <w:p>
            <w:pPr>
              <w:jc w:val="center"/>
              <w:ind w:left="869"/>
              <w:spacing w:after="0"/>
              <w:rPr>
                <w:sz w:val="20"/>
                <w:szCs w:val="20"/>
                <w:color w:val="auto"/>
              </w:rPr>
            </w:pPr>
            <w:r>
              <w:rPr>
                <w:rFonts w:ascii="Arial" w:cs="Arial" w:eastAsia="Arial" w:hAnsi="Arial"/>
                <w:sz w:val="18"/>
                <w:szCs w:val="18"/>
                <w:color w:val="0000FF"/>
                <w:w w:val="99"/>
              </w:rPr>
              <w:t>50</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302FF"/>
          </w:tcPr>
          <w:p>
            <w:pPr>
              <w:spacing w:after="0" w:line="20" w:lineRule="exact"/>
              <w:rPr>
                <w:sz w:val="1"/>
                <w:szCs w:val="1"/>
                <w:color w:val="auto"/>
              </w:rPr>
            </w:pPr>
          </w:p>
        </w:tc>
        <w:tc>
          <w:tcPr>
            <w:tcW w:w="240" w:type="dxa"/>
            <w:vAlign w:val="bottom"/>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Exhibit Index</w:t>
            </w:r>
          </w:p>
        </w:tc>
        <w:tc>
          <w:tcPr>
            <w:tcW w:w="1480" w:type="dxa"/>
            <w:vAlign w:val="bottom"/>
            <w:gridSpan w:val="3"/>
          </w:tcPr>
          <w:p>
            <w:pPr>
              <w:jc w:val="center"/>
              <w:ind w:left="869"/>
              <w:spacing w:after="0"/>
              <w:rPr>
                <w:sz w:val="20"/>
                <w:szCs w:val="20"/>
                <w:color w:val="auto"/>
              </w:rPr>
            </w:pPr>
            <w:r>
              <w:rPr>
                <w:rFonts w:ascii="Arial" w:cs="Arial" w:eastAsia="Arial" w:hAnsi="Arial"/>
                <w:sz w:val="18"/>
                <w:szCs w:val="18"/>
                <w:color w:val="0000FF"/>
                <w:w w:val="99"/>
              </w:rPr>
              <w:t>51</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931"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84"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GENTEX CORPORATION AND SUBSIDIARIES</w:t>
      </w:r>
    </w:p>
    <w:p>
      <w:pPr>
        <w:spacing w:after="0" w:line="59"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UNAUDITED CONDENSED CONSOLIDATED BALANCE SHEETS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June 30, 2025 and December 31, 2024</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June 30, 2025 (Unaudited)</w:t>
            </w: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9"/>
        </w:trPr>
        <w:tc>
          <w:tcPr>
            <w:tcW w:w="6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60" w:type="dxa"/>
            <w:vAlign w:val="bottom"/>
            <w:shd w:val="clear" w:color="auto" w:fill="CCEEFF"/>
          </w:tcPr>
          <w:p>
            <w:pPr>
              <w:jc w:val="right"/>
              <w:ind w:right="780"/>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195"/>
        </w:trPr>
        <w:tc>
          <w:tcPr>
            <w:tcW w:w="6800" w:type="dxa"/>
            <w:vAlign w:val="bottom"/>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119,774,840</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233,318,766</w:t>
            </w: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Short-term investments</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21,303,330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22,304,829</w:t>
            </w:r>
          </w:p>
        </w:tc>
        <w:tc>
          <w:tcPr>
            <w:tcW w:w="0" w:type="dxa"/>
            <w:vAlign w:val="bottom"/>
          </w:tcPr>
          <w:p>
            <w:pPr>
              <w:spacing w:after="0"/>
              <w:rPr>
                <w:sz w:val="1"/>
                <w:szCs w:val="1"/>
                <w:color w:val="auto"/>
              </w:rPr>
            </w:pPr>
          </w:p>
        </w:tc>
      </w:tr>
      <w:tr>
        <w:trPr>
          <w:trHeight w:val="215"/>
        </w:trPr>
        <w:tc>
          <w:tcPr>
            <w:tcW w:w="6800" w:type="dxa"/>
            <w:vAlign w:val="bottom"/>
          </w:tcPr>
          <w:p>
            <w:pPr>
              <w:ind w:left="240"/>
              <w:spacing w:after="0"/>
              <w:rPr>
                <w:sz w:val="20"/>
                <w:szCs w:val="20"/>
                <w:color w:val="auto"/>
              </w:rPr>
            </w:pPr>
            <w:r>
              <w:rPr>
                <w:rFonts w:ascii="Arial" w:cs="Arial" w:eastAsia="Arial" w:hAnsi="Arial"/>
                <w:sz w:val="16"/>
                <w:szCs w:val="16"/>
                <w:color w:val="auto"/>
              </w:rPr>
              <w:t>Accounts receivable, net</w:t>
            </w:r>
          </w:p>
        </w:tc>
        <w:tc>
          <w:tcPr>
            <w:tcW w:w="1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372,961,789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295,344,353</w:t>
            </w: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Inventories, net</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475,719,663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436,497,445</w:t>
            </w:r>
          </w:p>
        </w:tc>
        <w:tc>
          <w:tcPr>
            <w:tcW w:w="0" w:type="dxa"/>
            <w:vAlign w:val="bottom"/>
          </w:tcPr>
          <w:p>
            <w:pPr>
              <w:spacing w:after="0"/>
              <w:rPr>
                <w:sz w:val="1"/>
                <w:szCs w:val="1"/>
                <w:color w:val="auto"/>
              </w:rPr>
            </w:pPr>
          </w:p>
        </w:tc>
      </w:tr>
      <w:tr>
        <w:trPr>
          <w:trHeight w:val="215"/>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Prepaid expenses and other</w:t>
            </w: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72,217,004</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49,862,777</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1,061,976,626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1,037,328,170</w:t>
            </w:r>
          </w:p>
        </w:tc>
        <w:tc>
          <w:tcPr>
            <w:tcW w:w="0" w:type="dxa"/>
            <w:vAlign w:val="bottom"/>
          </w:tcPr>
          <w:p>
            <w:pPr>
              <w:spacing w:after="0"/>
              <w:rPr>
                <w:sz w:val="1"/>
                <w:szCs w:val="1"/>
                <w:color w:val="auto"/>
              </w:rPr>
            </w:pPr>
          </w:p>
        </w:tc>
      </w:tr>
      <w:tr>
        <w:trPr>
          <w:trHeight w:val="108"/>
        </w:trPr>
        <w:tc>
          <w:tcPr>
            <w:tcW w:w="6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PLANT AND EQUIPMENT—NET</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783,863,952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728,481,467</w:t>
            </w:r>
          </w:p>
        </w:tc>
        <w:tc>
          <w:tcPr>
            <w:tcW w:w="0" w:type="dxa"/>
            <w:vAlign w:val="bottom"/>
          </w:tcPr>
          <w:p>
            <w:pPr>
              <w:spacing w:after="0"/>
              <w:rPr>
                <w:sz w:val="1"/>
                <w:szCs w:val="1"/>
                <w:color w:val="auto"/>
              </w:rPr>
            </w:pPr>
          </w:p>
        </w:tc>
      </w:tr>
      <w:tr>
        <w:trPr>
          <w:trHeight w:val="108"/>
        </w:trPr>
        <w:tc>
          <w:tcPr>
            <w:tcW w:w="6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4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340,668,927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340,668,927</w:t>
            </w: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Long-term investments</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267,045,895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339,604,044</w:t>
            </w:r>
          </w:p>
        </w:tc>
        <w:tc>
          <w:tcPr>
            <w:tcW w:w="0" w:type="dxa"/>
            <w:vAlign w:val="bottom"/>
          </w:tcPr>
          <w:p>
            <w:pPr>
              <w:spacing w:after="0"/>
              <w:rPr>
                <w:sz w:val="1"/>
                <w:szCs w:val="1"/>
                <w:color w:val="auto"/>
              </w:rPr>
            </w:pPr>
          </w:p>
        </w:tc>
      </w:tr>
      <w:tr>
        <w:trPr>
          <w:trHeight w:val="215"/>
        </w:trPr>
        <w:tc>
          <w:tcPr>
            <w:tcW w:w="6800" w:type="dxa"/>
            <w:vAlign w:val="bottom"/>
          </w:tcPr>
          <w:p>
            <w:pPr>
              <w:ind w:left="240"/>
              <w:spacing w:after="0"/>
              <w:rPr>
                <w:sz w:val="20"/>
                <w:szCs w:val="20"/>
                <w:color w:val="auto"/>
              </w:rPr>
            </w:pPr>
            <w:r>
              <w:rPr>
                <w:rFonts w:ascii="Arial" w:cs="Arial" w:eastAsia="Arial" w:hAnsi="Arial"/>
                <w:sz w:val="16"/>
                <w:szCs w:val="16"/>
                <w:color w:val="auto"/>
              </w:rPr>
              <w:t>Intangible assets, net</w:t>
            </w:r>
          </w:p>
        </w:tc>
        <w:tc>
          <w:tcPr>
            <w:tcW w:w="1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186,550,142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195,157,160</w:t>
            </w: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tax asset</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90,692,041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53,154,832</w:t>
            </w:r>
          </w:p>
        </w:tc>
        <w:tc>
          <w:tcPr>
            <w:tcW w:w="0" w:type="dxa"/>
            <w:vAlign w:val="bottom"/>
          </w:tcPr>
          <w:p>
            <w:pPr>
              <w:spacing w:after="0"/>
              <w:rPr>
                <w:sz w:val="1"/>
                <w:szCs w:val="1"/>
                <w:color w:val="auto"/>
              </w:rPr>
            </w:pPr>
          </w:p>
        </w:tc>
      </w:tr>
      <w:tr>
        <w:trPr>
          <w:trHeight w:val="215"/>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Patents and other assets, net</w:t>
            </w: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83,019,753</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66,426,375</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967,976,758</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995,011,338</w:t>
            </w:r>
          </w:p>
        </w:tc>
        <w:tc>
          <w:tcPr>
            <w:tcW w:w="0" w:type="dxa"/>
            <w:vAlign w:val="bottom"/>
          </w:tcPr>
          <w:p>
            <w:pPr>
              <w:spacing w:after="0"/>
              <w:rPr>
                <w:sz w:val="1"/>
                <w:szCs w:val="1"/>
                <w:color w:val="auto"/>
              </w:rPr>
            </w:pPr>
          </w:p>
        </w:tc>
      </w:tr>
      <w:tr>
        <w:trPr>
          <w:trHeight w:val="209"/>
        </w:trPr>
        <w:tc>
          <w:tcPr>
            <w:tcW w:w="68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2,813,817,336</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2,760,820,975</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6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LIABILITIES AND SHAREHOLDERS’ INVESTMENT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6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204,675,277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168,314,912</w:t>
            </w:r>
          </w:p>
        </w:tc>
        <w:tc>
          <w:tcPr>
            <w:tcW w:w="0" w:type="dxa"/>
            <w:vAlign w:val="bottom"/>
          </w:tcPr>
          <w:p>
            <w:pPr>
              <w:spacing w:after="0"/>
              <w:rPr>
                <w:sz w:val="1"/>
                <w:szCs w:val="1"/>
                <w:color w:val="auto"/>
              </w:rPr>
            </w:pPr>
          </w:p>
        </w:tc>
      </w:tr>
      <w:tr>
        <w:trPr>
          <w:trHeight w:val="215"/>
        </w:trPr>
        <w:tc>
          <w:tcPr>
            <w:tcW w:w="6800" w:type="dxa"/>
            <w:vAlign w:val="bottom"/>
          </w:tcPr>
          <w:p>
            <w:pPr>
              <w:ind w:left="240"/>
              <w:spacing w:after="0"/>
              <w:rPr>
                <w:sz w:val="20"/>
                <w:szCs w:val="20"/>
                <w:color w:val="auto"/>
              </w:rPr>
            </w:pPr>
            <w:r>
              <w:rPr>
                <w:rFonts w:ascii="Arial" w:cs="Arial" w:eastAsia="Arial" w:hAnsi="Arial"/>
                <w:sz w:val="16"/>
                <w:szCs w:val="16"/>
                <w:color w:val="auto"/>
              </w:rPr>
              <w:t>Short-term debt</w:t>
            </w:r>
          </w:p>
        </w:tc>
        <w:tc>
          <w:tcPr>
            <w:tcW w:w="1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3,932,497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128,326,091</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84,377,764</w:t>
            </w:r>
          </w:p>
        </w:tc>
        <w:tc>
          <w:tcPr>
            <w:tcW w:w="0" w:type="dxa"/>
            <w:vAlign w:val="bottom"/>
          </w:tcPr>
          <w:p>
            <w:pPr>
              <w:spacing w:after="0"/>
              <w:rPr>
                <w:sz w:val="1"/>
                <w:szCs w:val="1"/>
                <w:color w:val="auto"/>
              </w:rPr>
            </w:pPr>
          </w:p>
        </w:tc>
      </w:tr>
      <w:tr>
        <w:trPr>
          <w:trHeight w:val="209"/>
        </w:trPr>
        <w:tc>
          <w:tcPr>
            <w:tcW w:w="68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336,933,865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252,692,676</w:t>
            </w:r>
          </w:p>
        </w:tc>
        <w:tc>
          <w:tcPr>
            <w:tcW w:w="0" w:type="dxa"/>
            <w:vAlign w:val="bottom"/>
          </w:tcPr>
          <w:p>
            <w:pPr>
              <w:spacing w:after="0"/>
              <w:rPr>
                <w:sz w:val="1"/>
                <w:szCs w:val="1"/>
                <w:color w:val="auto"/>
              </w:rPr>
            </w:pPr>
          </w:p>
        </w:tc>
      </w:tr>
      <w:tr>
        <w:trPr>
          <w:trHeight w:val="109"/>
        </w:trPr>
        <w:tc>
          <w:tcPr>
            <w:tcW w:w="6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43,755,486</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36,028,644</w:t>
            </w:r>
          </w:p>
        </w:tc>
        <w:tc>
          <w:tcPr>
            <w:tcW w:w="0" w:type="dxa"/>
            <w:vAlign w:val="bottom"/>
          </w:tcPr>
          <w:p>
            <w:pPr>
              <w:spacing w:after="0"/>
              <w:rPr>
                <w:sz w:val="1"/>
                <w:szCs w:val="1"/>
                <w:color w:val="auto"/>
              </w:rPr>
            </w:pPr>
          </w:p>
        </w:tc>
      </w:tr>
      <w:tr>
        <w:trPr>
          <w:trHeight w:val="89"/>
        </w:trPr>
        <w:tc>
          <w:tcPr>
            <w:tcW w:w="6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9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380,689,351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288,721,320</w:t>
            </w:r>
          </w:p>
        </w:tc>
        <w:tc>
          <w:tcPr>
            <w:tcW w:w="0" w:type="dxa"/>
            <w:vAlign w:val="bottom"/>
          </w:tcPr>
          <w:p>
            <w:pPr>
              <w:spacing w:after="0"/>
              <w:rPr>
                <w:sz w:val="1"/>
                <w:szCs w:val="1"/>
                <w:color w:val="auto"/>
              </w:rPr>
            </w:pPr>
          </w:p>
        </w:tc>
      </w:tr>
      <w:tr>
        <w:trPr>
          <w:trHeight w:val="109"/>
        </w:trPr>
        <w:tc>
          <w:tcPr>
            <w:tcW w:w="6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1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2,490,261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6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SHAREHOLDERS’ INVESTMENT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Common stock</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13,171,245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13,632,448</w:t>
            </w:r>
          </w:p>
        </w:tc>
        <w:tc>
          <w:tcPr>
            <w:tcW w:w="0" w:type="dxa"/>
            <w:vAlign w:val="bottom"/>
          </w:tcPr>
          <w:p>
            <w:pPr>
              <w:spacing w:after="0"/>
              <w:rPr>
                <w:sz w:val="1"/>
                <w:szCs w:val="1"/>
                <w:color w:val="auto"/>
              </w:rPr>
            </w:pPr>
          </w:p>
        </w:tc>
      </w:tr>
      <w:tr>
        <w:trPr>
          <w:trHeight w:val="215"/>
        </w:trPr>
        <w:tc>
          <w:tcPr>
            <w:tcW w:w="680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998,911,809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1,010,440,420</w:t>
            </w: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Retained earnings</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1,421,351,763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1,450,287,128</w:t>
            </w:r>
          </w:p>
        </w:tc>
        <w:tc>
          <w:tcPr>
            <w:tcW w:w="0" w:type="dxa"/>
            <w:vAlign w:val="bottom"/>
          </w:tcPr>
          <w:p>
            <w:pPr>
              <w:spacing w:after="0"/>
              <w:rPr>
                <w:sz w:val="1"/>
                <w:szCs w:val="1"/>
                <w:color w:val="auto"/>
              </w:rPr>
            </w:pPr>
          </w:p>
        </w:tc>
      </w:tr>
      <w:tr>
        <w:trPr>
          <w:trHeight w:val="215"/>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(3,396,649)</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(6,409,341)</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GENTEX CORPORATION SHAREHOLDERS' INVESTMENT</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2,430,038,168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2,467,950,655</w:t>
            </w:r>
          </w:p>
        </w:tc>
        <w:tc>
          <w:tcPr>
            <w:tcW w:w="0" w:type="dxa"/>
            <w:vAlign w:val="bottom"/>
          </w:tcPr>
          <w:p>
            <w:pPr>
              <w:spacing w:after="0"/>
              <w:rPr>
                <w:sz w:val="1"/>
                <w:szCs w:val="1"/>
                <w:color w:val="auto"/>
              </w:rPr>
            </w:pPr>
          </w:p>
        </w:tc>
      </w:tr>
      <w:tr>
        <w:trPr>
          <w:trHeight w:val="215"/>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Non-controlling Interest</w:t>
            </w: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599,556</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4,149,000</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SHAREHOLDERS' INVESTMENT</w:t>
            </w:r>
          </w:p>
        </w:tc>
        <w:tc>
          <w:tcPr>
            <w:tcW w:w="12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2,430,637,724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2,472,099,655</w:t>
            </w:r>
          </w:p>
        </w:tc>
        <w:tc>
          <w:tcPr>
            <w:tcW w:w="0" w:type="dxa"/>
            <w:vAlign w:val="bottom"/>
          </w:tcPr>
          <w:p>
            <w:pPr>
              <w:spacing w:after="0"/>
              <w:rPr>
                <w:sz w:val="1"/>
                <w:szCs w:val="1"/>
                <w:color w:val="auto"/>
              </w:rPr>
            </w:pPr>
          </w:p>
        </w:tc>
      </w:tr>
      <w:tr>
        <w:trPr>
          <w:trHeight w:val="142"/>
        </w:trPr>
        <w:tc>
          <w:tcPr>
            <w:tcW w:w="6800" w:type="dxa"/>
            <w:vAlign w:val="bottom"/>
          </w:tcPr>
          <w:p>
            <w:pPr>
              <w:ind w:left="20"/>
              <w:spacing w:after="0" w:line="142" w:lineRule="exact"/>
              <w:rPr>
                <w:sz w:val="20"/>
                <w:szCs w:val="20"/>
                <w:color w:val="auto"/>
              </w:rPr>
            </w:pPr>
            <w:r>
              <w:rPr>
                <w:rFonts w:ascii="Arial" w:cs="Arial" w:eastAsia="Arial" w:hAnsi="Arial"/>
                <w:sz w:val="16"/>
                <w:szCs w:val="16"/>
                <w:color w:val="auto"/>
              </w:rPr>
              <w:t>TOTAL LIABILITIES, REDEEMABLE NON-CONTROLLING INTEREST, AND</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vMerge w:val="restart"/>
          </w:tcPr>
          <w:p>
            <w:pPr>
              <w:jc w:val="right"/>
              <w:spacing w:after="0"/>
              <w:rPr>
                <w:sz w:val="20"/>
                <w:szCs w:val="20"/>
                <w:color w:val="auto"/>
              </w:rPr>
            </w:pPr>
            <w:r>
              <w:rPr>
                <w:rFonts w:ascii="Arial" w:cs="Arial" w:eastAsia="Arial" w:hAnsi="Arial"/>
                <w:sz w:val="16"/>
                <w:szCs w:val="16"/>
                <w:color w:val="auto"/>
              </w:rPr>
              <w:t>2,813,817,336</w:t>
            </w:r>
          </w:p>
        </w:tc>
        <w:tc>
          <w:tcPr>
            <w:tcW w:w="160" w:type="dxa"/>
            <w:vAlign w:val="bottom"/>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860" w:type="dxa"/>
            <w:vAlign w:val="bottom"/>
            <w:vMerge w:val="restart"/>
          </w:tcPr>
          <w:p>
            <w:pPr>
              <w:jc w:val="right"/>
              <w:spacing w:after="0"/>
              <w:rPr>
                <w:sz w:val="20"/>
                <w:szCs w:val="20"/>
                <w:color w:val="auto"/>
              </w:rPr>
            </w:pPr>
            <w:r>
              <w:rPr>
                <w:rFonts w:ascii="Arial" w:cs="Arial" w:eastAsia="Arial" w:hAnsi="Arial"/>
                <w:sz w:val="16"/>
                <w:szCs w:val="16"/>
                <w:color w:val="auto"/>
              </w:rPr>
              <w:t>2,760,820,975</w:t>
            </w:r>
          </w:p>
        </w:tc>
        <w:tc>
          <w:tcPr>
            <w:tcW w:w="0" w:type="dxa"/>
            <w:vAlign w:val="bottom"/>
          </w:tcPr>
          <w:p>
            <w:pPr>
              <w:spacing w:after="0"/>
              <w:rPr>
                <w:sz w:val="1"/>
                <w:szCs w:val="1"/>
                <w:color w:val="auto"/>
              </w:rPr>
            </w:pPr>
          </w:p>
        </w:tc>
      </w:tr>
      <w:tr>
        <w:trPr>
          <w:trHeight w:val="194"/>
        </w:trPr>
        <w:tc>
          <w:tcPr>
            <w:tcW w:w="6800" w:type="dxa"/>
            <w:vAlign w:val="bottom"/>
          </w:tcPr>
          <w:p>
            <w:pPr>
              <w:ind w:left="20"/>
              <w:spacing w:after="0"/>
              <w:rPr>
                <w:sz w:val="20"/>
                <w:szCs w:val="20"/>
                <w:color w:val="auto"/>
              </w:rPr>
            </w:pPr>
            <w:r>
              <w:rPr>
                <w:rFonts w:ascii="Arial" w:cs="Arial" w:eastAsia="Arial" w:hAnsi="Arial"/>
                <w:sz w:val="16"/>
                <w:szCs w:val="16"/>
                <w:color w:val="auto"/>
              </w:rPr>
              <w:t>SHAREHOLDERS' INVESTMENT</w:t>
            </w:r>
          </w:p>
        </w:tc>
        <w:tc>
          <w:tcPr>
            <w:tcW w:w="12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60"/>
        <w:spacing w:after="0" w:line="264" w:lineRule="auto"/>
        <w:rPr>
          <w:sz w:val="20"/>
          <w:szCs w:val="20"/>
          <w:color w:val="auto"/>
        </w:rPr>
      </w:pPr>
      <w:r>
        <w:rPr>
          <w:rFonts w:ascii="Arial" w:cs="Arial" w:eastAsia="Arial" w:hAnsi="Arial"/>
          <w:sz w:val="13"/>
          <w:szCs w:val="13"/>
          <w:color w:val="auto"/>
        </w:rPr>
        <w:t>Note: The condensed consolidated balance sheet at December 31, 2024 has been derived from the audited consolidated financial statements at that date, but does not include all of the inflation and footnotes required by accounting principles generally accepted in the United States for complete financial statements.</w:t>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ind w:right="40"/>
        <w:spacing w:after="0" w:line="395"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and Six Months Ended June 30,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120" w:type="dxa"/>
            <w:vAlign w:val="bottom"/>
            <w:gridSpan w:val="5"/>
            <w:shd w:val="clear" w:color="auto" w:fill="CCEEFF"/>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shd w:val="clear" w:color="auto" w:fill="CCEEFF"/>
          </w:tcPr>
          <w:p>
            <w:pPr>
              <w:spacing w:after="0"/>
              <w:rPr>
                <w:sz w:val="17"/>
                <w:szCs w:val="17"/>
                <w:color w:val="auto"/>
              </w:rPr>
            </w:pPr>
          </w:p>
        </w:tc>
        <w:tc>
          <w:tcPr>
            <w:tcW w:w="3100" w:type="dxa"/>
            <w:vAlign w:val="bottom"/>
            <w:gridSpan w:val="4"/>
            <w:shd w:val="clear" w:color="auto" w:fill="CCEEFF"/>
          </w:tcPr>
          <w:p>
            <w:pPr>
              <w:jc w:val="right"/>
              <w:ind w:right="6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1"/>
        </w:trPr>
        <w:tc>
          <w:tcPr>
            <w:tcW w:w="43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657,858,210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572,925,778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1,234,631,300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1,163,150,989</w:t>
            </w:r>
          </w:p>
        </w:tc>
        <w:tc>
          <w:tcPr>
            <w:tcW w:w="0" w:type="dxa"/>
            <w:vAlign w:val="bottom"/>
          </w:tcPr>
          <w:p>
            <w:pPr>
              <w:spacing w:after="0"/>
              <w:rPr>
                <w:sz w:val="1"/>
                <w:szCs w:val="1"/>
                <w:color w:val="auto"/>
              </w:rPr>
            </w:pPr>
          </w:p>
        </w:tc>
      </w:tr>
      <w:tr>
        <w:trPr>
          <w:trHeight w:val="229"/>
        </w:trPr>
        <w:tc>
          <w:tcPr>
            <w:tcW w:w="4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432,567,307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384,362,469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817,606,810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772,350,073</w:t>
            </w:r>
          </w:p>
        </w:tc>
        <w:tc>
          <w:tcPr>
            <w:tcW w:w="0" w:type="dxa"/>
            <w:vAlign w:val="bottom"/>
          </w:tcPr>
          <w:p>
            <w:pPr>
              <w:spacing w:after="0"/>
              <w:rPr>
                <w:sz w:val="1"/>
                <w:szCs w:val="1"/>
                <w:color w:val="auto"/>
              </w:rPr>
            </w:pPr>
          </w:p>
        </w:tc>
      </w:tr>
      <w:tr>
        <w:trPr>
          <w:trHeight w:val="223"/>
        </w:trPr>
        <w:tc>
          <w:tcPr>
            <w:tcW w:w="4340" w:type="dxa"/>
            <w:vAlign w:val="bottom"/>
          </w:tcPr>
          <w:p>
            <w:pPr>
              <w:ind w:left="46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225,290,903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188,563,309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417,024,490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390,800,916</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Engineering, research and development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51,471,277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44,003,994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97,395,641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86,185,980</w:t>
            </w:r>
          </w:p>
        </w:tc>
        <w:tc>
          <w:tcPr>
            <w:tcW w:w="0" w:type="dxa"/>
            <w:vAlign w:val="bottom"/>
          </w:tcPr>
          <w:p>
            <w:pPr>
              <w:spacing w:after="0"/>
              <w:rPr>
                <w:sz w:val="1"/>
                <w:szCs w:val="1"/>
                <w:color w:val="auto"/>
              </w:rPr>
            </w:pPr>
          </w:p>
        </w:tc>
      </w:tr>
      <w:tr>
        <w:trPr>
          <w:trHeight w:val="229"/>
        </w:trPr>
        <w:tc>
          <w:tcPr>
            <w:tcW w:w="4340" w:type="dxa"/>
            <w:vAlign w:val="bottom"/>
          </w:tcPr>
          <w:p>
            <w:pPr>
              <w:ind w:left="240"/>
              <w:spacing w:after="0"/>
              <w:rPr>
                <w:sz w:val="20"/>
                <w:szCs w:val="20"/>
                <w:color w:val="auto"/>
              </w:rPr>
            </w:pPr>
            <w:r>
              <w:rPr>
                <w:rFonts w:ascii="Arial" w:cs="Arial" w:eastAsia="Arial" w:hAnsi="Arial"/>
                <w:sz w:val="18"/>
                <w:szCs w:val="18"/>
                <w:color w:val="auto"/>
              </w:rPr>
              <w:t>Selling, general &amp; administrative</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48,515,355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29,675,293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78,448,360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60,384,602</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Severance expense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6,784,136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9,673,248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106,770,768</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73,679,287</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185,517,249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146,570,582</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4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118,520,135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114,884,022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231,507,241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244,230,334</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40"/>
              <w:spacing w:after="0"/>
              <w:rPr>
                <w:sz w:val="20"/>
                <w:szCs w:val="20"/>
                <w:color w:val="auto"/>
              </w:rPr>
            </w:pPr>
            <w:r>
              <w:rPr>
                <w:rFonts w:ascii="Arial" w:cs="Arial" w:eastAsia="Arial" w:hAnsi="Arial"/>
                <w:sz w:val="18"/>
                <w:szCs w:val="18"/>
                <w:color w:val="auto"/>
              </w:rPr>
              <w:t>OTHER (LOSS) INCOME</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(loss) income, net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(3,628,231)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(12,393,771)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1,246,624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(15,762,295)</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578,235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(1,159,272)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(3,656,144)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510,867</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loss, net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(3,049,996)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(13,553,043)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(2,409,520)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(15,251,428)</w:t>
            </w: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INCOME BEFORE PROVISION FOR INCOME</w:t>
            </w:r>
          </w:p>
        </w:tc>
        <w:tc>
          <w:tcPr>
            <w:tcW w:w="3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115,470,139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101,330,979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229,097,721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228,978,906</w:t>
            </w: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34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19,819,689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15,290,541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38,573,226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34,707,753</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95,650,450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86,040,438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190,524,495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194,271,153</w:t>
            </w:r>
          </w:p>
        </w:tc>
        <w:tc>
          <w:tcPr>
            <w:tcW w:w="0" w:type="dxa"/>
            <w:vAlign w:val="bottom"/>
          </w:tcPr>
          <w:p>
            <w:pPr>
              <w:spacing w:after="0"/>
              <w:rPr>
                <w:sz w:val="1"/>
                <w:szCs w:val="1"/>
                <w:color w:val="auto"/>
              </w:rPr>
            </w:pPr>
          </w:p>
        </w:tc>
      </w:tr>
      <w:tr>
        <w:trPr>
          <w:trHeight w:val="175"/>
        </w:trPr>
        <w:tc>
          <w:tcPr>
            <w:tcW w:w="4340" w:type="dxa"/>
            <w:vAlign w:val="bottom"/>
          </w:tcPr>
          <w:p>
            <w:pPr>
              <w:ind w:left="180"/>
              <w:spacing w:after="0" w:line="176" w:lineRule="exact"/>
              <w:rPr>
                <w:sz w:val="20"/>
                <w:szCs w:val="20"/>
                <w:color w:val="auto"/>
              </w:rPr>
            </w:pPr>
            <w:r>
              <w:rPr>
                <w:rFonts w:ascii="Arial" w:cs="Arial" w:eastAsia="Arial" w:hAnsi="Arial"/>
                <w:sz w:val="18"/>
                <w:szCs w:val="18"/>
                <w:color w:val="auto"/>
              </w:rPr>
              <w:t>Less: Net loss attributable to non-controlling</w:t>
            </w:r>
          </w:p>
        </w:tc>
        <w:tc>
          <w:tcPr>
            <w:tcW w:w="3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(389,134)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(389,134)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interests</w:t>
            </w:r>
          </w:p>
        </w:tc>
        <w:tc>
          <w:tcPr>
            <w:tcW w:w="34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340" w:type="dxa"/>
            <w:vAlign w:val="bottom"/>
            <w:tcBorders>
              <w:top w:val="single" w:sz="8" w:color="CCEEFF"/>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NET INCOME ATTRIBUTABLE TO GENTEX</w:t>
            </w:r>
          </w:p>
        </w:tc>
        <w:tc>
          <w:tcPr>
            <w:tcW w:w="3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96,039,584</w:t>
            </w: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86,040,438</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190,913,629</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194,271,153</w:t>
            </w:r>
          </w:p>
        </w:tc>
        <w:tc>
          <w:tcPr>
            <w:tcW w:w="0" w:type="dxa"/>
            <w:vAlign w:val="bottom"/>
          </w:tcPr>
          <w:p>
            <w:pPr>
              <w:spacing w:after="0"/>
              <w:rPr>
                <w:sz w:val="1"/>
                <w:szCs w:val="1"/>
                <w:color w:val="auto"/>
              </w:rPr>
            </w:pPr>
          </w:p>
        </w:tc>
      </w:tr>
      <w:tr>
        <w:trPr>
          <w:trHeight w:val="236"/>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CORPORATION</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EARNINGS PER SHARE ATTRIBUTABLE TO</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40"/>
              <w:spacing w:after="0" w:line="243" w:lineRule="exact"/>
              <w:rPr>
                <w:sz w:val="20"/>
                <w:szCs w:val="20"/>
                <w:color w:val="auto"/>
              </w:rPr>
            </w:pPr>
            <w:r>
              <w:rPr>
                <w:rFonts w:ascii="Arial" w:cs="Arial" w:eastAsia="Arial" w:hAnsi="Arial"/>
                <w:sz w:val="18"/>
                <w:szCs w:val="18"/>
                <w:color w:val="auto"/>
              </w:rPr>
              <w:t xml:space="preserve">GENTEX CORPORATION: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9"/>
                <w:szCs w:val="19"/>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09803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spacing w:after="0" w:line="238" w:lineRule="exact"/>
        <w:rPr>
          <w:sz w:val="20"/>
          <w:szCs w:val="20"/>
          <w:color w:val="auto"/>
        </w:rPr>
      </w:pPr>
    </w:p>
    <w:p>
      <w:pPr>
        <w:ind w:left="180" w:hanging="149"/>
        <w:spacing w:after="0"/>
        <w:tabs>
          <w:tab w:leader="none" w:pos="18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Earnings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931" w:right="339" w:bottom="1440" w:gutter="0" w:footer="0" w:header="0"/>
        </w:sectPr>
      </w:pPr>
    </w:p>
    <w:bookmarkStart w:id="4" w:name="page5"/>
    <w:bookmarkEnd w:id="4"/>
    <w:p>
      <w:pPr>
        <w:jc w:val="center"/>
        <w:ind w:right="20"/>
        <w:spacing w:after="0" w:line="456"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and Six Months Ended June 30, 2025 and 2024</w:t>
      </w:r>
    </w:p>
    <w:tbl>
      <w:tblPr>
        <w:tblLayout w:type="fixed"/>
        <w:tblInd w:w="0" w:type="dxa"/>
        <w:tblCellMar>
          <w:top w:w="0" w:type="dxa"/>
          <w:left w:w="0" w:type="dxa"/>
          <w:bottom w:w="0" w:type="dxa"/>
          <w:right w:w="0" w:type="dxa"/>
        </w:tblCellMar>
      </w:tblPr>
      <w:tr>
        <w:trPr>
          <w:trHeight w:val="203"/>
        </w:trPr>
        <w:tc>
          <w:tcPr>
            <w:tcW w:w="5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0" w:type="dxa"/>
            <w:vAlign w:val="bottom"/>
            <w:gridSpan w:val="5"/>
            <w:shd w:val="clear" w:color="auto" w:fill="CCEEFF"/>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jc w:val="right"/>
              <w:ind w:right="35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from consolidated operations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95,650,450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86,040,438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190,524,495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194,271,153</w:t>
            </w: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before tax:</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2,109,011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(509,541)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1,763,781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(1,459,754)</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losses on derivatives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(1,245,367)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(1,245,367)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Unrealized gains on debt securities, net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643,420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2,826,267</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52,181</w:t>
            </w:r>
          </w:p>
        </w:tc>
        <w:tc>
          <w:tcPr>
            <w:tcW w:w="0" w:type="dxa"/>
            <w:vAlign w:val="bottom"/>
          </w:tcPr>
          <w:p>
            <w:pPr>
              <w:spacing w:after="0"/>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0"/>
              <w:spacing w:after="0"/>
              <w:rPr>
                <w:sz w:val="20"/>
                <w:szCs w:val="20"/>
                <w:color w:val="auto"/>
              </w:rPr>
            </w:pPr>
            <w:r>
              <w:rPr>
                <w:rFonts w:ascii="Arial" w:cs="Arial" w:eastAsia="Arial" w:hAnsi="Arial"/>
                <w:sz w:val="16"/>
                <w:szCs w:val="16"/>
                <w:color w:val="auto"/>
              </w:rPr>
              <w:t>Other comprehensive income (loss), before tax</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1,507,064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(509,270)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3,344,681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(1,407,573)</w:t>
            </w:r>
          </w:p>
        </w:tc>
        <w:tc>
          <w:tcPr>
            <w:tcW w:w="0" w:type="dxa"/>
            <w:vAlign w:val="bottom"/>
          </w:tcPr>
          <w:p>
            <w:pPr>
              <w:spacing w:after="0"/>
              <w:rPr>
                <w:sz w:val="1"/>
                <w:szCs w:val="1"/>
                <w:color w:val="auto"/>
              </w:rPr>
            </w:pPr>
          </w:p>
        </w:tc>
      </w:tr>
      <w:tr>
        <w:trPr>
          <w:trHeight w:val="257"/>
        </w:trPr>
        <w:tc>
          <w:tcPr>
            <w:tcW w:w="5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20"/>
              <w:spacing w:after="0" w:line="162" w:lineRule="exact"/>
              <w:rPr>
                <w:sz w:val="20"/>
                <w:szCs w:val="20"/>
                <w:color w:val="auto"/>
              </w:rPr>
            </w:pPr>
            <w:r>
              <w:rPr>
                <w:rFonts w:ascii="Arial" w:cs="Arial" w:eastAsia="Arial" w:hAnsi="Arial"/>
                <w:sz w:val="16"/>
                <w:szCs w:val="16"/>
                <w:color w:val="auto"/>
              </w:rPr>
              <w:t>Income tax impact related to components of other comprehensive income</w:t>
            </w:r>
          </w:p>
        </w:tc>
        <w:tc>
          <w:tcPr>
            <w:tcW w:w="2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(126,409)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331,989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10,958</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1,633,473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(509,327)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3,012,692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(1,418,531)</w:t>
            </w:r>
          </w:p>
        </w:tc>
        <w:tc>
          <w:tcPr>
            <w:tcW w:w="0" w:type="dxa"/>
            <w:vAlign w:val="bottom"/>
          </w:tcPr>
          <w:p>
            <w:pPr>
              <w:spacing w:after="0"/>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0"/>
              <w:spacing w:after="0"/>
              <w:rPr>
                <w:sz w:val="20"/>
                <w:szCs w:val="20"/>
                <w:color w:val="auto"/>
              </w:rPr>
            </w:pPr>
            <w:r>
              <w:rPr>
                <w:rFonts w:ascii="Arial" w:cs="Arial" w:eastAsia="Arial" w:hAnsi="Arial"/>
                <w:sz w:val="16"/>
                <w:szCs w:val="16"/>
                <w:color w:val="auto"/>
              </w:rPr>
              <w:t>Comprehensive income from consolidated operations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97,283,923</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85,531,111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193,537,187</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192,852,622</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non-controlling interests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(389,134)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(389,134)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6"/>
                <w:szCs w:val="16"/>
                <w:color w:val="auto"/>
              </w:rPr>
              <w:t>Comprehensive income attributable to Gentex Corporation</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97,673,057</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85,531,111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193,926,321</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192,852,622</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5"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AS OF APRIL 1, 2025</w:t>
      </w:r>
    </w:p>
    <w:p>
      <w:pPr>
        <w:spacing w:after="0" w:line="38" w:lineRule="exact"/>
        <w:rPr>
          <w:sz w:val="20"/>
          <w:szCs w:val="20"/>
          <w:color w:val="auto"/>
        </w:rPr>
      </w:pPr>
    </w:p>
    <w:p>
      <w:pPr>
        <w:ind w:left="20" w:right="120"/>
        <w:spacing w:after="0" w:line="243" w:lineRule="auto"/>
        <w:rPr>
          <w:sz w:val="20"/>
          <w:szCs w:val="20"/>
          <w:color w:val="auto"/>
        </w:rPr>
      </w:pPr>
      <w:r>
        <w:rPr>
          <w:rFonts w:ascii="Arial" w:cs="Arial" w:eastAsia="Arial" w:hAnsi="Arial"/>
          <w:sz w:val="13"/>
          <w:szCs w:val="13"/>
          <w:color w:val="auto"/>
        </w:rPr>
        <w:t>Issuance of common stock from stock plan transactions</w:t>
      </w:r>
    </w:p>
    <w:p>
      <w:pPr>
        <w:spacing w:after="0" w:line="8" w:lineRule="exact"/>
        <w:rPr>
          <w:sz w:val="20"/>
          <w:szCs w:val="20"/>
          <w:color w:val="auto"/>
        </w:rPr>
      </w:pPr>
    </w:p>
    <w:p>
      <w:pPr>
        <w:ind w:left="20" w:right="160"/>
        <w:spacing w:after="0" w:line="280" w:lineRule="auto"/>
        <w:rPr>
          <w:sz w:val="20"/>
          <w:szCs w:val="20"/>
          <w:color w:val="auto"/>
        </w:rPr>
      </w:pPr>
      <w:r>
        <w:rPr>
          <w:rFonts w:ascii="Arial" w:cs="Arial" w:eastAsia="Arial" w:hAnsi="Arial"/>
          <w:sz w:val="12"/>
          <w:szCs w:val="12"/>
          <w:color w:val="auto"/>
        </w:rPr>
        <w:t>Repurchases of common stock Stock-based compensation</w:t>
      </w:r>
    </w:p>
    <w:p>
      <w:pPr>
        <w:spacing w:after="0" w:line="1" w:lineRule="exact"/>
        <w:rPr>
          <w:sz w:val="20"/>
          <w:szCs w:val="20"/>
          <w:color w:val="auto"/>
        </w:rPr>
      </w:pPr>
    </w:p>
    <w:p>
      <w:pPr>
        <w:ind w:left="20" w:right="60"/>
        <w:spacing w:after="0" w:line="212" w:lineRule="auto"/>
        <w:rPr>
          <w:sz w:val="20"/>
          <w:szCs w:val="20"/>
          <w:color w:val="auto"/>
        </w:rPr>
      </w:pPr>
      <w:r>
        <w:rPr>
          <w:rFonts w:ascii="Arial" w:cs="Arial" w:eastAsia="Arial" w:hAnsi="Arial"/>
          <w:sz w:val="13"/>
          <w:szCs w:val="13"/>
          <w:color w:val="auto"/>
        </w:rPr>
        <w:t>expense related to stock options, employee stock purchases and restricted stock</w:t>
      </w:r>
    </w:p>
    <w:p>
      <w:pPr>
        <w:spacing w:after="0" w:line="24" w:lineRule="exact"/>
        <w:rPr>
          <w:sz w:val="20"/>
          <w:szCs w:val="20"/>
          <w:color w:val="auto"/>
        </w:rPr>
      </w:pPr>
    </w:p>
    <w:p>
      <w:pPr>
        <w:ind w:left="20" w:right="220"/>
        <w:spacing w:after="0" w:line="270" w:lineRule="auto"/>
        <w:rPr>
          <w:sz w:val="20"/>
          <w:szCs w:val="20"/>
          <w:color w:val="auto"/>
        </w:rPr>
      </w:pPr>
      <w:r>
        <w:rPr>
          <w:rFonts w:ascii="Arial" w:cs="Arial" w:eastAsia="Arial" w:hAnsi="Arial"/>
          <w:sz w:val="13"/>
          <w:szCs w:val="13"/>
          <w:color w:val="auto"/>
        </w:rPr>
        <w:t>Dividends declared ($0.12 per share)</w:t>
      </w:r>
    </w:p>
    <w:p>
      <w:pPr>
        <w:spacing w:after="0" w:line="1" w:lineRule="exact"/>
        <w:rPr>
          <w:sz w:val="20"/>
          <w:szCs w:val="20"/>
          <w:color w:val="auto"/>
        </w:rPr>
      </w:pPr>
    </w:p>
    <w:p>
      <w:pPr>
        <w:ind w:left="20" w:right="340"/>
        <w:spacing w:after="0" w:line="270" w:lineRule="auto"/>
        <w:rPr>
          <w:sz w:val="20"/>
          <w:szCs w:val="20"/>
          <w:color w:val="auto"/>
        </w:rPr>
      </w:pPr>
      <w:r>
        <w:rPr>
          <w:rFonts w:ascii="Arial" w:cs="Arial" w:eastAsia="Arial" w:hAnsi="Arial"/>
          <w:sz w:val="12"/>
          <w:szCs w:val="12"/>
          <w:color w:val="auto"/>
        </w:rPr>
        <w:t>Fair value of non-controlling interest in EyeLock LLC</w:t>
      </w:r>
    </w:p>
    <w:p>
      <w:pPr>
        <w:ind w:left="20" w:right="60"/>
        <w:spacing w:after="0" w:line="243" w:lineRule="auto"/>
        <w:rPr>
          <w:sz w:val="20"/>
          <w:szCs w:val="20"/>
          <w:color w:val="auto"/>
        </w:rPr>
      </w:pPr>
      <w:r>
        <w:rPr>
          <w:rFonts w:ascii="Arial" w:cs="Arial" w:eastAsia="Arial" w:hAnsi="Arial"/>
          <w:sz w:val="13"/>
          <w:szCs w:val="13"/>
          <w:color w:val="auto"/>
        </w:rPr>
        <w:t>Purchase of additional interest in BioCenturion LLC</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income (loss) (1)</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comprehensive income</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AS OF JUNE 30, 2025</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AS OF APRIL 1, 2024</w:t>
      </w:r>
    </w:p>
    <w:p>
      <w:pPr>
        <w:spacing w:after="0" w:line="38" w:lineRule="exact"/>
        <w:rPr>
          <w:sz w:val="20"/>
          <w:szCs w:val="20"/>
          <w:color w:val="auto"/>
        </w:rPr>
      </w:pPr>
    </w:p>
    <w:p>
      <w:pPr>
        <w:ind w:left="20" w:right="120"/>
        <w:spacing w:after="0" w:line="243" w:lineRule="auto"/>
        <w:rPr>
          <w:sz w:val="20"/>
          <w:szCs w:val="20"/>
          <w:color w:val="auto"/>
        </w:rPr>
      </w:pPr>
      <w:r>
        <w:rPr>
          <w:rFonts w:ascii="Arial" w:cs="Arial" w:eastAsia="Arial" w:hAnsi="Arial"/>
          <w:sz w:val="13"/>
          <w:szCs w:val="13"/>
          <w:color w:val="auto"/>
        </w:rPr>
        <w:t>Issuance of common stock from stock plan transactions</w:t>
      </w:r>
    </w:p>
    <w:p>
      <w:pPr>
        <w:spacing w:after="0" w:line="8" w:lineRule="exact"/>
        <w:rPr>
          <w:sz w:val="20"/>
          <w:szCs w:val="20"/>
          <w:color w:val="auto"/>
        </w:rPr>
      </w:pPr>
    </w:p>
    <w:p>
      <w:pPr>
        <w:ind w:left="20" w:right="160"/>
        <w:spacing w:after="0" w:line="280" w:lineRule="auto"/>
        <w:rPr>
          <w:sz w:val="20"/>
          <w:szCs w:val="20"/>
          <w:color w:val="auto"/>
        </w:rPr>
      </w:pPr>
      <w:r>
        <w:rPr>
          <w:rFonts w:ascii="Arial" w:cs="Arial" w:eastAsia="Arial" w:hAnsi="Arial"/>
          <w:sz w:val="12"/>
          <w:szCs w:val="12"/>
          <w:color w:val="auto"/>
        </w:rPr>
        <w:t>Repurchases of common stock Stock-based compensation</w:t>
      </w:r>
    </w:p>
    <w:p>
      <w:pPr>
        <w:spacing w:after="0" w:line="1" w:lineRule="exact"/>
        <w:rPr>
          <w:sz w:val="20"/>
          <w:szCs w:val="20"/>
          <w:color w:val="auto"/>
        </w:rPr>
      </w:pPr>
    </w:p>
    <w:p>
      <w:pPr>
        <w:ind w:left="20" w:right="60"/>
        <w:spacing w:after="0" w:line="212" w:lineRule="auto"/>
        <w:rPr>
          <w:sz w:val="20"/>
          <w:szCs w:val="20"/>
          <w:color w:val="auto"/>
        </w:rPr>
      </w:pPr>
      <w:r>
        <w:rPr>
          <w:rFonts w:ascii="Arial" w:cs="Arial" w:eastAsia="Arial" w:hAnsi="Arial"/>
          <w:sz w:val="13"/>
          <w:szCs w:val="13"/>
          <w:color w:val="auto"/>
        </w:rPr>
        <w:t>expense related to stock options, employee stock purchases and restricted stock</w:t>
      </w:r>
    </w:p>
    <w:p>
      <w:pPr>
        <w:spacing w:after="0" w:line="24" w:lineRule="exact"/>
        <w:rPr>
          <w:sz w:val="20"/>
          <w:szCs w:val="20"/>
          <w:color w:val="auto"/>
        </w:rPr>
      </w:pPr>
    </w:p>
    <w:p>
      <w:pPr>
        <w:ind w:left="20" w:right="220"/>
        <w:spacing w:after="0" w:line="270" w:lineRule="auto"/>
        <w:rPr>
          <w:sz w:val="20"/>
          <w:szCs w:val="20"/>
          <w:color w:val="auto"/>
        </w:rPr>
      </w:pPr>
      <w:r>
        <w:rPr>
          <w:rFonts w:ascii="Arial" w:cs="Arial" w:eastAsia="Arial" w:hAnsi="Arial"/>
          <w:sz w:val="13"/>
          <w:szCs w:val="13"/>
          <w:color w:val="auto"/>
        </w:rPr>
        <w:t>Dividends declared ($0.12 per share)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income</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comprehensive loss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AS OF JUNE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jc w:val="center"/>
        <w:ind w:right="2000"/>
        <w:spacing w:after="0"/>
        <w:rPr>
          <w:sz w:val="20"/>
          <w:szCs w:val="20"/>
          <w:color w:val="auto"/>
        </w:rPr>
      </w:pPr>
      <w:r>
        <w:rPr>
          <w:rFonts w:ascii="Arial" w:cs="Arial" w:eastAsia="Arial" w:hAnsi="Arial"/>
          <w:sz w:val="14"/>
          <w:szCs w:val="14"/>
          <w:b w:val="1"/>
          <w:bCs w:val="1"/>
          <w:color w:val="auto"/>
        </w:rPr>
        <w:t>GENTEX CORPORATION AND SUBSIDIARIES</w:t>
      </w:r>
    </w:p>
    <w:p>
      <w:pPr>
        <w:spacing w:after="0" w:line="177" w:lineRule="exact"/>
        <w:rPr>
          <w:sz w:val="20"/>
          <w:szCs w:val="20"/>
          <w:color w:val="auto"/>
        </w:rPr>
      </w:pPr>
    </w:p>
    <w:p>
      <w:pPr>
        <w:jc w:val="center"/>
        <w:ind w:right="2000"/>
        <w:spacing w:after="0"/>
        <w:rPr>
          <w:sz w:val="20"/>
          <w:szCs w:val="20"/>
          <w:color w:val="auto"/>
        </w:rPr>
      </w:pPr>
      <w:r>
        <w:rPr>
          <w:rFonts w:ascii="Arial" w:cs="Arial" w:eastAsia="Arial" w:hAnsi="Arial"/>
          <w:sz w:val="14"/>
          <w:szCs w:val="14"/>
          <w:b w:val="1"/>
          <w:bCs w:val="1"/>
          <w:color w:val="auto"/>
        </w:rPr>
        <w:t>UNAUDITED CONDENSED CONSOLIDATED STATEMENTS OF SHAREHOLDERS' INVESTMENT</w:t>
      </w:r>
    </w:p>
    <w:p>
      <w:pPr>
        <w:spacing w:after="0" w:line="177"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For the Three Months Ended June 30, 2025 and 2024</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6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5"/>
              </w:rPr>
              <w:t>Common</w:t>
            </w:r>
          </w:p>
        </w:tc>
        <w:tc>
          <w:tcPr>
            <w:tcW w:w="220" w:type="dxa"/>
            <w:vAlign w:val="bottom"/>
          </w:tcPr>
          <w:p>
            <w:pPr>
              <w:spacing w:after="0"/>
              <w:rPr>
                <w:sz w:val="13"/>
                <w:szCs w:val="13"/>
                <w:color w:val="auto"/>
              </w:rPr>
            </w:pPr>
          </w:p>
        </w:tc>
        <w:tc>
          <w:tcPr>
            <w:tcW w:w="90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Common</w:t>
            </w:r>
          </w:p>
        </w:tc>
        <w:tc>
          <w:tcPr>
            <w:tcW w:w="200" w:type="dxa"/>
            <w:vAlign w:val="bottom"/>
          </w:tcPr>
          <w:p>
            <w:pPr>
              <w:spacing w:after="0"/>
              <w:rPr>
                <w:sz w:val="13"/>
                <w:szCs w:val="13"/>
                <w:color w:val="auto"/>
              </w:rPr>
            </w:pPr>
          </w:p>
        </w:tc>
        <w:tc>
          <w:tcPr>
            <w:tcW w:w="9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217"/>
              <w:spacing w:after="0"/>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3"/>
                <w:szCs w:val="13"/>
                <w:color w:val="auto"/>
              </w:rPr>
            </w:pPr>
          </w:p>
        </w:tc>
        <w:tc>
          <w:tcPr>
            <w:tcW w:w="960" w:type="dxa"/>
            <w:vAlign w:val="bottom"/>
            <w:vMerge w:val="restart"/>
          </w:tcPr>
          <w:p>
            <w:pPr>
              <w:jc w:val="right"/>
              <w:ind w:right="3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6"/>
        </w:trPr>
        <w:tc>
          <w:tcPr>
            <w:tcW w:w="10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1160" w:type="dxa"/>
            <w:vAlign w:val="bottom"/>
          </w:tcPr>
          <w:p>
            <w:pPr>
              <w:jc w:val="center"/>
              <w:ind w:right="117"/>
              <w:spacing w:after="0" w:line="126"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77"/>
              <w:spacing w:after="0" w:line="126" w:lineRule="exact"/>
              <w:rPr>
                <w:sz w:val="20"/>
                <w:szCs w:val="20"/>
                <w:color w:val="auto"/>
              </w:rPr>
            </w:pPr>
            <w:r>
              <w:rPr>
                <w:rFonts w:ascii="Arial" w:cs="Arial" w:eastAsia="Arial" w:hAnsi="Arial"/>
                <w:sz w:val="13"/>
                <w:szCs w:val="13"/>
                <w:b w:val="1"/>
                <w:bCs w:val="1"/>
                <w:color w:val="auto"/>
                <w:w w:val="96"/>
              </w:rPr>
              <w:t>Attributable to</w:t>
            </w:r>
          </w:p>
        </w:tc>
        <w:tc>
          <w:tcPr>
            <w:tcW w:w="1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Stock</w:t>
            </w:r>
          </w:p>
        </w:tc>
        <w:tc>
          <w:tcPr>
            <w:tcW w:w="220" w:type="dxa"/>
            <w:vAlign w:val="bottom"/>
          </w:tcPr>
          <w:p>
            <w:pPr>
              <w:spacing w:after="0"/>
              <w:rPr>
                <w:sz w:val="10"/>
                <w:szCs w:val="10"/>
                <w:color w:val="auto"/>
              </w:rPr>
            </w:pPr>
          </w:p>
        </w:tc>
        <w:tc>
          <w:tcPr>
            <w:tcW w:w="900" w:type="dxa"/>
            <w:vAlign w:val="bottom"/>
          </w:tcPr>
          <w:p>
            <w:pPr>
              <w:jc w:val="right"/>
              <w:ind w:right="317"/>
              <w:spacing w:after="0" w:line="122" w:lineRule="exact"/>
              <w:rPr>
                <w:sz w:val="20"/>
                <w:szCs w:val="20"/>
                <w:color w:val="auto"/>
              </w:rPr>
            </w:pPr>
            <w:r>
              <w:rPr>
                <w:rFonts w:ascii="Arial" w:cs="Arial" w:eastAsia="Arial" w:hAnsi="Arial"/>
                <w:sz w:val="13"/>
                <w:szCs w:val="13"/>
                <w:b w:val="1"/>
                <w:bCs w:val="1"/>
                <w:color w:val="auto"/>
              </w:rPr>
              <w:t>Stock</w:t>
            </w:r>
          </w:p>
        </w:tc>
        <w:tc>
          <w:tcPr>
            <w:tcW w:w="200" w:type="dxa"/>
            <w:vAlign w:val="bottom"/>
          </w:tcPr>
          <w:p>
            <w:pPr>
              <w:spacing w:after="0"/>
              <w:rPr>
                <w:sz w:val="10"/>
                <w:szCs w:val="10"/>
                <w:color w:val="auto"/>
              </w:rPr>
            </w:pPr>
          </w:p>
        </w:tc>
        <w:tc>
          <w:tcPr>
            <w:tcW w:w="960" w:type="dxa"/>
            <w:vAlign w:val="bottom"/>
          </w:tcPr>
          <w:p>
            <w:pPr>
              <w:jc w:val="right"/>
              <w:ind w:right="297"/>
              <w:spacing w:after="0" w:line="122" w:lineRule="exact"/>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jc w:val="center"/>
              <w:ind w:right="117"/>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80" w:type="dxa"/>
            <w:vAlign w:val="bottom"/>
          </w:tcPr>
          <w:p>
            <w:pPr>
              <w:spacing w:after="0"/>
              <w:rPr>
                <w:sz w:val="10"/>
                <w:szCs w:val="10"/>
                <w:color w:val="auto"/>
              </w:rPr>
            </w:pPr>
          </w:p>
        </w:tc>
        <w:tc>
          <w:tcPr>
            <w:tcW w:w="96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auto"/>
              </w:rPr>
              <w:t>Total</w:t>
            </w:r>
          </w:p>
        </w:tc>
        <w:tc>
          <w:tcPr>
            <w:tcW w:w="11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5"/>
              </w:rPr>
              <w:t>Noncontrolling</w:t>
            </w:r>
          </w:p>
        </w:tc>
        <w:tc>
          <w:tcPr>
            <w:tcW w:w="160" w:type="dxa"/>
            <w:vAlign w:val="bottom"/>
          </w:tcPr>
          <w:p>
            <w:pPr>
              <w:spacing w:after="0"/>
              <w:rPr>
                <w:sz w:val="10"/>
                <w:szCs w:val="10"/>
                <w:color w:val="auto"/>
              </w:rPr>
            </w:pPr>
          </w:p>
        </w:tc>
        <w:tc>
          <w:tcPr>
            <w:tcW w:w="960" w:type="dxa"/>
            <w:vAlign w:val="bottom"/>
          </w:tcPr>
          <w:p>
            <w:pPr>
              <w:jc w:val="right"/>
              <w:ind w:right="57"/>
              <w:spacing w:after="0" w:line="122" w:lineRule="exact"/>
              <w:rPr>
                <w:sz w:val="20"/>
                <w:szCs w:val="20"/>
                <w:color w:val="auto"/>
              </w:rPr>
            </w:pPr>
            <w:r>
              <w:rPr>
                <w:rFonts w:ascii="Arial" w:cs="Arial" w:eastAsia="Arial" w:hAnsi="Arial"/>
                <w:sz w:val="13"/>
                <w:szCs w:val="13"/>
                <w:b w:val="1"/>
                <w:bCs w:val="1"/>
                <w:color w:val="auto"/>
                <w:w w:val="94"/>
              </w:rPr>
              <w:t>Shareholders’</w:t>
            </w:r>
          </w:p>
        </w:tc>
        <w:tc>
          <w:tcPr>
            <w:tcW w:w="0" w:type="dxa"/>
            <w:vAlign w:val="bottom"/>
          </w:tcPr>
          <w:p>
            <w:pPr>
              <w:spacing w:after="0"/>
              <w:rPr>
                <w:sz w:val="1"/>
                <w:szCs w:val="1"/>
                <w:color w:val="auto"/>
              </w:rPr>
            </w:pPr>
          </w:p>
        </w:tc>
      </w:tr>
      <w:tr>
        <w:trPr>
          <w:trHeight w:val="174"/>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Shares</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Amount</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Capital</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Earnings</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7"/>
              </w:rPr>
              <w:t>Income (Loss)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Interests</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Investment</w:t>
            </w:r>
          </w:p>
        </w:tc>
        <w:tc>
          <w:tcPr>
            <w:tcW w:w="0" w:type="dxa"/>
            <w:vAlign w:val="bottom"/>
          </w:tcPr>
          <w:p>
            <w:pPr>
              <w:spacing w:after="0"/>
              <w:rPr>
                <w:sz w:val="1"/>
                <w:szCs w:val="1"/>
                <w:color w:val="auto"/>
              </w:rPr>
            </w:pPr>
          </w:p>
        </w:tc>
      </w:tr>
      <w:tr>
        <w:trPr>
          <w:trHeight w:val="161"/>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224,817,117</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13,489,027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1,011,756,899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1,454,610,199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(5,030,122)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2,474,826,003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4,591,500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2,479,417,503</w:t>
            </w:r>
          </w:p>
        </w:tc>
        <w:tc>
          <w:tcPr>
            <w:tcW w:w="0" w:type="dxa"/>
            <w:vAlign w:val="bottom"/>
          </w:tcPr>
          <w:p>
            <w:pPr>
              <w:spacing w:after="0"/>
              <w:rPr>
                <w:sz w:val="1"/>
                <w:szCs w:val="1"/>
                <w:color w:val="auto"/>
              </w:rPr>
            </w:pPr>
          </w:p>
        </w:tc>
      </w:tr>
      <w:tr>
        <w:trPr>
          <w:trHeight w:val="306"/>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405,697</w:t>
            </w:r>
          </w:p>
        </w:tc>
        <w:tc>
          <w:tcPr>
            <w:tcW w:w="22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24,342</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1,392,640</w:t>
            </w:r>
          </w:p>
        </w:tc>
        <w:tc>
          <w:tcPr>
            <w:tcW w:w="22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1,416,982</w:t>
            </w:r>
          </w:p>
        </w:tc>
        <w:tc>
          <w:tcPr>
            <w:tcW w:w="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1,416,982</w:t>
            </w:r>
          </w:p>
        </w:tc>
        <w:tc>
          <w:tcPr>
            <w:tcW w:w="0" w:type="dxa"/>
            <w:vAlign w:val="bottom"/>
          </w:tcPr>
          <w:p>
            <w:pPr>
              <w:spacing w:after="0"/>
              <w:rPr>
                <w:sz w:val="1"/>
                <w:szCs w:val="1"/>
                <w:color w:val="auto"/>
              </w:rPr>
            </w:pPr>
          </w:p>
        </w:tc>
      </w:tr>
      <w:tr>
        <w:trPr>
          <w:trHeight w:val="176"/>
        </w:trPr>
        <w:tc>
          <w:tcPr>
            <w:tcW w:w="1060" w:type="dxa"/>
            <w:vAlign w:val="bottom"/>
          </w:tcPr>
          <w:p>
            <w:pPr>
              <w:jc w:val="right"/>
              <w:spacing w:after="0"/>
              <w:rPr>
                <w:sz w:val="20"/>
                <w:szCs w:val="20"/>
                <w:color w:val="auto"/>
              </w:rPr>
            </w:pPr>
            <w:r>
              <w:rPr>
                <w:rFonts w:ascii="Arial" w:cs="Arial" w:eastAsia="Arial" w:hAnsi="Arial"/>
                <w:sz w:val="13"/>
                <w:szCs w:val="13"/>
                <w:color w:val="auto"/>
              </w:rPr>
              <w:t>(5,702,064)</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(342,124)</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(22,865,277)</w:t>
            </w:r>
          </w:p>
        </w:tc>
        <w:tc>
          <w:tcPr>
            <w:tcW w:w="22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(102,955,530)</w:t>
            </w:r>
          </w:p>
        </w:tc>
        <w:tc>
          <w:tcPr>
            <w:tcW w:w="160" w:type="dxa"/>
            <w:vAlign w:val="bottom"/>
          </w:tcPr>
          <w:p>
            <w:pPr>
              <w:spacing w:after="0"/>
              <w:rPr>
                <w:sz w:val="15"/>
                <w:szCs w:val="15"/>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(126,162,931)</w:t>
            </w:r>
          </w:p>
        </w:tc>
        <w:tc>
          <w:tcPr>
            <w:tcW w:w="14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(126,162,931)</w:t>
            </w:r>
          </w:p>
        </w:tc>
        <w:tc>
          <w:tcPr>
            <w:tcW w:w="0" w:type="dxa"/>
            <w:vAlign w:val="bottom"/>
          </w:tcPr>
          <w:p>
            <w:pPr>
              <w:spacing w:after="0"/>
              <w:rPr>
                <w:sz w:val="1"/>
                <w:szCs w:val="1"/>
                <w:color w:val="auto"/>
              </w:rPr>
            </w:pPr>
          </w:p>
        </w:tc>
      </w:tr>
      <w:tr>
        <w:trPr>
          <w:trHeight w:val="553"/>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7,488,526</w:t>
            </w:r>
          </w:p>
        </w:tc>
        <w:tc>
          <w:tcPr>
            <w:tcW w:w="22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7,488,526</w:t>
            </w:r>
          </w:p>
        </w:tc>
        <w:tc>
          <w:tcPr>
            <w:tcW w:w="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7,488,526</w:t>
            </w:r>
          </w:p>
        </w:tc>
        <w:tc>
          <w:tcPr>
            <w:tcW w:w="0" w:type="dxa"/>
            <w:vAlign w:val="bottom"/>
          </w:tcPr>
          <w:p>
            <w:pPr>
              <w:spacing w:after="0"/>
              <w:rPr>
                <w:sz w:val="1"/>
                <w:szCs w:val="1"/>
                <w:color w:val="auto"/>
              </w:rPr>
            </w:pPr>
          </w:p>
        </w:tc>
      </w:tr>
      <w:tr>
        <w:trPr>
          <w:trHeight w:val="351"/>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(26,342,490)</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(26,342,490)</w:t>
            </w:r>
          </w:p>
        </w:tc>
        <w:tc>
          <w:tcPr>
            <w:tcW w:w="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(26,342,490)</w:t>
            </w:r>
          </w:p>
        </w:tc>
        <w:tc>
          <w:tcPr>
            <w:tcW w:w="0" w:type="dxa"/>
            <w:vAlign w:val="bottom"/>
          </w:tcPr>
          <w:p>
            <w:pPr>
              <w:spacing w:after="0"/>
              <w:rPr>
                <w:sz w:val="1"/>
                <w:szCs w:val="1"/>
                <w:color w:val="auto"/>
              </w:rPr>
            </w:pPr>
          </w:p>
        </w:tc>
      </w:tr>
      <w:tr>
        <w:trPr>
          <w:trHeight w:val="311"/>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656,000</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656,000</w:t>
            </w:r>
          </w:p>
        </w:tc>
        <w:tc>
          <w:tcPr>
            <w:tcW w:w="0" w:type="dxa"/>
            <w:vAlign w:val="bottom"/>
          </w:tcPr>
          <w:p>
            <w:pPr>
              <w:spacing w:after="0"/>
              <w:rPr>
                <w:sz w:val="1"/>
                <w:szCs w:val="1"/>
                <w:color w:val="auto"/>
              </w:rPr>
            </w:pPr>
          </w:p>
        </w:tc>
      </w:tr>
      <w:tr>
        <w:trPr>
          <w:trHeight w:val="310"/>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1,139,021</w:t>
            </w:r>
          </w:p>
        </w:tc>
        <w:tc>
          <w:tcPr>
            <w:tcW w:w="22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1,139,021</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(4,591,549)</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(3,452,528)</w:t>
            </w:r>
          </w:p>
        </w:tc>
        <w:tc>
          <w:tcPr>
            <w:tcW w:w="0" w:type="dxa"/>
            <w:vAlign w:val="bottom"/>
          </w:tcPr>
          <w:p>
            <w:pPr>
              <w:spacing w:after="0"/>
              <w:rPr>
                <w:sz w:val="1"/>
                <w:szCs w:val="1"/>
                <w:color w:val="auto"/>
              </w:rPr>
            </w:pPr>
          </w:p>
        </w:tc>
      </w:tr>
      <w:tr>
        <w:trPr>
          <w:trHeight w:val="176"/>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96,039,584</w:t>
            </w:r>
          </w:p>
        </w:tc>
        <w:tc>
          <w:tcPr>
            <w:tcW w:w="160" w:type="dxa"/>
            <w:vAlign w:val="bottom"/>
          </w:tcPr>
          <w:p>
            <w:pPr>
              <w:spacing w:after="0"/>
              <w:rPr>
                <w:sz w:val="15"/>
                <w:szCs w:val="15"/>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96,039,584</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(56,395)</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95,983,189</w:t>
            </w:r>
          </w:p>
        </w:tc>
        <w:tc>
          <w:tcPr>
            <w:tcW w:w="0" w:type="dxa"/>
            <w:vAlign w:val="bottom"/>
          </w:tcPr>
          <w:p>
            <w:pPr>
              <w:spacing w:after="0"/>
              <w:rPr>
                <w:sz w:val="1"/>
                <w:szCs w:val="1"/>
                <w:color w:val="auto"/>
              </w:rPr>
            </w:pPr>
          </w:p>
        </w:tc>
      </w:tr>
      <w:tr>
        <w:trPr>
          <w:trHeight w:val="183"/>
        </w:trPr>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1,633,473</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1,633,473</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1,633,473</w:t>
            </w:r>
          </w:p>
        </w:tc>
        <w:tc>
          <w:tcPr>
            <w:tcW w:w="0" w:type="dxa"/>
            <w:vAlign w:val="bottom"/>
          </w:tcPr>
          <w:p>
            <w:pPr>
              <w:spacing w:after="0"/>
              <w:rPr>
                <w:sz w:val="1"/>
                <w:szCs w:val="1"/>
                <w:color w:val="auto"/>
              </w:rPr>
            </w:pPr>
          </w:p>
        </w:tc>
      </w:tr>
      <w:tr>
        <w:trPr>
          <w:trHeight w:val="171"/>
        </w:trPr>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219,520,750</w:t>
            </w: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13,171,245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998,911,809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1,421,351,763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(3,396,649)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2,430,038,168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599,556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2,430,637,724</w:t>
            </w:r>
          </w:p>
        </w:tc>
        <w:tc>
          <w:tcPr>
            <w:tcW w:w="0" w:type="dxa"/>
            <w:vAlign w:val="bottom"/>
          </w:tcPr>
          <w:p>
            <w:pPr>
              <w:spacing w:after="0"/>
              <w:rPr>
                <w:sz w:val="1"/>
                <w:szCs w:val="1"/>
                <w:color w:val="auto"/>
              </w:rPr>
            </w:pPr>
          </w:p>
        </w:tc>
      </w:tr>
      <w:tr>
        <w:trPr>
          <w:trHeight w:val="25"/>
        </w:trPr>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231,198,885</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13,871,933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991,053,652</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1,378,904,530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(7,466,326)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2,376,363,789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2,376,363,789</w:t>
            </w:r>
          </w:p>
        </w:tc>
        <w:tc>
          <w:tcPr>
            <w:tcW w:w="0" w:type="dxa"/>
            <w:vAlign w:val="bottom"/>
          </w:tcPr>
          <w:p>
            <w:pPr>
              <w:spacing w:after="0"/>
              <w:rPr>
                <w:sz w:val="1"/>
                <w:szCs w:val="1"/>
                <w:color w:val="auto"/>
              </w:rPr>
            </w:pPr>
          </w:p>
        </w:tc>
      </w:tr>
      <w:tr>
        <w:trPr>
          <w:trHeight w:val="311"/>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433,321</w:t>
            </w:r>
          </w:p>
        </w:tc>
        <w:tc>
          <w:tcPr>
            <w:tcW w:w="22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25,999</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3,382,323</w:t>
            </w:r>
          </w:p>
        </w:tc>
        <w:tc>
          <w:tcPr>
            <w:tcW w:w="22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3,408,322</w:t>
            </w:r>
          </w:p>
        </w:tc>
        <w:tc>
          <w:tcPr>
            <w:tcW w:w="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3,408,322</w:t>
            </w:r>
          </w:p>
        </w:tc>
        <w:tc>
          <w:tcPr>
            <w:tcW w:w="0" w:type="dxa"/>
            <w:vAlign w:val="bottom"/>
          </w:tcPr>
          <w:p>
            <w:pPr>
              <w:spacing w:after="0"/>
              <w:rPr>
                <w:sz w:val="1"/>
                <w:szCs w:val="1"/>
                <w:color w:val="auto"/>
              </w:rPr>
            </w:pPr>
          </w:p>
        </w:tc>
      </w:tr>
      <w:tr>
        <w:trPr>
          <w:trHeight w:val="175"/>
        </w:trPr>
        <w:tc>
          <w:tcPr>
            <w:tcW w:w="1060" w:type="dxa"/>
            <w:vAlign w:val="bottom"/>
          </w:tcPr>
          <w:p>
            <w:pPr>
              <w:jc w:val="right"/>
              <w:spacing w:after="0"/>
              <w:rPr>
                <w:sz w:val="20"/>
                <w:szCs w:val="20"/>
                <w:color w:val="auto"/>
              </w:rPr>
            </w:pPr>
            <w:r>
              <w:rPr>
                <w:rFonts w:ascii="Arial" w:cs="Arial" w:eastAsia="Arial" w:hAnsi="Arial"/>
                <w:sz w:val="13"/>
                <w:szCs w:val="13"/>
                <w:color w:val="auto"/>
              </w:rPr>
              <w:t>(1,402,667)</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(84,160)</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(5,344,160)</w:t>
            </w:r>
          </w:p>
        </w:tc>
        <w:tc>
          <w:tcPr>
            <w:tcW w:w="22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(42,871,254)</w:t>
            </w:r>
          </w:p>
        </w:tc>
        <w:tc>
          <w:tcPr>
            <w:tcW w:w="160" w:type="dxa"/>
            <w:vAlign w:val="bottom"/>
          </w:tcPr>
          <w:p>
            <w:pPr>
              <w:spacing w:after="0"/>
              <w:rPr>
                <w:sz w:val="15"/>
                <w:szCs w:val="15"/>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(48,299,574)</w:t>
            </w:r>
          </w:p>
        </w:tc>
        <w:tc>
          <w:tcPr>
            <w:tcW w:w="14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(48,299,574)</w:t>
            </w:r>
          </w:p>
        </w:tc>
        <w:tc>
          <w:tcPr>
            <w:tcW w:w="0" w:type="dxa"/>
            <w:vAlign w:val="bottom"/>
          </w:tcPr>
          <w:p>
            <w:pPr>
              <w:spacing w:after="0"/>
              <w:rPr>
                <w:sz w:val="1"/>
                <w:szCs w:val="1"/>
                <w:color w:val="auto"/>
              </w:rPr>
            </w:pPr>
          </w:p>
        </w:tc>
      </w:tr>
      <w:tr>
        <w:trPr>
          <w:trHeight w:val="554"/>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10,922,998</w:t>
            </w:r>
          </w:p>
        </w:tc>
        <w:tc>
          <w:tcPr>
            <w:tcW w:w="22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10,922,998</w:t>
            </w:r>
          </w:p>
        </w:tc>
        <w:tc>
          <w:tcPr>
            <w:tcW w:w="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10,922,998</w:t>
            </w:r>
          </w:p>
        </w:tc>
        <w:tc>
          <w:tcPr>
            <w:tcW w:w="0" w:type="dxa"/>
            <w:vAlign w:val="bottom"/>
          </w:tcPr>
          <w:p>
            <w:pPr>
              <w:spacing w:after="0"/>
              <w:rPr>
                <w:sz w:val="1"/>
                <w:szCs w:val="1"/>
                <w:color w:val="auto"/>
              </w:rPr>
            </w:pPr>
          </w:p>
        </w:tc>
      </w:tr>
      <w:tr>
        <w:trPr>
          <w:trHeight w:val="351"/>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(27,627,119)</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(27,627,119)</w:t>
            </w:r>
          </w:p>
        </w:tc>
        <w:tc>
          <w:tcPr>
            <w:tcW w:w="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(27,627,119)</w:t>
            </w:r>
          </w:p>
        </w:tc>
        <w:tc>
          <w:tcPr>
            <w:tcW w:w="0" w:type="dxa"/>
            <w:vAlign w:val="bottom"/>
          </w:tcPr>
          <w:p>
            <w:pPr>
              <w:spacing w:after="0"/>
              <w:rPr>
                <w:sz w:val="1"/>
                <w:szCs w:val="1"/>
                <w:color w:val="auto"/>
              </w:rPr>
            </w:pPr>
          </w:p>
        </w:tc>
      </w:tr>
      <w:tr>
        <w:trPr>
          <w:trHeight w:val="175"/>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86,040,438</w:t>
            </w:r>
          </w:p>
        </w:tc>
        <w:tc>
          <w:tcPr>
            <w:tcW w:w="160" w:type="dxa"/>
            <w:vAlign w:val="bottom"/>
          </w:tcPr>
          <w:p>
            <w:pPr>
              <w:spacing w:after="0"/>
              <w:rPr>
                <w:sz w:val="15"/>
                <w:szCs w:val="15"/>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86,040,438</w:t>
            </w:r>
          </w:p>
        </w:tc>
        <w:tc>
          <w:tcPr>
            <w:tcW w:w="14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86,040,438</w:t>
            </w:r>
          </w:p>
        </w:tc>
        <w:tc>
          <w:tcPr>
            <w:tcW w:w="0" w:type="dxa"/>
            <w:vAlign w:val="bottom"/>
          </w:tcPr>
          <w:p>
            <w:pPr>
              <w:spacing w:after="0"/>
              <w:rPr>
                <w:sz w:val="1"/>
                <w:szCs w:val="1"/>
                <w:color w:val="auto"/>
              </w:rPr>
            </w:pPr>
          </w:p>
        </w:tc>
      </w:tr>
      <w:tr>
        <w:trPr>
          <w:trHeight w:val="183"/>
        </w:trPr>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(509,327)</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(509,327)</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(509,327)</w:t>
            </w:r>
          </w:p>
        </w:tc>
        <w:tc>
          <w:tcPr>
            <w:tcW w:w="0" w:type="dxa"/>
            <w:vAlign w:val="bottom"/>
          </w:tcPr>
          <w:p>
            <w:pPr>
              <w:spacing w:after="0"/>
              <w:rPr>
                <w:sz w:val="1"/>
                <w:szCs w:val="1"/>
                <w:color w:val="auto"/>
              </w:rPr>
            </w:pPr>
          </w:p>
        </w:tc>
      </w:tr>
      <w:tr>
        <w:trPr>
          <w:trHeight w:val="171"/>
        </w:trPr>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230,229,539</w:t>
            </w: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13,813,772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1,000,014,813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1,394,446,595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(7,975,653)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2,400,299,527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2,400,299,527</w:t>
            </w:r>
          </w:p>
        </w:tc>
        <w:tc>
          <w:tcPr>
            <w:tcW w:w="0" w:type="dxa"/>
            <w:vAlign w:val="bottom"/>
          </w:tcPr>
          <w:p>
            <w:pPr>
              <w:spacing w:after="0"/>
              <w:rPr>
                <w:sz w:val="1"/>
                <w:szCs w:val="1"/>
                <w:color w:val="auto"/>
              </w:rPr>
            </w:pPr>
          </w:p>
        </w:tc>
      </w:tr>
      <w:tr>
        <w:trPr>
          <w:trHeight w:val="25"/>
        </w:trPr>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-3265170</wp:posOffset>
            </wp:positionV>
            <wp:extent cx="7132320"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-2948305</wp:posOffset>
            </wp:positionV>
            <wp:extent cx="7132320" cy="111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-2485390</wp:posOffset>
            </wp:positionV>
            <wp:extent cx="71323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-2065020</wp:posOffset>
            </wp:positionV>
            <wp:extent cx="7132320" cy="196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-1756410</wp:posOffset>
            </wp:positionV>
            <wp:extent cx="7132320" cy="111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-1508125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-1259840</wp:posOffset>
            </wp:positionV>
            <wp:extent cx="713232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-950595</wp:posOffset>
            </wp:positionV>
            <wp:extent cx="7132320"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-376555</wp:posOffset>
            </wp:positionV>
            <wp:extent cx="7132320"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-153670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80"/>
            <w:col w:w="9240"/>
          </w:cols>
          <w:pgMar w:left="320" w:top="1440" w:right="339" w:bottom="144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Net income (loss) excludes net loss attributable to redeemable non-controlling interest of $332,739 for the three months ended June 30, 2025 (see </w:t>
      </w:r>
      <w:r>
        <w:rPr>
          <w:rFonts w:ascii="Arial" w:cs="Arial" w:eastAsia="Arial" w:hAnsi="Arial"/>
          <w:sz w:val="14"/>
          <w:szCs w:val="14"/>
          <w:u w:val="single" w:color="auto"/>
          <w:color w:val="0000FF"/>
        </w:rPr>
        <w:t>Note 16</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right="140"/>
        <w:spacing w:after="0" w:line="243" w:lineRule="auto"/>
        <w:rPr>
          <w:sz w:val="20"/>
          <w:szCs w:val="20"/>
          <w:color w:val="auto"/>
        </w:rPr>
      </w:pPr>
      <w:r>
        <w:rPr>
          <w:rFonts w:ascii="Arial" w:cs="Arial" w:eastAsia="Arial" w:hAnsi="Arial"/>
          <w:sz w:val="13"/>
          <w:szCs w:val="13"/>
          <w:color w:val="auto"/>
        </w:rPr>
        <w:t>BALANCE AS OF JANUARY 1, 2025</w:t>
      </w:r>
    </w:p>
    <w:p>
      <w:pPr>
        <w:spacing w:after="0" w:line="8" w:lineRule="exact"/>
        <w:rPr>
          <w:sz w:val="20"/>
          <w:szCs w:val="20"/>
          <w:color w:val="auto"/>
        </w:rPr>
      </w:pPr>
    </w:p>
    <w:p>
      <w:pPr>
        <w:ind w:left="20" w:right="120"/>
        <w:spacing w:after="0" w:line="243" w:lineRule="auto"/>
        <w:rPr>
          <w:sz w:val="20"/>
          <w:szCs w:val="20"/>
          <w:color w:val="auto"/>
        </w:rPr>
      </w:pPr>
      <w:r>
        <w:rPr>
          <w:rFonts w:ascii="Arial" w:cs="Arial" w:eastAsia="Arial" w:hAnsi="Arial"/>
          <w:sz w:val="13"/>
          <w:szCs w:val="13"/>
          <w:color w:val="auto"/>
        </w:rPr>
        <w:t>Issuance of common stock from stock plan transactions</w:t>
      </w:r>
    </w:p>
    <w:p>
      <w:pPr>
        <w:spacing w:after="0" w:line="8" w:lineRule="exact"/>
        <w:rPr>
          <w:sz w:val="20"/>
          <w:szCs w:val="20"/>
          <w:color w:val="auto"/>
        </w:rPr>
      </w:pPr>
    </w:p>
    <w:p>
      <w:pPr>
        <w:ind w:left="20" w:right="160"/>
        <w:spacing w:after="0" w:line="280" w:lineRule="auto"/>
        <w:rPr>
          <w:sz w:val="20"/>
          <w:szCs w:val="20"/>
          <w:color w:val="auto"/>
        </w:rPr>
      </w:pPr>
      <w:r>
        <w:rPr>
          <w:rFonts w:ascii="Arial" w:cs="Arial" w:eastAsia="Arial" w:hAnsi="Arial"/>
          <w:sz w:val="12"/>
          <w:szCs w:val="12"/>
          <w:color w:val="auto"/>
        </w:rPr>
        <w:t>Repurchases of common stock Stock-based compensation</w:t>
      </w:r>
    </w:p>
    <w:p>
      <w:pPr>
        <w:spacing w:after="0" w:line="1" w:lineRule="exact"/>
        <w:rPr>
          <w:sz w:val="20"/>
          <w:szCs w:val="20"/>
          <w:color w:val="auto"/>
        </w:rPr>
      </w:pPr>
    </w:p>
    <w:p>
      <w:pPr>
        <w:ind w:left="20" w:right="60"/>
        <w:spacing w:after="0" w:line="212" w:lineRule="auto"/>
        <w:rPr>
          <w:sz w:val="20"/>
          <w:szCs w:val="20"/>
          <w:color w:val="auto"/>
        </w:rPr>
      </w:pPr>
      <w:r>
        <w:rPr>
          <w:rFonts w:ascii="Arial" w:cs="Arial" w:eastAsia="Arial" w:hAnsi="Arial"/>
          <w:sz w:val="13"/>
          <w:szCs w:val="13"/>
          <w:color w:val="auto"/>
        </w:rPr>
        <w:t>expense related to stock options, employee stock purchases and restricted stock</w:t>
      </w:r>
    </w:p>
    <w:p>
      <w:pPr>
        <w:spacing w:after="0" w:line="24" w:lineRule="exact"/>
        <w:rPr>
          <w:sz w:val="20"/>
          <w:szCs w:val="20"/>
          <w:color w:val="auto"/>
        </w:rPr>
      </w:pPr>
    </w:p>
    <w:p>
      <w:pPr>
        <w:ind w:left="20" w:right="220"/>
        <w:spacing w:after="0" w:line="270" w:lineRule="auto"/>
        <w:rPr>
          <w:sz w:val="20"/>
          <w:szCs w:val="20"/>
          <w:color w:val="auto"/>
        </w:rPr>
      </w:pPr>
      <w:r>
        <w:rPr>
          <w:rFonts w:ascii="Arial" w:cs="Arial" w:eastAsia="Arial" w:hAnsi="Arial"/>
          <w:sz w:val="13"/>
          <w:szCs w:val="13"/>
          <w:color w:val="auto"/>
        </w:rPr>
        <w:t>Dividends declared ($0.24 per share)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Capital contributions, net</w:t>
      </w:r>
    </w:p>
    <w:p>
      <w:pPr>
        <w:spacing w:after="0" w:line="26" w:lineRule="exact"/>
        <w:rPr>
          <w:sz w:val="20"/>
          <w:szCs w:val="20"/>
          <w:color w:val="auto"/>
        </w:rPr>
      </w:pPr>
    </w:p>
    <w:p>
      <w:pPr>
        <w:ind w:left="20" w:right="340"/>
        <w:spacing w:after="0" w:line="270" w:lineRule="auto"/>
        <w:rPr>
          <w:sz w:val="20"/>
          <w:szCs w:val="20"/>
          <w:color w:val="auto"/>
        </w:rPr>
      </w:pPr>
      <w:r>
        <w:rPr>
          <w:rFonts w:ascii="Arial" w:cs="Arial" w:eastAsia="Arial" w:hAnsi="Arial"/>
          <w:sz w:val="12"/>
          <w:szCs w:val="12"/>
          <w:color w:val="auto"/>
        </w:rPr>
        <w:t>Fair value of non-controlling interest in EyeLock LLC</w:t>
      </w:r>
    </w:p>
    <w:p>
      <w:pPr>
        <w:ind w:left="20" w:right="60"/>
        <w:spacing w:after="0" w:line="243" w:lineRule="auto"/>
        <w:rPr>
          <w:sz w:val="20"/>
          <w:szCs w:val="20"/>
          <w:color w:val="auto"/>
        </w:rPr>
      </w:pPr>
      <w:r>
        <w:rPr>
          <w:rFonts w:ascii="Arial" w:cs="Arial" w:eastAsia="Arial" w:hAnsi="Arial"/>
          <w:sz w:val="13"/>
          <w:szCs w:val="13"/>
          <w:color w:val="auto"/>
        </w:rPr>
        <w:t>Purchase of additional interest in BioCenturion LLC</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income (loss) (1)</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comprehensive income</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AS OF JUNE 30, 2025</w:t>
      </w:r>
    </w:p>
    <w:p>
      <w:pPr>
        <w:spacing w:after="0" w:line="308" w:lineRule="exact"/>
        <w:rPr>
          <w:sz w:val="20"/>
          <w:szCs w:val="20"/>
          <w:color w:val="auto"/>
        </w:rPr>
      </w:pPr>
    </w:p>
    <w:p>
      <w:pPr>
        <w:ind w:left="20" w:right="140"/>
        <w:spacing w:after="0" w:line="243" w:lineRule="auto"/>
        <w:rPr>
          <w:sz w:val="20"/>
          <w:szCs w:val="20"/>
          <w:color w:val="auto"/>
        </w:rPr>
      </w:pPr>
      <w:r>
        <w:rPr>
          <w:rFonts w:ascii="Arial" w:cs="Arial" w:eastAsia="Arial" w:hAnsi="Arial"/>
          <w:sz w:val="13"/>
          <w:szCs w:val="13"/>
          <w:color w:val="auto"/>
        </w:rPr>
        <w:t>BALANCE AS OF JANUARY 1, 2024</w:t>
      </w:r>
    </w:p>
    <w:p>
      <w:pPr>
        <w:spacing w:after="0" w:line="8" w:lineRule="exact"/>
        <w:rPr>
          <w:sz w:val="20"/>
          <w:szCs w:val="20"/>
          <w:color w:val="auto"/>
        </w:rPr>
      </w:pPr>
    </w:p>
    <w:p>
      <w:pPr>
        <w:ind w:left="20" w:right="120"/>
        <w:spacing w:after="0" w:line="243" w:lineRule="auto"/>
        <w:rPr>
          <w:sz w:val="20"/>
          <w:szCs w:val="20"/>
          <w:color w:val="auto"/>
        </w:rPr>
      </w:pPr>
      <w:r>
        <w:rPr>
          <w:rFonts w:ascii="Arial" w:cs="Arial" w:eastAsia="Arial" w:hAnsi="Arial"/>
          <w:sz w:val="13"/>
          <w:szCs w:val="13"/>
          <w:color w:val="auto"/>
        </w:rPr>
        <w:t>Issuance of common stock from stock plan transactions</w:t>
      </w:r>
    </w:p>
    <w:p>
      <w:pPr>
        <w:spacing w:after="0" w:line="8" w:lineRule="exact"/>
        <w:rPr>
          <w:sz w:val="20"/>
          <w:szCs w:val="20"/>
          <w:color w:val="auto"/>
        </w:rPr>
      </w:pPr>
    </w:p>
    <w:p>
      <w:pPr>
        <w:ind w:left="20" w:right="160"/>
        <w:spacing w:after="0" w:line="280" w:lineRule="auto"/>
        <w:rPr>
          <w:sz w:val="20"/>
          <w:szCs w:val="20"/>
          <w:color w:val="auto"/>
        </w:rPr>
      </w:pPr>
      <w:r>
        <w:rPr>
          <w:rFonts w:ascii="Arial" w:cs="Arial" w:eastAsia="Arial" w:hAnsi="Arial"/>
          <w:sz w:val="12"/>
          <w:szCs w:val="12"/>
          <w:color w:val="auto"/>
        </w:rPr>
        <w:t>Repurchases of common stock Stock-based compensation</w:t>
      </w:r>
    </w:p>
    <w:p>
      <w:pPr>
        <w:spacing w:after="0" w:line="1" w:lineRule="exact"/>
        <w:rPr>
          <w:sz w:val="20"/>
          <w:szCs w:val="20"/>
          <w:color w:val="auto"/>
        </w:rPr>
      </w:pPr>
    </w:p>
    <w:p>
      <w:pPr>
        <w:ind w:left="20" w:right="60"/>
        <w:spacing w:after="0" w:line="212" w:lineRule="auto"/>
        <w:rPr>
          <w:sz w:val="20"/>
          <w:szCs w:val="20"/>
          <w:color w:val="auto"/>
        </w:rPr>
      </w:pPr>
      <w:r>
        <w:rPr>
          <w:rFonts w:ascii="Arial" w:cs="Arial" w:eastAsia="Arial" w:hAnsi="Arial"/>
          <w:sz w:val="13"/>
          <w:szCs w:val="13"/>
          <w:color w:val="auto"/>
        </w:rPr>
        <w:t>expense related to stock options, employee stock purchases and restricted stock</w:t>
      </w:r>
    </w:p>
    <w:p>
      <w:pPr>
        <w:spacing w:after="0" w:line="24" w:lineRule="exact"/>
        <w:rPr>
          <w:sz w:val="20"/>
          <w:szCs w:val="20"/>
          <w:color w:val="auto"/>
        </w:rPr>
      </w:pPr>
    </w:p>
    <w:p>
      <w:pPr>
        <w:ind w:left="20" w:right="220"/>
        <w:spacing w:after="0" w:line="270" w:lineRule="auto"/>
        <w:rPr>
          <w:sz w:val="20"/>
          <w:szCs w:val="20"/>
          <w:color w:val="auto"/>
        </w:rPr>
      </w:pPr>
      <w:r>
        <w:rPr>
          <w:rFonts w:ascii="Arial" w:cs="Arial" w:eastAsia="Arial" w:hAnsi="Arial"/>
          <w:sz w:val="13"/>
          <w:szCs w:val="13"/>
          <w:color w:val="auto"/>
        </w:rPr>
        <w:t>Dividends declared ($0.24 per share)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income</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comprehensive loss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AS OF JUNE 30, 2024</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2000"/>
        <w:spacing w:after="0"/>
        <w:rPr>
          <w:sz w:val="20"/>
          <w:szCs w:val="20"/>
          <w:color w:val="auto"/>
        </w:rPr>
      </w:pPr>
      <w:r>
        <w:rPr>
          <w:rFonts w:ascii="Arial" w:cs="Arial" w:eastAsia="Arial" w:hAnsi="Arial"/>
          <w:sz w:val="14"/>
          <w:szCs w:val="14"/>
          <w:b w:val="1"/>
          <w:bCs w:val="1"/>
          <w:color w:val="auto"/>
        </w:rPr>
        <w:t>GENTEX CORPORATION AND SUBSIDIARIES</w:t>
      </w:r>
    </w:p>
    <w:p>
      <w:pPr>
        <w:spacing w:after="0" w:line="177" w:lineRule="exact"/>
        <w:rPr>
          <w:sz w:val="20"/>
          <w:szCs w:val="20"/>
          <w:color w:val="auto"/>
        </w:rPr>
      </w:pPr>
    </w:p>
    <w:p>
      <w:pPr>
        <w:jc w:val="center"/>
        <w:ind w:right="2000"/>
        <w:spacing w:after="0"/>
        <w:rPr>
          <w:sz w:val="20"/>
          <w:szCs w:val="20"/>
          <w:color w:val="auto"/>
        </w:rPr>
      </w:pPr>
      <w:r>
        <w:rPr>
          <w:rFonts w:ascii="Arial" w:cs="Arial" w:eastAsia="Arial" w:hAnsi="Arial"/>
          <w:sz w:val="14"/>
          <w:szCs w:val="14"/>
          <w:b w:val="1"/>
          <w:bCs w:val="1"/>
          <w:color w:val="auto"/>
        </w:rPr>
        <w:t>UNAUDITED CONDENSED CONSOLIDATED STATEMENTS OF SHAREHOLDERS' INVESTMENT</w:t>
      </w:r>
    </w:p>
    <w:p>
      <w:pPr>
        <w:spacing w:after="0" w:line="177"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For the Six Months Ended June 30, 2025 and 2024</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Common</w:t>
            </w:r>
          </w:p>
        </w:tc>
        <w:tc>
          <w:tcPr>
            <w:tcW w:w="200" w:type="dxa"/>
            <w:vAlign w:val="bottom"/>
          </w:tcPr>
          <w:p>
            <w:pPr>
              <w:spacing w:after="0"/>
              <w:rPr>
                <w:sz w:val="13"/>
                <w:szCs w:val="13"/>
                <w:color w:val="auto"/>
              </w:rPr>
            </w:pPr>
          </w:p>
        </w:tc>
        <w:tc>
          <w:tcPr>
            <w:tcW w:w="92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Common</w:t>
            </w:r>
          </w:p>
        </w:tc>
        <w:tc>
          <w:tcPr>
            <w:tcW w:w="200" w:type="dxa"/>
            <w:vAlign w:val="bottom"/>
          </w:tcPr>
          <w:p>
            <w:pPr>
              <w:spacing w:after="0"/>
              <w:rPr>
                <w:sz w:val="13"/>
                <w:szCs w:val="13"/>
                <w:color w:val="auto"/>
              </w:rPr>
            </w:pPr>
          </w:p>
        </w:tc>
        <w:tc>
          <w:tcPr>
            <w:tcW w:w="94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137"/>
              <w:spacing w:after="0"/>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3"/>
                <w:szCs w:val="13"/>
                <w:color w:val="auto"/>
              </w:rPr>
            </w:pPr>
          </w:p>
        </w:tc>
        <w:tc>
          <w:tcPr>
            <w:tcW w:w="960" w:type="dxa"/>
            <w:vAlign w:val="bottom"/>
            <w:vMerge w:val="restart"/>
          </w:tcPr>
          <w:p>
            <w:pPr>
              <w:jc w:val="right"/>
              <w:ind w:right="3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6"/>
        </w:trPr>
        <w:tc>
          <w:tcPr>
            <w:tcW w:w="10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1180" w:type="dxa"/>
            <w:vAlign w:val="bottom"/>
          </w:tcPr>
          <w:p>
            <w:pPr>
              <w:jc w:val="center"/>
              <w:ind w:right="97"/>
              <w:spacing w:after="0" w:line="126"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Stock</w:t>
            </w:r>
          </w:p>
        </w:tc>
        <w:tc>
          <w:tcPr>
            <w:tcW w:w="200" w:type="dxa"/>
            <w:vAlign w:val="bottom"/>
          </w:tcPr>
          <w:p>
            <w:pPr>
              <w:spacing w:after="0"/>
              <w:rPr>
                <w:sz w:val="10"/>
                <w:szCs w:val="10"/>
                <w:color w:val="auto"/>
              </w:rPr>
            </w:pPr>
          </w:p>
        </w:tc>
        <w:tc>
          <w:tcPr>
            <w:tcW w:w="920" w:type="dxa"/>
            <w:vAlign w:val="bottom"/>
          </w:tcPr>
          <w:p>
            <w:pPr>
              <w:jc w:val="right"/>
              <w:ind w:right="317"/>
              <w:spacing w:after="0" w:line="122" w:lineRule="exact"/>
              <w:rPr>
                <w:sz w:val="20"/>
                <w:szCs w:val="20"/>
                <w:color w:val="auto"/>
              </w:rPr>
            </w:pPr>
            <w:r>
              <w:rPr>
                <w:rFonts w:ascii="Arial" w:cs="Arial" w:eastAsia="Arial" w:hAnsi="Arial"/>
                <w:sz w:val="13"/>
                <w:szCs w:val="13"/>
                <w:b w:val="1"/>
                <w:bCs w:val="1"/>
                <w:color w:val="auto"/>
              </w:rPr>
              <w:t>Stock</w:t>
            </w:r>
          </w:p>
        </w:tc>
        <w:tc>
          <w:tcPr>
            <w:tcW w:w="200" w:type="dxa"/>
            <w:vAlign w:val="bottom"/>
          </w:tcPr>
          <w:p>
            <w:pPr>
              <w:spacing w:after="0"/>
              <w:rPr>
                <w:sz w:val="10"/>
                <w:szCs w:val="10"/>
                <w:color w:val="auto"/>
              </w:rPr>
            </w:pPr>
          </w:p>
        </w:tc>
        <w:tc>
          <w:tcPr>
            <w:tcW w:w="940" w:type="dxa"/>
            <w:vAlign w:val="bottom"/>
          </w:tcPr>
          <w:p>
            <w:pPr>
              <w:jc w:val="right"/>
              <w:ind w:right="277"/>
              <w:spacing w:after="0" w:line="122"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ind w:right="97"/>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80" w:type="dxa"/>
            <w:vAlign w:val="bottom"/>
          </w:tcPr>
          <w:p>
            <w:pPr>
              <w:spacing w:after="0"/>
              <w:rPr>
                <w:sz w:val="10"/>
                <w:szCs w:val="10"/>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Total</w:t>
            </w:r>
          </w:p>
        </w:tc>
        <w:tc>
          <w:tcPr>
            <w:tcW w:w="11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Noncontrolling</w:t>
            </w:r>
          </w:p>
        </w:tc>
        <w:tc>
          <w:tcPr>
            <w:tcW w:w="100" w:type="dxa"/>
            <w:vAlign w:val="bottom"/>
          </w:tcPr>
          <w:p>
            <w:pPr>
              <w:spacing w:after="0"/>
              <w:rPr>
                <w:sz w:val="10"/>
                <w:szCs w:val="10"/>
                <w:color w:val="auto"/>
              </w:rPr>
            </w:pPr>
          </w:p>
        </w:tc>
        <w:tc>
          <w:tcPr>
            <w:tcW w:w="960" w:type="dxa"/>
            <w:vAlign w:val="bottom"/>
          </w:tcPr>
          <w:p>
            <w:pPr>
              <w:jc w:val="right"/>
              <w:ind w:right="57"/>
              <w:spacing w:after="0" w:line="122" w:lineRule="exact"/>
              <w:rPr>
                <w:sz w:val="20"/>
                <w:szCs w:val="20"/>
                <w:color w:val="auto"/>
              </w:rPr>
            </w:pPr>
            <w:r>
              <w:rPr>
                <w:rFonts w:ascii="Arial" w:cs="Arial" w:eastAsia="Arial" w:hAnsi="Arial"/>
                <w:sz w:val="13"/>
                <w:szCs w:val="13"/>
                <w:b w:val="1"/>
                <w:bCs w:val="1"/>
                <w:color w:val="auto"/>
                <w:w w:val="94"/>
              </w:rPr>
              <w:t>Shareholders’</w:t>
            </w:r>
          </w:p>
        </w:tc>
        <w:tc>
          <w:tcPr>
            <w:tcW w:w="0" w:type="dxa"/>
            <w:vAlign w:val="bottom"/>
          </w:tcPr>
          <w:p>
            <w:pPr>
              <w:spacing w:after="0"/>
              <w:rPr>
                <w:sz w:val="1"/>
                <w:szCs w:val="1"/>
                <w:color w:val="auto"/>
              </w:rPr>
            </w:pPr>
          </w:p>
        </w:tc>
      </w:tr>
      <w:tr>
        <w:trPr>
          <w:trHeight w:val="174"/>
        </w:trPr>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Shares</w:t>
            </w:r>
          </w:p>
        </w:tc>
        <w:tc>
          <w:tcPr>
            <w:tcW w:w="200" w:type="dxa"/>
            <w:vAlign w:val="bottom"/>
          </w:tcPr>
          <w:p>
            <w:pPr>
              <w:spacing w:after="0"/>
              <w:rPr>
                <w:sz w:val="15"/>
                <w:szCs w:val="15"/>
                <w:color w:val="auto"/>
              </w:rPr>
            </w:pPr>
          </w:p>
        </w:tc>
        <w:tc>
          <w:tcPr>
            <w:tcW w:w="920" w:type="dxa"/>
            <w:vAlign w:val="bottom"/>
          </w:tcPr>
          <w:p>
            <w:pPr>
              <w:jc w:val="right"/>
              <w:ind w:right="257"/>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5"/>
                <w:szCs w:val="15"/>
                <w:color w:val="auto"/>
              </w:rPr>
            </w:pPr>
          </w:p>
        </w:tc>
        <w:tc>
          <w:tcPr>
            <w:tcW w:w="940" w:type="dxa"/>
            <w:vAlign w:val="bottom"/>
          </w:tcPr>
          <w:p>
            <w:pPr>
              <w:jc w:val="right"/>
              <w:ind w:right="277"/>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5"/>
                <w:szCs w:val="15"/>
                <w:color w:val="auto"/>
              </w:rPr>
            </w:pPr>
          </w:p>
        </w:tc>
        <w:tc>
          <w:tcPr>
            <w:tcW w:w="960" w:type="dxa"/>
            <w:vAlign w:val="bottom"/>
          </w:tcPr>
          <w:p>
            <w:pPr>
              <w:jc w:val="right"/>
              <w:ind w:right="237"/>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180" w:type="dxa"/>
            <w:vAlign w:val="bottom"/>
          </w:tcPr>
          <w:p>
            <w:pPr>
              <w:jc w:val="center"/>
              <w:ind w:right="97"/>
              <w:spacing w:after="0"/>
              <w:rPr>
                <w:sz w:val="20"/>
                <w:szCs w:val="20"/>
                <w:color w:val="auto"/>
              </w:rPr>
            </w:pPr>
            <w:r>
              <w:rPr>
                <w:rFonts w:ascii="Arial" w:cs="Arial" w:eastAsia="Arial" w:hAnsi="Arial"/>
                <w:sz w:val="13"/>
                <w:szCs w:val="13"/>
                <w:b w:val="1"/>
                <w:bCs w:val="1"/>
                <w:color w:val="auto"/>
                <w:w w:val="98"/>
              </w:rPr>
              <w:t>Loss</w:t>
            </w: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Interests</w:t>
            </w:r>
          </w:p>
        </w:tc>
        <w:tc>
          <w:tcPr>
            <w:tcW w:w="100" w:type="dxa"/>
            <w:vAlign w:val="bottom"/>
          </w:tcPr>
          <w:p>
            <w:pPr>
              <w:spacing w:after="0"/>
              <w:rPr>
                <w:sz w:val="15"/>
                <w:szCs w:val="15"/>
                <w:color w:val="auto"/>
              </w:rPr>
            </w:pPr>
          </w:p>
        </w:tc>
        <w:tc>
          <w:tcPr>
            <w:tcW w:w="960" w:type="dxa"/>
            <w:vAlign w:val="bottom"/>
          </w:tcPr>
          <w:p>
            <w:pPr>
              <w:jc w:val="right"/>
              <w:ind w:right="137"/>
              <w:spacing w:after="0"/>
              <w:rPr>
                <w:sz w:val="20"/>
                <w:szCs w:val="20"/>
                <w:color w:val="auto"/>
              </w:rPr>
            </w:pPr>
            <w:r>
              <w:rPr>
                <w:rFonts w:ascii="Arial" w:cs="Arial" w:eastAsia="Arial" w:hAnsi="Arial"/>
                <w:sz w:val="13"/>
                <w:szCs w:val="13"/>
                <w:b w:val="1"/>
                <w:bCs w:val="1"/>
                <w:color w:val="auto"/>
              </w:rPr>
              <w:t>Investment</w:t>
            </w:r>
          </w:p>
        </w:tc>
        <w:tc>
          <w:tcPr>
            <w:tcW w:w="0" w:type="dxa"/>
            <w:vAlign w:val="bottom"/>
          </w:tcPr>
          <w:p>
            <w:pPr>
              <w:spacing w:after="0"/>
              <w:rPr>
                <w:sz w:val="1"/>
                <w:szCs w:val="1"/>
                <w:color w:val="auto"/>
              </w:rPr>
            </w:pPr>
          </w:p>
        </w:tc>
      </w:tr>
      <w:tr>
        <w:trPr>
          <w:trHeight w:val="278"/>
        </w:trPr>
        <w:tc>
          <w:tcPr>
            <w:tcW w:w="10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227,207,472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13,632,448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1,010,440,420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1,450,287,128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(6,409,341)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2,467,950,655</w:t>
            </w:r>
          </w:p>
        </w:tc>
        <w:tc>
          <w:tcPr>
            <w:tcW w:w="8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4,149,000</w:t>
            </w:r>
          </w:p>
        </w:tc>
        <w:tc>
          <w:tcPr>
            <w:tcW w:w="8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2,472,099,655</w:t>
            </w:r>
          </w:p>
        </w:tc>
        <w:tc>
          <w:tcPr>
            <w:tcW w:w="0" w:type="dxa"/>
            <w:vAlign w:val="bottom"/>
          </w:tcPr>
          <w:p>
            <w:pPr>
              <w:spacing w:after="0"/>
              <w:rPr>
                <w:sz w:val="1"/>
                <w:szCs w:val="1"/>
                <w:color w:val="auto"/>
              </w:rPr>
            </w:pPr>
          </w:p>
        </w:tc>
      </w:tr>
      <w:tr>
        <w:trPr>
          <w:trHeight w:val="310"/>
        </w:trPr>
        <w:tc>
          <w:tcPr>
            <w:tcW w:w="1080" w:type="dxa"/>
            <w:vAlign w:val="bottom"/>
          </w:tcPr>
          <w:p>
            <w:pPr>
              <w:jc w:val="right"/>
              <w:ind w:right="37"/>
              <w:spacing w:after="0"/>
              <w:rPr>
                <w:sz w:val="20"/>
                <w:szCs w:val="20"/>
                <w:color w:val="auto"/>
              </w:rPr>
            </w:pPr>
            <w:r>
              <w:rPr>
                <w:rFonts w:ascii="Arial" w:cs="Arial" w:eastAsia="Arial" w:hAnsi="Arial"/>
                <w:sz w:val="13"/>
                <w:szCs w:val="13"/>
                <w:color w:val="auto"/>
              </w:rPr>
              <w:t>1,115,693</w:t>
            </w:r>
          </w:p>
        </w:tc>
        <w:tc>
          <w:tcPr>
            <w:tcW w:w="2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66,942</w:t>
            </w:r>
          </w:p>
        </w:tc>
        <w:tc>
          <w:tcPr>
            <w:tcW w:w="20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6,283,742</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6,350,684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6,350,684</w:t>
            </w:r>
          </w:p>
        </w:tc>
        <w:tc>
          <w:tcPr>
            <w:tcW w:w="0" w:type="dxa"/>
            <w:vAlign w:val="bottom"/>
          </w:tcPr>
          <w:p>
            <w:pPr>
              <w:spacing w:after="0"/>
              <w:rPr>
                <w:sz w:val="1"/>
                <w:szCs w:val="1"/>
                <w:color w:val="auto"/>
              </w:rPr>
            </w:pPr>
          </w:p>
        </w:tc>
      </w:tr>
      <w:tr>
        <w:trPr>
          <w:trHeight w:val="176"/>
        </w:trPr>
        <w:tc>
          <w:tcPr>
            <w:tcW w:w="1080" w:type="dxa"/>
            <w:vAlign w:val="bottom"/>
          </w:tcPr>
          <w:p>
            <w:pPr>
              <w:jc w:val="right"/>
              <w:spacing w:after="0"/>
              <w:rPr>
                <w:sz w:val="20"/>
                <w:szCs w:val="20"/>
                <w:color w:val="auto"/>
              </w:rPr>
            </w:pPr>
            <w:r>
              <w:rPr>
                <w:rFonts w:ascii="Arial" w:cs="Arial" w:eastAsia="Arial" w:hAnsi="Arial"/>
                <w:sz w:val="13"/>
                <w:szCs w:val="13"/>
                <w:color w:val="auto"/>
              </w:rPr>
              <w:t>(8,802,415)</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(528,145)</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(35,111,663)</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(166,527,240)</w:t>
            </w:r>
          </w:p>
        </w:tc>
        <w:tc>
          <w:tcPr>
            <w:tcW w:w="160" w:type="dxa"/>
            <w:vAlign w:val="bottom"/>
          </w:tcPr>
          <w:p>
            <w:pPr>
              <w:spacing w:after="0"/>
              <w:rPr>
                <w:sz w:val="15"/>
                <w:szCs w:val="15"/>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(202,167,048)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(202,167,048)</w:t>
            </w:r>
          </w:p>
        </w:tc>
        <w:tc>
          <w:tcPr>
            <w:tcW w:w="0" w:type="dxa"/>
            <w:vAlign w:val="bottom"/>
          </w:tcPr>
          <w:p>
            <w:pPr>
              <w:spacing w:after="0"/>
              <w:rPr>
                <w:sz w:val="1"/>
                <w:szCs w:val="1"/>
                <w:color w:val="auto"/>
              </w:rPr>
            </w:pPr>
          </w:p>
        </w:tc>
      </w:tr>
      <w:tr>
        <w:trPr>
          <w:trHeight w:val="553"/>
        </w:trPr>
        <w:tc>
          <w:tcPr>
            <w:tcW w:w="10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16,160,289</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16,160,289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16,160,289</w:t>
            </w:r>
          </w:p>
        </w:tc>
        <w:tc>
          <w:tcPr>
            <w:tcW w:w="0" w:type="dxa"/>
            <w:vAlign w:val="bottom"/>
          </w:tcPr>
          <w:p>
            <w:pPr>
              <w:spacing w:after="0"/>
              <w:rPr>
                <w:sz w:val="1"/>
                <w:szCs w:val="1"/>
                <w:color w:val="auto"/>
              </w:rPr>
            </w:pPr>
          </w:p>
        </w:tc>
      </w:tr>
      <w:tr>
        <w:trPr>
          <w:trHeight w:val="351"/>
        </w:trPr>
        <w:tc>
          <w:tcPr>
            <w:tcW w:w="10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(53,321,754)</w:t>
            </w:r>
          </w:p>
        </w:tc>
        <w:tc>
          <w:tcPr>
            <w:tcW w:w="16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(53,321,754)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(53,321,754)</w:t>
            </w:r>
          </w:p>
        </w:tc>
        <w:tc>
          <w:tcPr>
            <w:tcW w:w="0" w:type="dxa"/>
            <w:vAlign w:val="bottom"/>
          </w:tcPr>
          <w:p>
            <w:pPr>
              <w:spacing w:after="0"/>
              <w:rPr>
                <w:sz w:val="1"/>
                <w:szCs w:val="1"/>
                <w:color w:val="auto"/>
              </w:rPr>
            </w:pPr>
          </w:p>
        </w:tc>
      </w:tr>
      <w:tr>
        <w:trPr>
          <w:trHeight w:val="176"/>
        </w:trPr>
        <w:tc>
          <w:tcPr>
            <w:tcW w:w="10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442,500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442,500</w:t>
            </w:r>
          </w:p>
        </w:tc>
        <w:tc>
          <w:tcPr>
            <w:tcW w:w="0" w:type="dxa"/>
            <w:vAlign w:val="bottom"/>
          </w:tcPr>
          <w:p>
            <w:pPr>
              <w:spacing w:after="0"/>
              <w:rPr>
                <w:sz w:val="1"/>
                <w:szCs w:val="1"/>
                <w:color w:val="auto"/>
              </w:rPr>
            </w:pPr>
          </w:p>
        </w:tc>
      </w:tr>
      <w:tr>
        <w:trPr>
          <w:trHeight w:val="310"/>
        </w:trPr>
        <w:tc>
          <w:tcPr>
            <w:tcW w:w="10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656,000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656,000</w:t>
            </w:r>
          </w:p>
        </w:tc>
        <w:tc>
          <w:tcPr>
            <w:tcW w:w="0" w:type="dxa"/>
            <w:vAlign w:val="bottom"/>
          </w:tcPr>
          <w:p>
            <w:pPr>
              <w:spacing w:after="0"/>
              <w:rPr>
                <w:sz w:val="1"/>
                <w:szCs w:val="1"/>
                <w:color w:val="auto"/>
              </w:rPr>
            </w:pPr>
          </w:p>
        </w:tc>
      </w:tr>
      <w:tr>
        <w:trPr>
          <w:trHeight w:val="311"/>
        </w:trPr>
        <w:tc>
          <w:tcPr>
            <w:tcW w:w="10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1,139,021</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1,139,021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(4,591,549)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(3,452,528)</w:t>
            </w:r>
          </w:p>
        </w:tc>
        <w:tc>
          <w:tcPr>
            <w:tcW w:w="0" w:type="dxa"/>
            <w:vAlign w:val="bottom"/>
          </w:tcPr>
          <w:p>
            <w:pPr>
              <w:spacing w:after="0"/>
              <w:rPr>
                <w:sz w:val="1"/>
                <w:szCs w:val="1"/>
                <w:color w:val="auto"/>
              </w:rPr>
            </w:pPr>
          </w:p>
        </w:tc>
      </w:tr>
      <w:tr>
        <w:trPr>
          <w:trHeight w:val="175"/>
        </w:trPr>
        <w:tc>
          <w:tcPr>
            <w:tcW w:w="10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190,913,629</w:t>
            </w:r>
          </w:p>
        </w:tc>
        <w:tc>
          <w:tcPr>
            <w:tcW w:w="160" w:type="dxa"/>
            <w:vAlign w:val="bottom"/>
          </w:tcPr>
          <w:p>
            <w:pPr>
              <w:spacing w:after="0"/>
              <w:rPr>
                <w:sz w:val="15"/>
                <w:szCs w:val="15"/>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190,913,629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(56,395)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190,857,234</w:t>
            </w:r>
          </w:p>
        </w:tc>
        <w:tc>
          <w:tcPr>
            <w:tcW w:w="0" w:type="dxa"/>
            <w:vAlign w:val="bottom"/>
          </w:tcPr>
          <w:p>
            <w:pPr>
              <w:spacing w:after="0"/>
              <w:rPr>
                <w:sz w:val="1"/>
                <w:szCs w:val="1"/>
                <w:color w:val="auto"/>
              </w:rPr>
            </w:pPr>
          </w:p>
        </w:tc>
      </w:tr>
      <w:tr>
        <w:trPr>
          <w:trHeight w:val="183"/>
        </w:trPr>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3,012,692</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3,012,692</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3,012,692</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219,520,750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13,171,245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998,911,809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1,421,351,763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(3,396,649)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2,430,038,168</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599,556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2,430,637,724</w:t>
            </w:r>
          </w:p>
        </w:tc>
        <w:tc>
          <w:tcPr>
            <w:tcW w:w="0" w:type="dxa"/>
            <w:vAlign w:val="bottom"/>
          </w:tcPr>
          <w:p>
            <w:pPr>
              <w:spacing w:after="0"/>
              <w:rPr>
                <w:sz w:val="1"/>
                <w:szCs w:val="1"/>
                <w:color w:val="auto"/>
              </w:rPr>
            </w:pPr>
          </w:p>
        </w:tc>
      </w:tr>
      <w:tr>
        <w:trPr>
          <w:trHeight w:val="25"/>
        </w:trPr>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3"/>
        </w:trPr>
        <w:tc>
          <w:tcPr>
            <w:tcW w:w="1080" w:type="dxa"/>
            <w:vAlign w:val="bottom"/>
          </w:tcPr>
          <w:p>
            <w:pPr>
              <w:jc w:val="right"/>
              <w:ind w:right="37"/>
              <w:spacing w:after="0"/>
              <w:rPr>
                <w:sz w:val="20"/>
                <w:szCs w:val="20"/>
                <w:color w:val="auto"/>
              </w:rPr>
            </w:pPr>
            <w:r>
              <w:rPr>
                <w:rFonts w:ascii="Arial" w:cs="Arial" w:eastAsia="Arial" w:hAnsi="Arial"/>
                <w:sz w:val="13"/>
                <w:szCs w:val="13"/>
                <w:color w:val="auto"/>
              </w:rPr>
              <w:t>231,455,443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13,887,326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968,245,875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1,336,940,990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(6,557,122)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2,312,517,069</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2,312,517,069</w:t>
            </w:r>
          </w:p>
        </w:tc>
        <w:tc>
          <w:tcPr>
            <w:tcW w:w="0" w:type="dxa"/>
            <w:vAlign w:val="bottom"/>
          </w:tcPr>
          <w:p>
            <w:pPr>
              <w:spacing w:after="0"/>
              <w:rPr>
                <w:sz w:val="1"/>
                <w:szCs w:val="1"/>
                <w:color w:val="auto"/>
              </w:rPr>
            </w:pPr>
          </w:p>
        </w:tc>
      </w:tr>
      <w:tr>
        <w:trPr>
          <w:trHeight w:val="311"/>
        </w:trPr>
        <w:tc>
          <w:tcPr>
            <w:tcW w:w="1080" w:type="dxa"/>
            <w:vAlign w:val="bottom"/>
          </w:tcPr>
          <w:p>
            <w:pPr>
              <w:jc w:val="right"/>
              <w:ind w:right="37"/>
              <w:spacing w:after="0"/>
              <w:rPr>
                <w:sz w:val="20"/>
                <w:szCs w:val="20"/>
                <w:color w:val="auto"/>
              </w:rPr>
            </w:pPr>
            <w:r>
              <w:rPr>
                <w:rFonts w:ascii="Arial" w:cs="Arial" w:eastAsia="Arial" w:hAnsi="Arial"/>
                <w:sz w:val="13"/>
                <w:szCs w:val="13"/>
                <w:color w:val="auto"/>
              </w:rPr>
              <w:t>1,377,666</w:t>
            </w:r>
          </w:p>
        </w:tc>
        <w:tc>
          <w:tcPr>
            <w:tcW w:w="2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82,660</w:t>
            </w:r>
          </w:p>
        </w:tc>
        <w:tc>
          <w:tcPr>
            <w:tcW w:w="20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20,159,649</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20,242,309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20,242,309</w:t>
            </w:r>
          </w:p>
        </w:tc>
        <w:tc>
          <w:tcPr>
            <w:tcW w:w="0" w:type="dxa"/>
            <w:vAlign w:val="bottom"/>
          </w:tcPr>
          <w:p>
            <w:pPr>
              <w:spacing w:after="0"/>
              <w:rPr>
                <w:sz w:val="1"/>
                <w:szCs w:val="1"/>
                <w:color w:val="auto"/>
              </w:rPr>
            </w:pPr>
          </w:p>
        </w:tc>
      </w:tr>
      <w:tr>
        <w:trPr>
          <w:trHeight w:val="175"/>
        </w:trPr>
        <w:tc>
          <w:tcPr>
            <w:tcW w:w="1080" w:type="dxa"/>
            <w:vAlign w:val="bottom"/>
          </w:tcPr>
          <w:p>
            <w:pPr>
              <w:jc w:val="right"/>
              <w:spacing w:after="0"/>
              <w:rPr>
                <w:sz w:val="20"/>
                <w:szCs w:val="20"/>
                <w:color w:val="auto"/>
              </w:rPr>
            </w:pPr>
            <w:r>
              <w:rPr>
                <w:rFonts w:ascii="Arial" w:cs="Arial" w:eastAsia="Arial" w:hAnsi="Arial"/>
                <w:sz w:val="13"/>
                <w:szCs w:val="13"/>
                <w:color w:val="auto"/>
              </w:rPr>
              <w:t>(2,603,570)</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(156,214)</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(9,787,501)</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(81,394,947)</w:t>
            </w:r>
          </w:p>
        </w:tc>
        <w:tc>
          <w:tcPr>
            <w:tcW w:w="160" w:type="dxa"/>
            <w:vAlign w:val="bottom"/>
          </w:tcPr>
          <w:p>
            <w:pPr>
              <w:spacing w:after="0"/>
              <w:rPr>
                <w:sz w:val="15"/>
                <w:szCs w:val="15"/>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(91,338,662)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(91,338,662)</w:t>
            </w:r>
          </w:p>
        </w:tc>
        <w:tc>
          <w:tcPr>
            <w:tcW w:w="0" w:type="dxa"/>
            <w:vAlign w:val="bottom"/>
          </w:tcPr>
          <w:p>
            <w:pPr>
              <w:spacing w:after="0"/>
              <w:rPr>
                <w:sz w:val="1"/>
                <w:szCs w:val="1"/>
                <w:color w:val="auto"/>
              </w:rPr>
            </w:pPr>
          </w:p>
        </w:tc>
      </w:tr>
      <w:tr>
        <w:trPr>
          <w:trHeight w:val="553"/>
        </w:trPr>
        <w:tc>
          <w:tcPr>
            <w:tcW w:w="10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21,396,790</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21,396,790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21,396,790</w:t>
            </w:r>
          </w:p>
        </w:tc>
        <w:tc>
          <w:tcPr>
            <w:tcW w:w="0" w:type="dxa"/>
            <w:vAlign w:val="bottom"/>
          </w:tcPr>
          <w:p>
            <w:pPr>
              <w:spacing w:after="0"/>
              <w:rPr>
                <w:sz w:val="1"/>
                <w:szCs w:val="1"/>
                <w:color w:val="auto"/>
              </w:rPr>
            </w:pPr>
          </w:p>
        </w:tc>
      </w:tr>
      <w:tr>
        <w:trPr>
          <w:trHeight w:val="351"/>
        </w:trPr>
        <w:tc>
          <w:tcPr>
            <w:tcW w:w="10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(55,370,601)</w:t>
            </w:r>
          </w:p>
        </w:tc>
        <w:tc>
          <w:tcPr>
            <w:tcW w:w="16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(55,370,601)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(55,370,601)</w:t>
            </w:r>
          </w:p>
        </w:tc>
        <w:tc>
          <w:tcPr>
            <w:tcW w:w="0" w:type="dxa"/>
            <w:vAlign w:val="bottom"/>
          </w:tcPr>
          <w:p>
            <w:pPr>
              <w:spacing w:after="0"/>
              <w:rPr>
                <w:sz w:val="1"/>
                <w:szCs w:val="1"/>
                <w:color w:val="auto"/>
              </w:rPr>
            </w:pPr>
          </w:p>
        </w:tc>
      </w:tr>
      <w:tr>
        <w:trPr>
          <w:trHeight w:val="175"/>
        </w:trPr>
        <w:tc>
          <w:tcPr>
            <w:tcW w:w="10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194,271,153</w:t>
            </w:r>
          </w:p>
        </w:tc>
        <w:tc>
          <w:tcPr>
            <w:tcW w:w="160" w:type="dxa"/>
            <w:vAlign w:val="bottom"/>
          </w:tcPr>
          <w:p>
            <w:pPr>
              <w:spacing w:after="0"/>
              <w:rPr>
                <w:sz w:val="15"/>
                <w:szCs w:val="15"/>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194,271,153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194,271,153</w:t>
            </w:r>
          </w:p>
        </w:tc>
        <w:tc>
          <w:tcPr>
            <w:tcW w:w="0" w:type="dxa"/>
            <w:vAlign w:val="bottom"/>
          </w:tcPr>
          <w:p>
            <w:pPr>
              <w:spacing w:after="0"/>
              <w:rPr>
                <w:sz w:val="1"/>
                <w:szCs w:val="1"/>
                <w:color w:val="auto"/>
              </w:rPr>
            </w:pPr>
          </w:p>
        </w:tc>
      </w:tr>
      <w:tr>
        <w:trPr>
          <w:trHeight w:val="183"/>
        </w:trPr>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(1,418,531)</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(1,418,531)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(1,418,531)</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230,229,539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13,813,772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1,000,014,813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1,394,446,595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(7,975,653)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2,400,299,527</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2,400,299,527</w:t>
            </w:r>
          </w:p>
        </w:tc>
        <w:tc>
          <w:tcPr>
            <w:tcW w:w="0" w:type="dxa"/>
            <w:vAlign w:val="bottom"/>
          </w:tcPr>
          <w:p>
            <w:pPr>
              <w:spacing w:after="0"/>
              <w:rPr>
                <w:sz w:val="1"/>
                <w:szCs w:val="1"/>
                <w:color w:val="auto"/>
              </w:rPr>
            </w:pPr>
          </w:p>
        </w:tc>
      </w:tr>
      <w:tr>
        <w:trPr>
          <w:trHeight w:val="25"/>
        </w:trPr>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-3573780</wp:posOffset>
            </wp:positionV>
            <wp:extent cx="713232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-3179445</wp:posOffset>
            </wp:positionV>
            <wp:extent cx="7132320" cy="111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-2716530</wp:posOffset>
            </wp:positionV>
            <wp:extent cx="713232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-2382520</wp:posOffset>
            </wp:positionV>
            <wp:extent cx="7132320"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-1988185</wp:posOffset>
            </wp:positionV>
            <wp:extent cx="7132320" cy="111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-1765300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-1456690</wp:posOffset>
            </wp:positionV>
            <wp:extent cx="7132320"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-1062355</wp:posOffset>
            </wp:positionV>
            <wp:extent cx="7132320" cy="111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-599440</wp:posOffset>
            </wp:positionV>
            <wp:extent cx="713232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-264795</wp:posOffset>
            </wp:positionV>
            <wp:extent cx="7132320" cy="111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80"/>
            <w:col w:w="9240"/>
          </w:cols>
          <w:pgMar w:left="320" w:top="1440" w:right="339" w:bottom="144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Net income (loss) excludes net loss attributable to redeemable non-controlling interest of $332,739 for the six months ended June 30, 2025 (see </w:t>
      </w:r>
      <w:r>
        <w:rPr>
          <w:rFonts w:ascii="Arial" w:cs="Arial" w:eastAsia="Arial" w:hAnsi="Arial"/>
          <w:sz w:val="14"/>
          <w:szCs w:val="14"/>
          <w:u w:val="single" w:color="auto"/>
          <w:color w:val="0000FF"/>
        </w:rPr>
        <w:t>Note 16</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jc w:val="center"/>
        <w:ind w:right="20"/>
        <w:spacing w:after="0" w:line="395"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Six Months Ended June 30,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9"/>
        </w:trPr>
        <w:tc>
          <w:tcPr>
            <w:tcW w:w="736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from consolidated operations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190,524,495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194,271,153</w:t>
            </w:r>
          </w:p>
        </w:tc>
        <w:tc>
          <w:tcPr>
            <w:tcW w:w="0" w:type="dxa"/>
            <w:vAlign w:val="bottom"/>
          </w:tcPr>
          <w:p>
            <w:pPr>
              <w:spacing w:after="0"/>
              <w:rPr>
                <w:sz w:val="1"/>
                <w:szCs w:val="1"/>
                <w:color w:val="auto"/>
              </w:rPr>
            </w:pPr>
          </w:p>
        </w:tc>
      </w:tr>
      <w:tr>
        <w:trPr>
          <w:trHeight w:val="229"/>
        </w:trPr>
        <w:tc>
          <w:tcPr>
            <w:tcW w:w="7360" w:type="dxa"/>
            <w:vAlign w:val="bottom"/>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52,880,443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47,942,132</w:t>
            </w:r>
          </w:p>
        </w:tc>
        <w:tc>
          <w:tcPr>
            <w:tcW w:w="0" w:type="dxa"/>
            <w:vAlign w:val="bottom"/>
          </w:tcPr>
          <w:p>
            <w:pPr>
              <w:spacing w:after="0"/>
              <w:rPr>
                <w:sz w:val="1"/>
                <w:szCs w:val="1"/>
                <w:color w:val="auto"/>
              </w:rPr>
            </w:pPr>
          </w:p>
        </w:tc>
      </w:tr>
      <w:tr>
        <w:trPr>
          <w:trHeight w:val="230"/>
        </w:trPr>
        <w:tc>
          <w:tcPr>
            <w:tcW w:w="7360" w:type="dxa"/>
            <w:vAlign w:val="bottom"/>
          </w:tcPr>
          <w:p>
            <w:pPr>
              <w:ind w:left="560"/>
              <w:spacing w:after="0"/>
              <w:rPr>
                <w:sz w:val="20"/>
                <w:szCs w:val="20"/>
                <w:color w:val="auto"/>
              </w:rPr>
            </w:pPr>
            <w:r>
              <w:rPr>
                <w:rFonts w:ascii="Arial" w:cs="Arial" w:eastAsia="Arial" w:hAnsi="Arial"/>
                <w:sz w:val="18"/>
                <w:szCs w:val="18"/>
                <w:color w:val="auto"/>
              </w:rPr>
              <w:t>Gain on disposal of assets</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(133,576)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(1,261,727)</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disposal of assets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29,782</w:t>
            </w:r>
          </w:p>
        </w:tc>
        <w:tc>
          <w:tcPr>
            <w:tcW w:w="0" w:type="dxa"/>
            <w:vAlign w:val="bottom"/>
          </w:tcPr>
          <w:p>
            <w:pPr>
              <w:spacing w:after="0"/>
              <w:rPr>
                <w:sz w:val="1"/>
                <w:szCs w:val="1"/>
                <w:color w:val="auto"/>
              </w:rPr>
            </w:pPr>
          </w:p>
        </w:tc>
      </w:tr>
      <w:tr>
        <w:trPr>
          <w:trHeight w:val="229"/>
        </w:trPr>
        <w:tc>
          <w:tcPr>
            <w:tcW w:w="7360" w:type="dxa"/>
            <w:vAlign w:val="bottom"/>
          </w:tcPr>
          <w:p>
            <w:pPr>
              <w:ind w:left="560"/>
              <w:spacing w:after="0"/>
              <w:rPr>
                <w:sz w:val="20"/>
                <w:szCs w:val="20"/>
                <w:color w:val="auto"/>
              </w:rPr>
            </w:pPr>
            <w:r>
              <w:rPr>
                <w:rFonts w:ascii="Arial" w:cs="Arial" w:eastAsia="Arial" w:hAnsi="Arial"/>
                <w:sz w:val="18"/>
                <w:szCs w:val="18"/>
                <w:color w:val="auto"/>
              </w:rPr>
              <w:t>Gain on sale of investments and technology investment income</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(832,046)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(4,708,185)</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sale of investments and technology investment losses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5,163,260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29,061,771</w:t>
            </w:r>
          </w:p>
        </w:tc>
        <w:tc>
          <w:tcPr>
            <w:tcW w:w="0" w:type="dxa"/>
            <w:vAlign w:val="bottom"/>
          </w:tcPr>
          <w:p>
            <w:pPr>
              <w:spacing w:after="0"/>
              <w:rPr>
                <w:sz w:val="1"/>
                <w:szCs w:val="1"/>
                <w:color w:val="auto"/>
              </w:rPr>
            </w:pPr>
          </w:p>
        </w:tc>
      </w:tr>
      <w:tr>
        <w:trPr>
          <w:trHeight w:val="229"/>
        </w:trPr>
        <w:tc>
          <w:tcPr>
            <w:tcW w:w="7360" w:type="dxa"/>
            <w:vAlign w:val="bottom"/>
          </w:tcPr>
          <w:p>
            <w:pPr>
              <w:ind w:left="560"/>
              <w:spacing w:after="0"/>
              <w:rPr>
                <w:sz w:val="20"/>
                <w:szCs w:val="20"/>
                <w:color w:val="auto"/>
              </w:rPr>
            </w:pPr>
            <w:r>
              <w:rPr>
                <w:rFonts w:ascii="Arial" w:cs="Arial" w:eastAsia="Arial" w:hAnsi="Arial"/>
                <w:sz w:val="18"/>
                <w:szCs w:val="18"/>
                <w:color w:val="auto"/>
              </w:rPr>
              <w:t>Deferred tax expense</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(5,593,627)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(11,232,239)</w:t>
            </w:r>
          </w:p>
        </w:tc>
        <w:tc>
          <w:tcPr>
            <w:tcW w:w="0" w:type="dxa"/>
            <w:vAlign w:val="bottom"/>
          </w:tcPr>
          <w:p>
            <w:pPr>
              <w:spacing w:after="0"/>
              <w:rPr>
                <w:sz w:val="1"/>
                <w:szCs w:val="1"/>
                <w:color w:val="auto"/>
              </w:rPr>
            </w:pPr>
          </w:p>
        </w:tc>
      </w:tr>
      <w:tr>
        <w:trPr>
          <w:trHeight w:val="176"/>
        </w:trPr>
        <w:tc>
          <w:tcPr>
            <w:tcW w:w="736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Stock-based compensation expense related to employee stock options, employee</w:t>
            </w:r>
          </w:p>
        </w:tc>
        <w:tc>
          <w:tcPr>
            <w:tcW w:w="4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16,160,289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21,396,790</w:t>
            </w:r>
          </w:p>
        </w:tc>
        <w:tc>
          <w:tcPr>
            <w:tcW w:w="0" w:type="dxa"/>
            <w:vAlign w:val="bottom"/>
          </w:tcPr>
          <w:p>
            <w:pPr>
              <w:spacing w:after="0"/>
              <w:rPr>
                <w:sz w:val="1"/>
                <w:szCs w:val="1"/>
                <w:color w:val="auto"/>
              </w:rPr>
            </w:pPr>
          </w:p>
        </w:tc>
      </w:tr>
      <w:tr>
        <w:trPr>
          <w:trHeight w:val="243"/>
        </w:trPr>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stock purchases and restricted stock</w:t>
            </w:r>
          </w:p>
        </w:tc>
        <w:tc>
          <w:tcPr>
            <w:tcW w:w="400" w:type="dxa"/>
            <w:vAlign w:val="bottom"/>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560"/>
              <w:spacing w:after="0"/>
              <w:rPr>
                <w:sz w:val="20"/>
                <w:szCs w:val="20"/>
                <w:color w:val="auto"/>
              </w:rPr>
            </w:pPr>
            <w:r>
              <w:rPr>
                <w:rFonts w:ascii="Arial" w:cs="Arial" w:eastAsia="Arial" w:hAnsi="Arial"/>
                <w:sz w:val="18"/>
                <w:szCs w:val="18"/>
                <w:color w:val="auto"/>
              </w:rPr>
              <w:t>Impairment charge</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6,182,000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Change in operating assets and liabilities: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780"/>
              <w:spacing w:after="0"/>
              <w:rPr>
                <w:sz w:val="20"/>
                <w:szCs w:val="20"/>
                <w:color w:val="auto"/>
              </w:rPr>
            </w:pPr>
            <w:r>
              <w:rPr>
                <w:rFonts w:ascii="Arial" w:cs="Arial" w:eastAsia="Arial" w:hAnsi="Arial"/>
                <w:sz w:val="18"/>
                <w:szCs w:val="18"/>
                <w:color w:val="auto"/>
              </w:rPr>
              <w:t>Accounts receivable, net</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(20,896,565)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15,244,187</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57,495,782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(61,019,277)</w:t>
            </w:r>
          </w:p>
        </w:tc>
        <w:tc>
          <w:tcPr>
            <w:tcW w:w="0" w:type="dxa"/>
            <w:vAlign w:val="bottom"/>
          </w:tcPr>
          <w:p>
            <w:pPr>
              <w:spacing w:after="0"/>
              <w:rPr>
                <w:sz w:val="1"/>
                <w:szCs w:val="1"/>
                <w:color w:val="auto"/>
              </w:rPr>
            </w:pPr>
          </w:p>
        </w:tc>
      </w:tr>
      <w:tr>
        <w:trPr>
          <w:trHeight w:val="229"/>
        </w:trPr>
        <w:tc>
          <w:tcPr>
            <w:tcW w:w="7360" w:type="dxa"/>
            <w:vAlign w:val="bottom"/>
          </w:tcPr>
          <w:p>
            <w:pPr>
              <w:ind w:left="780"/>
              <w:spacing w:after="0"/>
              <w:rPr>
                <w:sz w:val="20"/>
                <w:szCs w:val="20"/>
                <w:color w:val="auto"/>
              </w:rPr>
            </w:pPr>
            <w:r>
              <w:rPr>
                <w:rFonts w:ascii="Arial" w:cs="Arial" w:eastAsia="Arial" w:hAnsi="Arial"/>
                <w:sz w:val="18"/>
                <w:szCs w:val="18"/>
                <w:color w:val="auto"/>
              </w:rPr>
              <w:t>Prepaid expenses and other</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2,765,009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(3,559,130)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5,032,376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17,318,424</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Accrued liabilities, excluding dividends declared</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5,896,241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15,643,764</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314,644,872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259,127,445</w:t>
            </w:r>
          </w:p>
        </w:tc>
        <w:tc>
          <w:tcPr>
            <w:tcW w:w="0" w:type="dxa"/>
            <w:vAlign w:val="bottom"/>
          </w:tcPr>
          <w:p>
            <w:pPr>
              <w:spacing w:after="0"/>
              <w:rPr>
                <w:sz w:val="1"/>
                <w:szCs w:val="1"/>
                <w:color w:val="auto"/>
              </w:rPr>
            </w:pPr>
          </w:p>
        </w:tc>
      </w:tr>
      <w:tr>
        <w:trPr>
          <w:trHeight w:val="155"/>
        </w:trPr>
        <w:tc>
          <w:tcPr>
            <w:tcW w:w="7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40"/>
              <w:spacing w:after="0"/>
              <w:rPr>
                <w:sz w:val="20"/>
                <w:szCs w:val="20"/>
                <w:color w:val="auto"/>
              </w:rPr>
            </w:pPr>
            <w:r>
              <w:rPr>
                <w:rFonts w:ascii="Arial" w:cs="Arial" w:eastAsia="Arial" w:hAnsi="Arial"/>
                <w:sz w:val="18"/>
                <w:szCs w:val="18"/>
                <w:color w:val="auto"/>
              </w:rPr>
              <w:t>Activity in investments:</w:t>
            </w: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proceeds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48,810,102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19,649,880</w:t>
            </w:r>
          </w:p>
        </w:tc>
        <w:tc>
          <w:tcPr>
            <w:tcW w:w="0" w:type="dxa"/>
            <w:vAlign w:val="bottom"/>
          </w:tcPr>
          <w:p>
            <w:pPr>
              <w:spacing w:after="0"/>
              <w:rPr>
                <w:sz w:val="1"/>
                <w:szCs w:val="1"/>
                <w:color w:val="auto"/>
              </w:rPr>
            </w:pPr>
          </w:p>
        </w:tc>
      </w:tr>
      <w:tr>
        <w:trPr>
          <w:trHeight w:val="229"/>
        </w:trPr>
        <w:tc>
          <w:tcPr>
            <w:tcW w:w="7360" w:type="dxa"/>
            <w:vAlign w:val="bottom"/>
          </w:tcPr>
          <w:p>
            <w:pPr>
              <w:ind w:left="340"/>
              <w:spacing w:after="0"/>
              <w:rPr>
                <w:sz w:val="20"/>
                <w:szCs w:val="20"/>
                <w:color w:val="auto"/>
              </w:rPr>
            </w:pPr>
            <w:r>
              <w:rPr>
                <w:rFonts w:ascii="Arial" w:cs="Arial" w:eastAsia="Arial" w:hAnsi="Arial"/>
                <w:sz w:val="18"/>
                <w:szCs w:val="18"/>
                <w:color w:val="auto"/>
              </w:rPr>
              <w:t>Maturities and calls</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1,655,000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6,260,000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(17,331,563)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(60,360,047)</w:t>
            </w:r>
          </w:p>
        </w:tc>
        <w:tc>
          <w:tcPr>
            <w:tcW w:w="0" w:type="dxa"/>
            <w:vAlign w:val="bottom"/>
          </w:tcPr>
          <w:p>
            <w:pPr>
              <w:spacing w:after="0"/>
              <w:rPr>
                <w:sz w:val="1"/>
                <w:szCs w:val="1"/>
                <w:color w:val="auto"/>
              </w:rPr>
            </w:pPr>
          </w:p>
        </w:tc>
      </w:tr>
      <w:tr>
        <w:trPr>
          <w:trHeight w:val="230"/>
        </w:trPr>
        <w:tc>
          <w:tcPr>
            <w:tcW w:w="7360" w:type="dxa"/>
            <w:vAlign w:val="bottom"/>
          </w:tcPr>
          <w:p>
            <w:pPr>
              <w:ind w:left="240"/>
              <w:spacing w:after="0"/>
              <w:rPr>
                <w:sz w:val="20"/>
                <w:szCs w:val="20"/>
                <w:color w:val="auto"/>
              </w:rPr>
            </w:pPr>
            <w:r>
              <w:rPr>
                <w:rFonts w:ascii="Arial" w:cs="Arial" w:eastAsia="Arial" w:hAnsi="Arial"/>
                <w:sz w:val="18"/>
                <w:szCs w:val="18"/>
                <w:color w:val="auto"/>
              </w:rPr>
              <w:t>Plant and equipment additions</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(67,834,222)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(63,634,852)</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sale of plant and equipment</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127,000</w:t>
            </w:r>
          </w:p>
        </w:tc>
        <w:tc>
          <w:tcPr>
            <w:tcW w:w="0" w:type="dxa"/>
            <w:vAlign w:val="bottom"/>
          </w:tcPr>
          <w:p>
            <w:pPr>
              <w:spacing w:after="0"/>
              <w:rPr>
                <w:sz w:val="1"/>
                <w:szCs w:val="1"/>
                <w:color w:val="auto"/>
              </w:rPr>
            </w:pPr>
          </w:p>
        </w:tc>
      </w:tr>
      <w:tr>
        <w:trPr>
          <w:trHeight w:val="229"/>
        </w:trPr>
        <w:tc>
          <w:tcPr>
            <w:tcW w:w="7360" w:type="dxa"/>
            <w:vAlign w:val="bottom"/>
          </w:tcPr>
          <w:p>
            <w:pPr>
              <w:ind w:left="240"/>
              <w:spacing w:after="0"/>
              <w:rPr>
                <w:sz w:val="20"/>
                <w:szCs w:val="20"/>
                <w:color w:val="auto"/>
              </w:rPr>
            </w:pPr>
            <w:r>
              <w:rPr>
                <w:rFonts w:ascii="Arial" w:cs="Arial" w:eastAsia="Arial" w:hAnsi="Arial"/>
                <w:sz w:val="18"/>
                <w:szCs w:val="18"/>
                <w:color w:val="auto"/>
              </w:rPr>
              <w:t>Acquisition of businesses, net of cash acquired</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(143,328,862)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in other assets</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(3,573,774)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(4,120,881)</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Net cash used for investing activities</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(181,358,214)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(102,078,900)</w:t>
            </w:r>
          </w:p>
        </w:tc>
        <w:tc>
          <w:tcPr>
            <w:tcW w:w="0" w:type="dxa"/>
            <w:vAlign w:val="bottom"/>
          </w:tcPr>
          <w:p>
            <w:pPr>
              <w:spacing w:after="0"/>
              <w:rPr>
                <w:sz w:val="1"/>
                <w:szCs w:val="1"/>
                <w:color w:val="auto"/>
              </w:rPr>
            </w:pPr>
          </w:p>
        </w:tc>
      </w:tr>
      <w:tr>
        <w:trPr>
          <w:trHeight w:val="142"/>
        </w:trPr>
        <w:tc>
          <w:tcPr>
            <w:tcW w:w="7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Issuance of common stock from stock plan transactions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6,283,742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20,242,309</w:t>
            </w:r>
          </w:p>
        </w:tc>
        <w:tc>
          <w:tcPr>
            <w:tcW w:w="0" w:type="dxa"/>
            <w:vAlign w:val="bottom"/>
          </w:tcPr>
          <w:p>
            <w:pPr>
              <w:spacing w:after="0"/>
              <w:rPr>
                <w:sz w:val="1"/>
                <w:szCs w:val="1"/>
                <w:color w:val="auto"/>
              </w:rPr>
            </w:pPr>
          </w:p>
        </w:tc>
      </w:tr>
      <w:tr>
        <w:trPr>
          <w:trHeight w:val="229"/>
        </w:trPr>
        <w:tc>
          <w:tcPr>
            <w:tcW w:w="7360" w:type="dxa"/>
            <w:vAlign w:val="bottom"/>
          </w:tcPr>
          <w:p>
            <w:pPr>
              <w:ind w:left="240"/>
              <w:spacing w:after="0"/>
              <w:rPr>
                <w:sz w:val="20"/>
                <w:szCs w:val="20"/>
                <w:color w:val="auto"/>
              </w:rPr>
            </w:pPr>
            <w:r>
              <w:rPr>
                <w:rFonts w:ascii="Arial" w:cs="Arial" w:eastAsia="Arial" w:hAnsi="Arial"/>
                <w:sz w:val="18"/>
                <w:szCs w:val="18"/>
                <w:color w:val="auto"/>
              </w:rPr>
              <w:t>Cash dividends paid</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(54,244,161)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(55,517,709)</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Repurchases of common stock</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(198,870,165)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(87,966,213)</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Net cash used for financing activities</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(246,830,584)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(123,241,613)</w:t>
            </w:r>
          </w:p>
        </w:tc>
        <w:tc>
          <w:tcPr>
            <w:tcW w:w="0" w:type="dxa"/>
            <w:vAlign w:val="bottom"/>
          </w:tcPr>
          <w:p>
            <w:pPr>
              <w:spacing w:after="0"/>
              <w:rPr>
                <w:sz w:val="1"/>
                <w:szCs w:val="1"/>
                <w:color w:val="auto"/>
              </w:rPr>
            </w:pPr>
          </w:p>
        </w:tc>
      </w:tr>
      <w:tr>
        <w:trPr>
          <w:trHeight w:val="129"/>
        </w:trPr>
        <w:tc>
          <w:tcPr>
            <w:tcW w:w="7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(113,543,926)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33,806,932</w:t>
            </w:r>
          </w:p>
        </w:tc>
        <w:tc>
          <w:tcPr>
            <w:tcW w:w="0" w:type="dxa"/>
            <w:vAlign w:val="bottom"/>
          </w:tcPr>
          <w:p>
            <w:pPr>
              <w:spacing w:after="0"/>
              <w:rPr>
                <w:sz w:val="1"/>
                <w:szCs w:val="1"/>
                <w:color w:val="auto"/>
              </w:rPr>
            </w:pPr>
          </w:p>
        </w:tc>
      </w:tr>
      <w:tr>
        <w:trPr>
          <w:trHeight w:val="149"/>
        </w:trPr>
        <w:tc>
          <w:tcPr>
            <w:tcW w:w="73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233,318,766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226,435,019</w:t>
            </w:r>
          </w:p>
        </w:tc>
        <w:tc>
          <w:tcPr>
            <w:tcW w:w="0" w:type="dxa"/>
            <w:vAlign w:val="bottom"/>
          </w:tcPr>
          <w:p>
            <w:pPr>
              <w:spacing w:after="0"/>
              <w:rPr>
                <w:sz w:val="1"/>
                <w:szCs w:val="1"/>
                <w:color w:val="auto"/>
              </w:rPr>
            </w:pPr>
          </w:p>
        </w:tc>
      </w:tr>
      <w:tr>
        <w:trPr>
          <w:trHeight w:val="128"/>
        </w:trPr>
        <w:tc>
          <w:tcPr>
            <w:tcW w:w="7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119,774,840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260,241,951</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9" w:right="339" w:bottom="1440" w:gutter="0" w:footer="0" w:header="0"/>
        </w:sectPr>
      </w:pPr>
    </w:p>
    <w:bookmarkStart w:id="8" w:name="page9"/>
    <w:bookmarkEnd w:id="8"/>
    <w:p>
      <w:pPr>
        <w:ind w:left="84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Six months ended June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SUPPLEMENTAL CASH FLOW DATA</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investing and financing activities:</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460" w:type="dxa"/>
            <w:vAlign w:val="bottom"/>
          </w:tcPr>
          <w:p>
            <w:pPr>
              <w:ind w:left="240"/>
              <w:spacing w:after="0" w:line="176" w:lineRule="exact"/>
              <w:rPr>
                <w:sz w:val="20"/>
                <w:szCs w:val="20"/>
                <w:color w:val="auto"/>
              </w:rPr>
            </w:pPr>
            <w:r>
              <w:rPr>
                <w:rFonts w:ascii="Arial" w:cs="Arial" w:eastAsia="Arial" w:hAnsi="Arial"/>
                <w:sz w:val="18"/>
                <w:szCs w:val="18"/>
                <w:color w:val="auto"/>
              </w:rPr>
              <w:t>Change in property and equipment in accounts payable and accrued expenses and other</w:t>
            </w: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13,722,396</w:t>
            </w:r>
          </w:p>
        </w:tc>
        <w:tc>
          <w:tcPr>
            <w:tcW w:w="100" w:type="dxa"/>
            <w:vAlign w:val="bottom"/>
          </w:tcPr>
          <w:p>
            <w:pPr>
              <w:spacing w:after="0"/>
              <w:rPr>
                <w:sz w:val="15"/>
                <w:szCs w:val="15"/>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(912,142)</w:t>
            </w:r>
          </w:p>
        </w:tc>
        <w:tc>
          <w:tcPr>
            <w:tcW w:w="0" w:type="dxa"/>
            <w:vAlign w:val="bottom"/>
          </w:tcPr>
          <w:p>
            <w:pPr>
              <w:spacing w:after="0"/>
              <w:rPr>
                <w:sz w:val="1"/>
                <w:szCs w:val="1"/>
                <w:color w:val="auto"/>
              </w:rPr>
            </w:pPr>
          </w:p>
        </w:tc>
      </w:tr>
      <w:tr>
        <w:trPr>
          <w:trHeight w:val="221"/>
        </w:trPr>
        <w:tc>
          <w:tcPr>
            <w:tcW w:w="7460" w:type="dxa"/>
            <w:vAlign w:val="bottom"/>
          </w:tcPr>
          <w:p>
            <w:pPr>
              <w:ind w:left="240"/>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1"/>
        </w:trPr>
        <w:tc>
          <w:tcPr>
            <w:tcW w:w="7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11"/>
        </w:trPr>
        <w:tc>
          <w:tcPr>
            <w:tcW w:w="74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5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Gentex Corporation and Subsidiaries ("Gentex" or the "Company") included herein have been prepared pursuant to the rules and regulations of the Securities and Exchange Commission as defined in the Financial Accounting Standards Board ("FASB") Accounting Standards Codification ("ASC") 270 for interim financial information, and in accordance with financial standards generally accepted in the United States of America ("GAAP"). Certain information and footnote disclosures normally included in financial statements prepared in accordance with GAAP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2024 annual report on Form 10-K. In the opinion of management, the accompanying unaudited condensed consolidated financial statements contain all adjustments, consisting of only a normal and recurring nature, necessary to present fairly the financial position of the Company as of June 30, 2025, and the results of operations and cash flows for the interim periods presented.</w:t>
      </w:r>
    </w:p>
    <w:p>
      <w:pPr>
        <w:spacing w:after="0" w:line="209"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Adoption of New Accounting Standards</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Under this ASU,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 is effective on a prospective basis for the Company in the fiscal year ending December 31, 2025 and will result in additional disclosures being included in the consolidated financial statements for the Company's Form 10-K for the year ended December 31, 2025.</w:t>
      </w:r>
    </w:p>
    <w:p>
      <w:pPr>
        <w:spacing w:after="0" w:line="20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March 2024, the Securities and Exchange Commission ("SEC") issued Final Rule No. 33-11275, "The Enhancement and Standardization of Climate-Related Disclosures for Investors." If such rule becomes effective, the rule will require disclosure of climate-related information outside of the audited financial statements and disclosure in the footnotes to such financial statements addressing specified financial statement effects of severe weather events and other natural conditions above certain financial thresholds, certain carbon offsets and renewable energy credits or certificates, if material. Such disclosure requirements were scheduled to begin phasing in for fiscal years beginning on or after January 1, 2025. On April 4, 2024, the SEC exercised its discretion to voluntarily stay the effective date of the final rules pending completion of certain judicial review. The SEC has signaled that it may not move forward with these rules. The Company continues to evaluate the impact of adopting these rules and to monitor the status of the related legal challenges and position of the SEC with respect to the foregoing.</w:t>
      </w:r>
    </w:p>
    <w:p>
      <w:pPr>
        <w:spacing w:after="0" w:line="208"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November 2024, the FASB issued ASU No. 2024-03, "Disaggregation of Income Statement Expenses (Subtopic 220-40)." The ASU requires public business entities to disaggregate, in a tabular presentation, certain income statement expenses into different categories, such as purchases of inventory, employee compensation, depreciation, and intangible asset amortization. The guidance is effective for fiscal years beginning after December 15, 2026, and interim periods beginning after December 15, 2027. Companies have the option to apply the guidance either on a retrospective or prospective basis, and early adoption is permitted. The Company is currently evaluating the impact of adopting this ASU on the consolidated financial statements and related disclosures. In January 2025, the FASB issued ASU No. 2025-01, "Income Statement - Reporting Comprehensive Income - Expense Disaggregation Disclosures (Subtopic 220-40): Clarifying the Effective Date." This ASU amends the effective date of ASU 2024-03 to clarify that all public business entities are required to adopt the guidance in annual reporting periods beginning after December 15, 2026, and interim periods within annual reporting periods beginning after December 15,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 xml:space="preserve">In May 2025, the FASB issued ASU 2025-03, </w:t>
      </w:r>
      <w:r>
        <w:rPr>
          <w:rFonts w:ascii="Arial" w:cs="Arial" w:eastAsia="Arial" w:hAnsi="Arial"/>
          <w:sz w:val="18"/>
          <w:szCs w:val="18"/>
          <w:i w:val="1"/>
          <w:iCs w:val="1"/>
          <w:color w:val="auto"/>
        </w:rPr>
        <w:t>Business Combinations (Topic 805) and Consolidation (Topic 810): Determining the</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Acquirer in the Acquisition of a Variable Interest Entity ("VIE")</w:t>
      </w:r>
      <w:r>
        <w:rPr>
          <w:rFonts w:ascii="Arial" w:cs="Arial" w:eastAsia="Arial" w:hAnsi="Arial"/>
          <w:sz w:val="18"/>
          <w:szCs w:val="18"/>
          <w:color w:val="auto"/>
        </w:rPr>
        <w:t>, which provides clarifying guidance on determining the</w:t>
      </w:r>
    </w:p>
    <w:p>
      <w:pPr>
        <w:spacing w:after="0" w:line="1" w:lineRule="exact"/>
        <w:rPr>
          <w:sz w:val="20"/>
          <w:szCs w:val="20"/>
          <w:color w:val="auto"/>
        </w:rPr>
      </w:pPr>
    </w:p>
    <w:p>
      <w:pPr>
        <w:jc w:val="both"/>
        <w:ind w:left="660"/>
        <w:spacing w:after="0" w:line="228" w:lineRule="auto"/>
        <w:rPr>
          <w:sz w:val="20"/>
          <w:szCs w:val="20"/>
          <w:color w:val="auto"/>
        </w:rPr>
      </w:pPr>
      <w:r>
        <w:rPr>
          <w:rFonts w:ascii="Arial" w:cs="Arial" w:eastAsia="Arial" w:hAnsi="Arial"/>
          <w:sz w:val="18"/>
          <w:szCs w:val="18"/>
          <w:color w:val="auto"/>
        </w:rPr>
        <w:t>accounting acquirer in certain transactions involving VIE's. The update aims to improve consistency and comparability in financial reporting. The guidance will be effective for annual periods beginning after December 15, 2026, including interim periods within those annual periods. Early adoption is permitted. Upon adoption, the guidance will be applied prospectively. The Company is currently evaluating the provisions of the amendments and the impact on its future consolidated financial statements.</w:t>
      </w:r>
    </w:p>
    <w:p>
      <w:pPr>
        <w:spacing w:after="0" w:line="221"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52"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carrying value of Goodwill is as follows:</w:t>
      </w:r>
    </w:p>
    <w:p>
      <w:pPr>
        <w:spacing w:after="0" w:line="230" w:lineRule="exact"/>
        <w:rPr>
          <w:sz w:val="20"/>
          <w:szCs w:val="20"/>
          <w:color w:val="auto"/>
        </w:rPr>
      </w:pPr>
    </w:p>
    <w:tbl>
      <w:tblPr>
        <w:tblLayout w:type="fixed"/>
        <w:tblInd w:w="1320" w:type="dxa"/>
        <w:tblCellMar>
          <w:top w:w="0" w:type="dxa"/>
          <w:left w:w="0" w:type="dxa"/>
          <w:bottom w:w="0" w:type="dxa"/>
          <w:right w:w="0" w:type="dxa"/>
        </w:tblCellMar>
      </w:tblPr>
      <w:tr>
        <w:trPr>
          <w:trHeight w:val="197"/>
        </w:trPr>
        <w:tc>
          <w:tcPr>
            <w:tcW w:w="7280" w:type="dxa"/>
            <w:vAlign w:val="bottom"/>
          </w:tcPr>
          <w:p>
            <w:pPr>
              <w:spacing w:after="0"/>
              <w:rPr>
                <w:sz w:val="17"/>
                <w:szCs w:val="17"/>
                <w:color w:val="auto"/>
              </w:rPr>
            </w:pPr>
          </w:p>
        </w:tc>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231"/>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January 1, 2025</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340,668,927</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Activity</w:t>
            </w:r>
          </w:p>
        </w:tc>
        <w:tc>
          <w:tcPr>
            <w:tcW w:w="5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2025</w:t>
            </w: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340,668,927</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Gross carrying value at June 30, 2025</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vMerge w:val="continue"/>
          </w:tcPr>
          <w:p>
            <w:pPr>
              <w:spacing w:after="0"/>
              <w:rPr>
                <w:sz w:val="17"/>
                <w:szCs w:val="17"/>
                <w:color w:val="auto"/>
              </w:rPr>
            </w:pPr>
          </w:p>
        </w:tc>
        <w:tc>
          <w:tcPr>
            <w:tcW w:w="50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line="203" w:lineRule="exact"/>
              <w:rPr>
                <w:sz w:val="20"/>
                <w:szCs w:val="20"/>
                <w:color w:val="auto"/>
              </w:rPr>
            </w:pPr>
            <w:r>
              <w:rPr>
                <w:rFonts w:ascii="Arial" w:cs="Arial" w:eastAsia="Arial" w:hAnsi="Arial"/>
                <w:sz w:val="18"/>
                <w:szCs w:val="18"/>
                <w:color w:val="auto"/>
              </w:rPr>
              <w:t>344,333,631</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charges</w:t>
            </w:r>
          </w:p>
        </w:tc>
        <w:tc>
          <w:tcPr>
            <w:tcW w:w="5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(3,664,704)</w:t>
            </w: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Net carrying value at June 30, 2025</w:t>
            </w: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340,668,927</w:t>
            </w: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In addition to annual impairment testing, which is performed as of the first day of the Company's fourth quarter, the Company continuously monitors for events and circumstances that could negatively impact the key assumptions in determining fair value of goodwill or other intangible assets,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No such events or circumstances that might negatively impact the key assumptions were observed in the second quarter of 2025 and, as such, nothing indicated the need for interim impairment testing.</w:t>
      </w:r>
    </w:p>
    <w:p>
      <w:pPr>
        <w:spacing w:after="0" w:line="21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Company also acquired In-Process Research &amp; Development ("In-Process R &amp; D") as part of the acquisitions of Vaporsens and Air-Craftglass, each of which has been previously disclosed.</w:t>
      </w:r>
    </w:p>
    <w:p>
      <w:pPr>
        <w:spacing w:after="0" w:line="200" w:lineRule="exact"/>
        <w:rPr>
          <w:sz w:val="20"/>
          <w:szCs w:val="20"/>
          <w:color w:val="auto"/>
        </w:rPr>
      </w:pPr>
    </w:p>
    <w:p>
      <w:pPr>
        <w:spacing w:after="0" w:line="33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Other Intangible Assets</w:t>
            </w:r>
          </w:p>
        </w:tc>
        <w:tc>
          <w:tcPr>
            <w:tcW w:w="280" w:type="dxa"/>
            <w:vAlign w:val="bottom"/>
          </w:tcPr>
          <w:p>
            <w:pPr>
              <w:spacing w:after="0"/>
              <w:rPr>
                <w:sz w:val="14"/>
                <w:szCs w:val="14"/>
                <w:color w:val="auto"/>
              </w:rPr>
            </w:pPr>
          </w:p>
        </w:tc>
        <w:tc>
          <w:tcPr>
            <w:tcW w:w="12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400" w:type="dxa"/>
            <w:vAlign w:val="bottom"/>
          </w:tcPr>
          <w:p>
            <w:pPr>
              <w:jc w:val="right"/>
              <w:ind w:right="292"/>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20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Net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85"/>
        </w:trPr>
        <w:tc>
          <w:tcPr>
            <w:tcW w:w="40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39,573,561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(28,472,060)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11,101,501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1200" w:type="dxa"/>
            <w:vAlign w:val="bottom"/>
          </w:tcPr>
          <w:p>
            <w:pPr>
              <w:jc w:val="right"/>
              <w:spacing w:after="0"/>
              <w:rPr>
                <w:sz w:val="20"/>
                <w:szCs w:val="20"/>
                <w:color w:val="auto"/>
              </w:rPr>
            </w:pPr>
            <w:r>
              <w:rPr>
                <w:rFonts w:ascii="Arial" w:cs="Arial" w:eastAsia="Arial" w:hAnsi="Arial"/>
                <w:sz w:val="18"/>
                <w:szCs w:val="18"/>
                <w:color w:val="auto"/>
              </w:rPr>
              <w:t>52,000,000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(176,250,000)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rPr>
                <w:sz w:val="20"/>
                <w:szCs w:val="20"/>
                <w:color w:val="auto"/>
              </w:rPr>
            </w:pPr>
            <w:r>
              <w:rPr>
                <w:rFonts w:ascii="Arial" w:cs="Arial" w:eastAsia="Arial" w:hAnsi="Arial"/>
                <w:sz w:val="18"/>
                <w:szCs w:val="18"/>
                <w:color w:val="auto"/>
              </w:rPr>
              <w:t>Existing Customer Platforms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175"/>
        </w:trPr>
        <w:tc>
          <w:tcPr>
            <w:tcW w:w="4040" w:type="dxa"/>
            <w:vAlign w:val="bottom"/>
          </w:tcPr>
          <w:p>
            <w:pPr>
              <w:ind w:left="240"/>
              <w:spacing w:after="0" w:line="176" w:lineRule="exact"/>
              <w:rPr>
                <w:sz w:val="20"/>
                <w:szCs w:val="20"/>
                <w:color w:val="auto"/>
              </w:rPr>
            </w:pPr>
            <w:r>
              <w:rPr>
                <w:rFonts w:ascii="Arial" w:cs="Arial" w:eastAsia="Arial" w:hAnsi="Arial"/>
                <w:sz w:val="18"/>
                <w:szCs w:val="18"/>
                <w:color w:val="auto"/>
              </w:rPr>
              <w:t>BioCenturion LLC ("BioCenturion") Trade</w:t>
            </w:r>
          </w:p>
        </w:tc>
        <w:tc>
          <w:tcPr>
            <w:tcW w:w="2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640,000</w:t>
            </w:r>
          </w:p>
        </w:tc>
        <w:tc>
          <w:tcPr>
            <w:tcW w:w="2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(42,665)</w:t>
            </w:r>
          </w:p>
        </w:tc>
        <w:tc>
          <w:tcPr>
            <w:tcW w:w="2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597,335</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43"/>
        </w:trPr>
        <w:tc>
          <w:tcPr>
            <w:tcW w:w="4040" w:type="dxa"/>
            <w:vAlign w:val="bottom"/>
          </w:tcPr>
          <w:p>
            <w:pPr>
              <w:ind w:left="240"/>
              <w:spacing w:after="0"/>
              <w:rPr>
                <w:sz w:val="20"/>
                <w:szCs w:val="20"/>
                <w:color w:val="auto"/>
              </w:rPr>
            </w:pPr>
            <w:r>
              <w:rPr>
                <w:rFonts w:ascii="Arial" w:cs="Arial" w:eastAsia="Arial" w:hAnsi="Arial"/>
                <w:sz w:val="18"/>
                <w:szCs w:val="18"/>
                <w:color w:val="auto"/>
              </w:rPr>
              <w:t>Names and Trademarks</w:t>
            </w:r>
          </w:p>
        </w:tc>
        <w:tc>
          <w:tcPr>
            <w:tcW w:w="28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BioCenturion Technology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(127,777)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2,172,223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40" w:type="dxa"/>
            <w:vAlign w:val="bottom"/>
          </w:tcPr>
          <w:p>
            <w:pPr>
              <w:ind w:left="240"/>
              <w:spacing w:after="0"/>
              <w:rPr>
                <w:sz w:val="20"/>
                <w:szCs w:val="20"/>
                <w:color w:val="auto"/>
              </w:rPr>
            </w:pPr>
            <w:r>
              <w:rPr>
                <w:rFonts w:ascii="Arial" w:cs="Arial" w:eastAsia="Arial" w:hAnsi="Arial"/>
                <w:sz w:val="18"/>
                <w:szCs w:val="18"/>
                <w:color w:val="auto"/>
              </w:rPr>
              <w:t>eSight Technology</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12,000,000</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(1,666,669)</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10,333,331</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eSight Trade Names and Trademarks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(120,833)</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749,167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rPr>
                <w:sz w:val="20"/>
                <w:szCs w:val="20"/>
                <w:color w:val="auto"/>
              </w:rPr>
            </w:pPr>
            <w:r>
              <w:rPr>
                <w:rFonts w:ascii="Arial" w:cs="Arial" w:eastAsia="Arial" w:hAnsi="Arial"/>
                <w:sz w:val="18"/>
                <w:szCs w:val="18"/>
                <w:color w:val="auto"/>
              </w:rPr>
              <w:t>Vaporsens In-Process R&amp;D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5,800,000</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5,800,000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Argil In-Process R&amp;D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rPr>
                <w:sz w:val="20"/>
                <w:szCs w:val="20"/>
                <w:color w:val="auto"/>
              </w:rPr>
            </w:pPr>
            <w:r>
              <w:rPr>
                <w:rFonts w:ascii="Arial" w:cs="Arial" w:eastAsia="Arial" w:hAnsi="Arial"/>
                <w:sz w:val="18"/>
                <w:szCs w:val="18"/>
                <w:color w:val="auto"/>
              </w:rPr>
              <w:t>Air-Craftglass Technology</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1,507,778</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(62,824)</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1,444,954</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Guardian Trade Names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(108,333)</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1,191,667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Guardian Technology</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(566,667)</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6,233,333</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408,495,910</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(221,945,768)</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186,550,142</w:t>
            </w: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448,069,471</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(250,417,828)</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197,651,643</w:t>
            </w: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2024:</w:t>
      </w:r>
    </w:p>
    <w:p>
      <w:pPr>
        <w:spacing w:after="0" w:line="4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6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Other Intangible Assets</w:t>
            </w:r>
          </w:p>
        </w:tc>
        <w:tc>
          <w:tcPr>
            <w:tcW w:w="260" w:type="dxa"/>
            <w:vAlign w:val="bottom"/>
          </w:tcPr>
          <w:p>
            <w:pPr>
              <w:spacing w:after="0"/>
              <w:rPr>
                <w:sz w:val="14"/>
                <w:szCs w:val="14"/>
                <w:color w:val="auto"/>
              </w:rPr>
            </w:pPr>
          </w:p>
        </w:tc>
        <w:tc>
          <w:tcPr>
            <w:tcW w:w="11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360" w:type="dxa"/>
            <w:vAlign w:val="bottom"/>
          </w:tcPr>
          <w:p>
            <w:pPr>
              <w:jc w:val="right"/>
              <w:ind w:right="252"/>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Net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85"/>
        </w:trPr>
        <w:tc>
          <w:tcPr>
            <w:tcW w:w="4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39,266,409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(28,137,761)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11,128,648</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Various</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10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110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(168,750,000)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Existing Customer Platforms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BioCenturion Trade Names and Trademarks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640,000</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640,000</w:t>
            </w:r>
          </w:p>
        </w:tc>
        <w:tc>
          <w:tcPr>
            <w:tcW w:w="1100" w:type="dxa"/>
            <w:vAlign w:val="bottom"/>
          </w:tcPr>
          <w:p>
            <w:pPr>
              <w:jc w:val="center"/>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BioCenturion Technology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eSight Technology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12,000,000</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(1,166,667)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10,833,333</w:t>
            </w:r>
          </w:p>
        </w:tc>
        <w:tc>
          <w:tcPr>
            <w:tcW w:w="1100" w:type="dxa"/>
            <w:vAlign w:val="bottom"/>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eSight Trade Names and Trademarks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785,417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Vaporsens In-Process R&amp;D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5,800,000</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5,800,000</w:t>
            </w:r>
          </w:p>
        </w:tc>
        <w:tc>
          <w:tcPr>
            <w:tcW w:w="110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Argil In-Process R&amp;D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Air-Craftglass In-Process R&amp;D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1,507,778</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1,507,778</w:t>
            </w:r>
          </w:p>
        </w:tc>
        <w:tc>
          <w:tcPr>
            <w:tcW w:w="110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Guardian Trade Names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(54,167)</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1,245,833</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Guardian In-Process R&amp;D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(283,333)</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6,516,667</w:t>
            </w:r>
          </w:p>
        </w:tc>
        <w:tc>
          <w:tcPr>
            <w:tcW w:w="11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408,495,910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(213,338,750)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195,157,160</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447,762,319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(241,476,511)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206,285,808</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of patents and intangible assets was approximately $4.7 million and $9.3 million during the three and six</w:t>
      </w:r>
    </w:p>
    <w:p>
      <w:pPr>
        <w:spacing w:after="0" w:line="5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months ended June 30, 2025, respectively, compared to approximately $4.4 million and $8.7 million for the three and six months ended June 30, 2024, respectively.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Excluding the impact of any future acquisitions, the Company estimates amortization expense for the remainder of the year ending</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2025 to be approximately $5.5 million, and for each of the years ending December 31, 2026, December 31, 2027,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2028, and December 31, 2029 to be approximately $3 million.</w:t>
      </w:r>
    </w:p>
    <w:p>
      <w:pPr>
        <w:spacing w:after="0" w:line="200" w:lineRule="exact"/>
        <w:rPr>
          <w:sz w:val="20"/>
          <w:szCs w:val="20"/>
          <w:color w:val="auto"/>
        </w:rPr>
      </w:pPr>
    </w:p>
    <w:p>
      <w:pPr>
        <w:spacing w:after="0" w:line="277"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Available for sale securities</w:t>
      </w:r>
    </w:p>
    <w:p>
      <w:pPr>
        <w:spacing w:after="0" w:line="14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spacing w:after="0" w:line="11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determines the fair value of its government securities,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December 31, 2024, the Company held a total of 6,463,808 shares of VOXX International Corporation ("VOXX") Class A Common Stock. The VOXX shares held by the Company as of December 31, 2024 were publicly traded, had a readily determinable fair market value, and were considered Level 1 assets. The Company accounted for the VOXX investment in accordance with ASC 323 – </w:t>
      </w:r>
      <w:r>
        <w:rPr>
          <w:rFonts w:ascii="Arial" w:cs="Arial" w:eastAsia="Arial" w:hAnsi="Arial"/>
          <w:sz w:val="18"/>
          <w:szCs w:val="18"/>
          <w:i w:val="1"/>
          <w:iCs w:val="1"/>
          <w:color w:val="auto"/>
        </w:rPr>
        <w:t>Investments – Equity Method and Joint Venture</w:t>
      </w:r>
      <w:r>
        <w:rPr>
          <w:rFonts w:ascii="Arial" w:cs="Arial" w:eastAsia="Arial" w:hAnsi="Arial"/>
          <w:sz w:val="18"/>
          <w:szCs w:val="18"/>
          <w:color w:val="auto"/>
        </w:rPr>
        <w:t xml:space="preserve">, with the election to use the Fair Value Option under ASC 825 - </w:t>
      </w:r>
      <w:r>
        <w:rPr>
          <w:rFonts w:ascii="Arial" w:cs="Arial" w:eastAsia="Arial" w:hAnsi="Arial"/>
          <w:sz w:val="18"/>
          <w:szCs w:val="18"/>
          <w:i w:val="1"/>
          <w:iCs w:val="1"/>
          <w:color w:val="auto"/>
        </w:rPr>
        <w:t>Fair Value</w:t>
      </w:r>
      <w:r>
        <w:rPr>
          <w:rFonts w:ascii="Arial" w:cs="Arial" w:eastAsia="Arial" w:hAnsi="Arial"/>
          <w:sz w:val="18"/>
          <w:szCs w:val="18"/>
          <w:color w:val="auto"/>
        </w:rPr>
        <w:t>. As a result of this election, changes in fair value of the shares were recorded in Investment (loss) income, net, in the Unaudited Condensed Consolidated Statements of Income prior to April 1, 2025. The Company recorded a gain of $0.8 million during the six months ended June 30, 2025, and losses of $16.6 million and $23.8 million during the three and six months ended June 30, 2024, respectively, within Investment (loss) income, net, in the accompanying Unaudited Condensed Consolidated Statements of Income related to its VOXX investment.</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April 1, 2025, the Company completed its previously announced merger of VOXX pursuant to that certain Agreement and Plan of Merger dated as of December 17, 2024 (the "Merger Agreement"), acquiring all of the issued and outstanding shares of VOXX common stock not already owned by the Company for a purchase price of $7.50 per share. The Company's investment in VOXX has been included in the purchase price of the entity pursuant to step-acquisition accounting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(see </w:t>
      </w:r>
      <w:r>
        <w:rPr>
          <w:rFonts w:ascii="Arial" w:cs="Arial" w:eastAsia="Arial" w:hAnsi="Arial"/>
          <w:sz w:val="18"/>
          <w:szCs w:val="18"/>
          <w:u w:val="single" w:color="auto"/>
          <w:color w:val="0000FF"/>
        </w:rPr>
        <w:t>Note 16</w:t>
      </w:r>
      <w:r>
        <w:rPr>
          <w:rFonts w:ascii="Arial" w:cs="Arial" w:eastAsia="Arial" w:hAnsi="Arial"/>
          <w:sz w:val="18"/>
          <w:szCs w:val="18"/>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Method Investment - ASA</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Company has a 50% non-controlling ownership interest in ASA Electronics, LLC and Subsidiary ("ASA"), that was obtained in conjunction with the acquisition of VOXX on April 1, 2025 (see </w:t>
      </w:r>
      <w:r>
        <w:rPr>
          <w:rFonts w:ascii="Arial" w:cs="Arial" w:eastAsia="Arial" w:hAnsi="Arial"/>
          <w:sz w:val="18"/>
          <w:szCs w:val="18"/>
          <w:u w:val="single" w:color="auto"/>
          <w:color w:val="0000FF"/>
        </w:rPr>
        <w:t>Note 16</w:t>
      </w:r>
      <w:r>
        <w:rPr>
          <w:rFonts w:ascii="Arial" w:cs="Arial" w:eastAsia="Arial" w:hAnsi="Arial"/>
          <w:sz w:val="18"/>
          <w:szCs w:val="18"/>
          <w:color w:val="auto"/>
        </w:rPr>
        <w:t xml:space="preserve">) and is accounted for in accordance with ASC 323, </w:t>
      </w:r>
      <w:r>
        <w:rPr>
          <w:rFonts w:ascii="Arial" w:cs="Arial" w:eastAsia="Arial" w:hAnsi="Arial"/>
          <w:sz w:val="18"/>
          <w:szCs w:val="18"/>
          <w:i w:val="1"/>
          <w:iCs w:val="1"/>
          <w:color w:val="auto"/>
        </w:rPr>
        <w:t>Investments – Equity Method and Joint Venture</w:t>
      </w:r>
      <w:r>
        <w:rPr>
          <w:rFonts w:ascii="Arial" w:cs="Arial" w:eastAsia="Arial" w:hAnsi="Arial"/>
          <w:sz w:val="18"/>
          <w:szCs w:val="18"/>
          <w:color w:val="auto"/>
        </w:rPr>
        <w:t>. ASA acts as a distributor of mobile electronics, specifically designed for niche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markets, including: RV's; buses; and commercial, heavy duty, agricultural, construction, powersport, and marine vehicles. ASC 810, </w:t>
      </w:r>
      <w:r>
        <w:rPr>
          <w:rFonts w:ascii="Arial" w:cs="Arial" w:eastAsia="Arial" w:hAnsi="Arial"/>
          <w:sz w:val="18"/>
          <w:szCs w:val="18"/>
          <w:i w:val="1"/>
          <w:iCs w:val="1"/>
          <w:color w:val="auto"/>
        </w:rPr>
        <w:t>Consolidation</w:t>
      </w:r>
      <w:r>
        <w:rPr>
          <w:rFonts w:ascii="Arial" w:cs="Arial" w:eastAsia="Arial" w:hAnsi="Arial"/>
          <w:sz w:val="18"/>
          <w:szCs w:val="18"/>
          <w:color w:val="auto"/>
        </w:rPr>
        <w:t>, requires the Company to evaluate non-consolidated entities periodically, and as circumstances change, to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if an implied controlling interest exists. In conjunction with the acquisition of VOXX on April 1, 2025, the Company evaluated this equity method investment and concluded that ASA is not a variable interest entity. The balance of the Company's investment in ASA as of June 30, 2025, was $19.0 million.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Investments</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also periodically makes strategic investments in the non-marketable debt or equity securities of other non-consolidated third parties ("Technology Investments"). Such Technology Investments totaled approximately $159.2 million as of June 30, 2025, of which $147.0 million and $12.2 million are recorded in long-term investments and short-term investments, respectively, on the Unaudited Condensed Consolidated Balance Sheet. Such Technology Investments totaled approximately $155.9 million as of December 31, 2024, of which $149.9 million and $6.0 million are recorded in long-term investments and short-term investments, respectively, on the Condensed Consolidated Balance Sheet. Depending on the form of investment, and the degree of influence the Company has over the investee, the Company primarily accounts for the Technology Investments in accordance with ASC 321, </w:t>
      </w:r>
      <w:r>
        <w:rPr>
          <w:rFonts w:ascii="Arial" w:cs="Arial" w:eastAsia="Arial" w:hAnsi="Arial"/>
          <w:sz w:val="18"/>
          <w:szCs w:val="18"/>
          <w:i w:val="1"/>
          <w:iCs w:val="1"/>
          <w:color w:val="auto"/>
        </w:rPr>
        <w:t xml:space="preserve">Investments - Equity Securities </w:t>
      </w:r>
      <w:r>
        <w:rPr>
          <w:rFonts w:ascii="Arial" w:cs="Arial" w:eastAsia="Arial" w:hAnsi="Arial"/>
          <w:sz w:val="18"/>
          <w:szCs w:val="18"/>
          <w:color w:val="auto"/>
        </w:rPr>
        <w:t>or ASC 323,</w:t>
      </w:r>
      <w:r>
        <w:rPr>
          <w:rFonts w:ascii="Arial" w:cs="Arial" w:eastAsia="Arial" w:hAnsi="Arial"/>
          <w:sz w:val="18"/>
          <w:szCs w:val="18"/>
          <w:i w:val="1"/>
          <w:iCs w:val="1"/>
          <w:color w:val="auto"/>
        </w:rPr>
        <w:t xml:space="preserve"> Investments – Equity Method and Joint Venture</w:t>
      </w:r>
      <w:r>
        <w:rPr>
          <w:rFonts w:ascii="Arial" w:cs="Arial" w:eastAsia="Arial" w:hAnsi="Arial"/>
          <w:sz w:val="18"/>
          <w:szCs w:val="18"/>
          <w:color w:val="auto"/>
        </w:rPr>
        <w:t>. The Company accounts for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in non-controlled affiliates through which the Company exercises significant influence but does not have control over the investee under the equity method, with the Company’s share of the earnings or losses of non-controlled affiliates recognized within Other (loss) income, net, in the Company's accompanying Unaudited Condensed Consolidated Statements of Income. All other Technology Investments that the Company holds are primarily accounted for under the measurement alternative of ASC 321. Under the measurement alternative, the carrying value is measured at cost, less any impairment, plus or minus changes resulting from observable price changes in orderly transactions for identical or similar investments of the same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4" w:name="page15"/>
    <w:bookmarkEnd w:id="14"/>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and six months ended June 30, 2025, the Company recorded an other-than-temporary impairment charge of $6.2 million related to its investment in Green Marbles LLC within Investment (loss) income, net, on the accompanying Unaudited Condensed Consolidated Statement of Income. The Company determined that a triggering event had taken place during the second quarter of 2025, as a result of a deterioration in financial performance of the investee, requiring the Company to perform an impairment analysis of this equity method investment at June 30, 2025. The fair value of the investment was estimated using a discounted cash flow model. The Company's assumptions in estimating fair value utilized Level 3 inputs, including projected revenue growth, gross margins, EBITDA margins, and weighted average costs of capital. Based on the foregoing, the Company determined that the fair value of the equity method investment was below the carrying value at June 30, 2025, and does not expect the fair value to recover under current conditions.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Assets or liabilities that have recurring fair value measurements are shown below as of June 30, 2025 and December 31, 2024.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gridSpan w:val="7"/>
          </w:tcPr>
          <w:p>
            <w:pPr>
              <w:jc w:val="center"/>
              <w:ind w:right="76"/>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7"/>
        </w:trPr>
        <w:tc>
          <w:tcPr>
            <w:tcW w:w="2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58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60" w:type="dxa"/>
            <w:vAlign w:val="bottom"/>
          </w:tcPr>
          <w:p>
            <w:pPr>
              <w:jc w:val="center"/>
              <w:ind w:right="136"/>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vMerge w:val="restart"/>
          </w:tcPr>
          <w:p>
            <w:pPr>
              <w:jc w:val="center"/>
              <w:ind w:right="174"/>
              <w:spacing w:after="0"/>
              <w:rPr>
                <w:sz w:val="20"/>
                <w:szCs w:val="20"/>
                <w:color w:val="auto"/>
              </w:rPr>
            </w:pPr>
            <w:r>
              <w:rPr>
                <w:rFonts w:ascii="Arial" w:cs="Arial" w:eastAsia="Arial" w:hAnsi="Arial"/>
                <w:sz w:val="14"/>
                <w:szCs w:val="14"/>
                <w:b w:val="1"/>
                <w:bCs w:val="1"/>
                <w:color w:val="auto"/>
                <w:w w:val="99"/>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Active Markets for</w:t>
            </w:r>
          </w:p>
        </w:tc>
        <w:tc>
          <w:tcPr>
            <w:tcW w:w="18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2"/>
                <w:szCs w:val="12"/>
                <w:color w:val="auto"/>
              </w:rPr>
            </w:pPr>
          </w:p>
        </w:tc>
        <w:tc>
          <w:tcPr>
            <w:tcW w:w="136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June 30, 2025</w:t>
            </w: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tcPr>
          <w:p>
            <w:pPr>
              <w:jc w:val="center"/>
              <w:ind w:right="13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119,774,840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119,774,840</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2,923,883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2,923,883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5,176,539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5,176,539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966,611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33,119,852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33,119,852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42,859,454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42,859,454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25,035,317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25,035,317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229,856,496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120,741,451</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109,115,045</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5" w:name="page16"/>
    <w:bookmarkEnd w:id="15"/>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gridSpan w:val="7"/>
          </w:tcPr>
          <w:p>
            <w:pPr>
              <w:jc w:val="center"/>
              <w:ind w:right="5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3"/>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56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40" w:type="dxa"/>
            <w:vAlign w:val="bottom"/>
          </w:tcPr>
          <w:p>
            <w:pPr>
              <w:jc w:val="center"/>
              <w:ind w:right="115"/>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2"/>
                <w:szCs w:val="12"/>
                <w:color w:val="auto"/>
              </w:rPr>
            </w:pPr>
          </w:p>
        </w:tc>
        <w:tc>
          <w:tcPr>
            <w:tcW w:w="15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2"/>
                <w:szCs w:val="12"/>
                <w:color w:val="auto"/>
              </w:rPr>
            </w:pPr>
          </w:p>
        </w:tc>
        <w:tc>
          <w:tcPr>
            <w:tcW w:w="1340" w:type="dxa"/>
            <w:vAlign w:val="bottom"/>
          </w:tcPr>
          <w:p>
            <w:pPr>
              <w:jc w:val="center"/>
              <w:ind w:right="115"/>
              <w:spacing w:after="0" w:line="13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97"/>
        </w:trPr>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7"/>
                <w:szCs w:val="17"/>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1340" w:type="dxa"/>
            <w:vAlign w:val="bottom"/>
          </w:tcPr>
          <w:p>
            <w:pPr>
              <w:jc w:val="center"/>
              <w:ind w:right="115"/>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233,318,766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233,318,766</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2,851,933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2,851,933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751,728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751,728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3,971,200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3,982,275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3,982,275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3,386,500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1,400,176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1,400,176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41,766,104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41,766,104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54,537,517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54,537,517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Arial" w:cs="Arial" w:eastAsia="Arial" w:hAnsi="Arial"/>
                <w:sz w:val="18"/>
                <w:szCs w:val="18"/>
                <w:color w:val="auto"/>
              </w:rPr>
              <w:t>Governmental Securities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6,199,535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6,199,535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39,458,318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39,458,318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Arial" w:cs="Arial" w:eastAsia="Arial" w:hAnsi="Arial"/>
                <w:sz w:val="18"/>
                <w:szCs w:val="18"/>
                <w:color w:val="auto"/>
              </w:rPr>
              <w:t>VOXX Common Stock</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47,702,903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47,702,903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439,326,955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283,173,573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156,153,382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amortized cost, unrealized gains and losses, and market value of investment securities are shown below as of June 30, 2025 and December 31, 2024.</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7"/>
        </w:trPr>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7"/>
                <w:szCs w:val="17"/>
                <w:color w:val="auto"/>
              </w:rPr>
            </w:pPr>
          </w:p>
        </w:tc>
        <w:tc>
          <w:tcPr>
            <w:tcW w:w="1480" w:type="dxa"/>
            <w:vAlign w:val="bottom"/>
          </w:tcPr>
          <w:p>
            <w:pPr>
              <w:jc w:val="right"/>
              <w:ind w:right="352"/>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2,834,713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89,170</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2,923,883</w:t>
            </w: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5,152,845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5,176,539</w:t>
            </w: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966,611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966,611</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32,113,870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1,076,012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33,119,852</w:t>
            </w: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42,281,982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42,859,454</w:t>
            </w:r>
          </w:p>
        </w:tc>
      </w:tr>
      <w:tr>
        <w:trPr>
          <w:trHeight w:val="230"/>
        </w:trPr>
        <w:tc>
          <w:tcPr>
            <w:tcW w:w="3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24,648,500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619,137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25,035,317</w:t>
            </w: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107,998,521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3,285,583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(1,202,448)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110,081,656</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6" w:name="page17"/>
    <w:bookmarkEnd w:id="16"/>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7"/>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38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Losses</w:t>
            </w:r>
          </w:p>
        </w:tc>
        <w:tc>
          <w:tcPr>
            <w:tcW w:w="260" w:type="dxa"/>
            <w:vAlign w:val="bottom"/>
          </w:tcPr>
          <w:p>
            <w:pPr>
              <w:spacing w:after="0"/>
              <w:rPr>
                <w:sz w:val="17"/>
                <w:szCs w:val="17"/>
                <w:color w:val="auto"/>
              </w:rPr>
            </w:pPr>
          </w:p>
        </w:tc>
        <w:tc>
          <w:tcPr>
            <w:tcW w:w="1460" w:type="dxa"/>
            <w:vAlign w:val="bottom"/>
          </w:tcPr>
          <w:p>
            <w:pPr>
              <w:jc w:val="right"/>
              <w:ind w:right="331"/>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2,834,713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17,220</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2,851,933</w:t>
            </w:r>
          </w:p>
        </w:tc>
      </w:tr>
      <w:tr>
        <w:trPr>
          <w:trHeight w:val="229"/>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751,728</w:t>
            </w:r>
          </w:p>
        </w:tc>
      </w:tr>
      <w:tr>
        <w:trPr>
          <w:trHeight w:val="229"/>
        </w:trPr>
        <w:tc>
          <w:tcPr>
            <w:tcW w:w="33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4,013,735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(42,535)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3,971,200</w:t>
            </w:r>
          </w:p>
        </w:tc>
      </w:tr>
      <w:tr>
        <w:trPr>
          <w:trHeight w:val="230"/>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3,981,161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3,982,275</w:t>
            </w:r>
          </w:p>
        </w:tc>
      </w:tr>
      <w:tr>
        <w:trPr>
          <w:trHeight w:val="229"/>
        </w:trPr>
        <w:tc>
          <w:tcPr>
            <w:tcW w:w="338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3,400,019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3,386,500</w:t>
            </w:r>
          </w:p>
        </w:tc>
      </w:tr>
      <w:tr>
        <w:trPr>
          <w:trHeight w:val="229"/>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1,400,176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1,400,176</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41,372,112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41,766,104</w:t>
            </w:r>
          </w:p>
        </w:tc>
      </w:tr>
      <w:tr>
        <w:trPr>
          <w:trHeight w:val="230"/>
        </w:trPr>
        <w:tc>
          <w:tcPr>
            <w:tcW w:w="33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54,552,964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355,627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(371,074)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54,537,517</w:t>
            </w:r>
          </w:p>
        </w:tc>
      </w:tr>
      <w:tr>
        <w:trPr>
          <w:trHeight w:val="229"/>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6,206,437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6,199,535</w:t>
            </w:r>
          </w:p>
        </w:tc>
      </w:tr>
      <w:tr>
        <w:trPr>
          <w:trHeight w:val="229"/>
        </w:trPr>
        <w:tc>
          <w:tcPr>
            <w:tcW w:w="338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40,542,837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209,564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(1,294,083)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39,458,318</w:t>
            </w:r>
          </w:p>
        </w:tc>
      </w:tr>
      <w:tr>
        <w:trPr>
          <w:trHeight w:val="230"/>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VOXX Common Stock</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48,774,886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7,502,949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(8,574,932)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47,702,903</w:t>
            </w: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207,829,040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8,722,554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(10,543,405)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206,008,189</w:t>
            </w:r>
          </w:p>
        </w:tc>
      </w:tr>
      <w:tr>
        <w:trPr>
          <w:trHeight w:val="21"/>
        </w:trPr>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available-for-sale securities as of June 30, 2025,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888,851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5,969,691</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313,597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7,586,624</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1,202,448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13,556,315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available-for-sale securities as of December 31, 2024,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587,357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46,365,022</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1,381,116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32,602,844</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1,968,473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78,967,866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utilizes the guidance provided by ASC 326 -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which provides an accounting model for purchased financial assets with credit deterioration since their origination, to determine whether any of the available-for-sale debt securities held by the Company are impaired. No such investments were considered to be impaired during the periods presented. The Company has the intention and current ability to hold its debt investments until any amortized cost basis has been recovered.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0" w:type="dxa"/>
            <w:vAlign w:val="bottom"/>
          </w:tcPr>
          <w:p>
            <w:pPr>
              <w:spacing w:after="0"/>
              <w:rPr>
                <w:sz w:val="20"/>
                <w:szCs w:val="20"/>
                <w:color w:val="auto"/>
              </w:rPr>
            </w:pPr>
            <w:r>
              <w:rPr>
                <w:rFonts w:ascii="Arial" w:cs="Arial" w:eastAsia="Arial" w:hAnsi="Arial"/>
                <w:sz w:val="18"/>
                <w:szCs w:val="18"/>
                <w:color w:val="auto"/>
              </w:rPr>
              <w:t>Fixed</w:t>
            </w:r>
          </w:p>
        </w:tc>
        <w:tc>
          <w:tcPr>
            <w:tcW w:w="1080" w:type="dxa"/>
            <w:vAlign w:val="bottom"/>
          </w:tcPr>
          <w:p>
            <w:pPr>
              <w:ind w:left="200"/>
              <w:spacing w:after="0"/>
              <w:rPr>
                <w:sz w:val="20"/>
                <w:szCs w:val="20"/>
                <w:color w:val="auto"/>
              </w:rPr>
            </w:pPr>
            <w:r>
              <w:rPr>
                <w:rFonts w:ascii="Arial" w:cs="Arial" w:eastAsia="Arial" w:hAnsi="Arial"/>
                <w:sz w:val="18"/>
                <w:szCs w:val="18"/>
                <w:color w:val="auto"/>
              </w:rPr>
              <w:t>income</w:t>
            </w:r>
          </w:p>
        </w:tc>
        <w:tc>
          <w:tcPr>
            <w:tcW w:w="1060" w:type="dxa"/>
            <w:vAlign w:val="bottom"/>
          </w:tcPr>
          <w:p>
            <w:pPr>
              <w:ind w:left="80"/>
              <w:spacing w:after="0"/>
              <w:rPr>
                <w:sz w:val="20"/>
                <w:szCs w:val="20"/>
                <w:color w:val="auto"/>
              </w:rPr>
            </w:pPr>
            <w:r>
              <w:rPr>
                <w:rFonts w:ascii="Arial" w:cs="Arial" w:eastAsia="Arial" w:hAnsi="Arial"/>
                <w:sz w:val="18"/>
                <w:szCs w:val="18"/>
                <w:color w:val="auto"/>
              </w:rPr>
              <w:t>securities</w:t>
            </w:r>
          </w:p>
        </w:tc>
        <w:tc>
          <w:tcPr>
            <w:tcW w:w="540" w:type="dxa"/>
            <w:vAlign w:val="bottom"/>
          </w:tcPr>
          <w:p>
            <w:pPr>
              <w:ind w:left="160"/>
              <w:spacing w:after="0"/>
              <w:rPr>
                <w:sz w:val="20"/>
                <w:szCs w:val="20"/>
                <w:color w:val="auto"/>
              </w:rPr>
            </w:pPr>
            <w:r>
              <w:rPr>
                <w:rFonts w:ascii="Arial" w:cs="Arial" w:eastAsia="Arial" w:hAnsi="Arial"/>
                <w:sz w:val="18"/>
                <w:szCs w:val="18"/>
                <w:color w:val="auto"/>
              </w:rPr>
              <w:t>as</w:t>
            </w:r>
          </w:p>
        </w:tc>
        <w:tc>
          <w:tcPr>
            <w:tcW w:w="540" w:type="dxa"/>
            <w:vAlign w:val="bottom"/>
          </w:tcPr>
          <w:p>
            <w:pPr>
              <w:ind w:left="200"/>
              <w:spacing w:after="0"/>
              <w:rPr>
                <w:sz w:val="20"/>
                <w:szCs w:val="20"/>
                <w:color w:val="auto"/>
              </w:rPr>
            </w:pPr>
            <w:r>
              <w:rPr>
                <w:rFonts w:ascii="Arial" w:cs="Arial" w:eastAsia="Arial" w:hAnsi="Arial"/>
                <w:sz w:val="18"/>
                <w:szCs w:val="18"/>
                <w:color w:val="auto"/>
              </w:rPr>
              <w:t>of</w:t>
            </w:r>
          </w:p>
        </w:tc>
        <w:tc>
          <w:tcPr>
            <w:tcW w:w="760" w:type="dxa"/>
            <w:vAlign w:val="bottom"/>
          </w:tcPr>
          <w:p>
            <w:pPr>
              <w:ind w:left="180"/>
              <w:spacing w:after="0"/>
              <w:rPr>
                <w:sz w:val="20"/>
                <w:szCs w:val="20"/>
                <w:color w:val="auto"/>
              </w:rPr>
            </w:pPr>
            <w:r>
              <w:rPr>
                <w:rFonts w:ascii="Arial" w:cs="Arial" w:eastAsia="Arial" w:hAnsi="Arial"/>
                <w:sz w:val="18"/>
                <w:szCs w:val="18"/>
                <w:color w:val="auto"/>
              </w:rPr>
              <w:t>June</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2025</w:t>
            </w:r>
          </w:p>
        </w:tc>
        <w:tc>
          <w:tcPr>
            <w:tcW w:w="780" w:type="dxa"/>
            <w:vAlign w:val="bottom"/>
          </w:tcPr>
          <w:p>
            <w:pPr>
              <w:ind w:left="200"/>
              <w:spacing w:after="0"/>
              <w:rPr>
                <w:sz w:val="20"/>
                <w:szCs w:val="20"/>
                <w:color w:val="auto"/>
              </w:rPr>
            </w:pPr>
            <w:r>
              <w:rPr>
                <w:rFonts w:ascii="Arial" w:cs="Arial" w:eastAsia="Arial" w:hAnsi="Arial"/>
                <w:sz w:val="18"/>
                <w:szCs w:val="18"/>
                <w:color w:val="auto"/>
              </w:rPr>
              <w:t>have</w:t>
            </w: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contractual</w:t>
            </w:r>
          </w:p>
        </w:tc>
        <w:tc>
          <w:tcPr>
            <w:tcW w:w="1100" w:type="dxa"/>
            <w:vAlign w:val="bottom"/>
          </w:tcPr>
          <w:p>
            <w:pPr>
              <w:ind w:left="120"/>
              <w:spacing w:after="0"/>
              <w:rPr>
                <w:sz w:val="20"/>
                <w:szCs w:val="20"/>
                <w:color w:val="auto"/>
              </w:rPr>
            </w:pPr>
            <w:r>
              <w:rPr>
                <w:rFonts w:ascii="Arial" w:cs="Arial" w:eastAsia="Arial" w:hAnsi="Arial"/>
                <w:sz w:val="18"/>
                <w:szCs w:val="18"/>
                <w:color w:val="auto"/>
              </w:rPr>
              <w:t>maturities</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as</w:t>
            </w:r>
          </w:p>
        </w:tc>
        <w:tc>
          <w:tcPr>
            <w:tcW w:w="760" w:type="dxa"/>
            <w:vAlign w:val="bottom"/>
          </w:tcPr>
          <w:p>
            <w:pPr>
              <w:ind w:left="160"/>
              <w:spacing w:after="0"/>
              <w:rPr>
                <w:sz w:val="20"/>
                <w:szCs w:val="20"/>
                <w:color w:val="auto"/>
              </w:rPr>
            </w:pPr>
            <w:r>
              <w:rPr>
                <w:rFonts w:ascii="Arial" w:cs="Arial" w:eastAsia="Arial" w:hAnsi="Arial"/>
                <w:sz w:val="18"/>
                <w:szCs w:val="18"/>
                <w:color w:val="auto"/>
                <w:w w:val="96"/>
              </w:rPr>
              <w:t>follows:</w:t>
            </w:r>
          </w:p>
        </w:tc>
      </w:tr>
      <w:tr>
        <w:trPr>
          <w:trHeight w:val="23"/>
        </w:trPr>
        <w:tc>
          <w:tcPr>
            <w:tcW w:w="17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8,100,422</w:t>
            </w:r>
          </w:p>
        </w:tc>
        <w:tc>
          <w:tcPr>
            <w:tcW w:w="760" w:type="dxa"/>
            <w:vAlign w:val="bottom"/>
          </w:tcPr>
          <w:p>
            <w:pPr>
              <w:spacing w:after="0"/>
              <w:rPr>
                <w:sz w:val="19"/>
                <w:szCs w:val="19"/>
                <w:color w:val="auto"/>
              </w:rPr>
            </w:pPr>
          </w:p>
        </w:tc>
      </w:tr>
      <w:tr>
        <w:trPr>
          <w:trHeight w:val="230"/>
        </w:trPr>
        <w:tc>
          <w:tcPr>
            <w:tcW w:w="2760" w:type="dxa"/>
            <w:vAlign w:val="bottom"/>
            <w:gridSpan w:val="3"/>
          </w:tcPr>
          <w:p>
            <w:pPr>
              <w:ind w:left="20"/>
              <w:spacing w:after="0"/>
              <w:rPr>
                <w:sz w:val="20"/>
                <w:szCs w:val="20"/>
                <w:color w:val="auto"/>
              </w:rPr>
            </w:pPr>
            <w:r>
              <w:rPr>
                <w:rFonts w:ascii="Arial" w:cs="Arial" w:eastAsia="Arial" w:hAnsi="Arial"/>
                <w:sz w:val="18"/>
                <w:szCs w:val="18"/>
                <w:color w:val="auto"/>
              </w:rPr>
              <w:t>Due between one and five years</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47,315,213</w:t>
            </w:r>
          </w:p>
        </w:tc>
        <w:tc>
          <w:tcPr>
            <w:tcW w:w="760" w:type="dxa"/>
            <w:vAlign w:val="bottom"/>
          </w:tcPr>
          <w:p>
            <w:pPr>
              <w:spacing w:after="0"/>
              <w:rPr>
                <w:sz w:val="19"/>
                <w:szCs w:val="19"/>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over five years</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53,699,410</w:t>
            </w:r>
          </w:p>
        </w:tc>
        <w:tc>
          <w:tcPr>
            <w:tcW w:w="76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109,115,045</w:t>
            </w:r>
          </w:p>
        </w:tc>
        <w:tc>
          <w:tcPr>
            <w:tcW w:w="76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98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Inventories, net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at the respective balance sheet dates:</w:t>
      </w:r>
    </w:p>
    <w:p>
      <w:pPr>
        <w:spacing w:after="0" w:line="59"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6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2025</w:t>
            </w:r>
          </w:p>
        </w:tc>
        <w:tc>
          <w:tcPr>
            <w:tcW w:w="160" w:type="dxa"/>
            <w:vAlign w:val="bottom"/>
          </w:tcPr>
          <w:p>
            <w:pPr>
              <w:spacing w:after="0"/>
              <w:rPr>
                <w:sz w:val="17"/>
                <w:szCs w:val="17"/>
                <w:color w:val="auto"/>
              </w:rPr>
            </w:pPr>
          </w:p>
        </w:tc>
        <w:tc>
          <w:tcPr>
            <w:tcW w:w="152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282,343,416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307,098,829</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47,468,017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48,098,732</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145,908,230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81,299,884</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475,719,663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436,497,445</w:t>
            </w: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 For a period of net loss, net loss is not allocated to participating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spacing w:after="0" w:line="279" w:lineRule="auto"/>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the three and six months ended June 30, 2025 and June 30, 2024:</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4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7"/>
                <w:szCs w:val="17"/>
                <w:color w:val="auto"/>
              </w:rPr>
            </w:pPr>
          </w:p>
        </w:tc>
        <w:tc>
          <w:tcPr>
            <w:tcW w:w="264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4"/>
        </w:trPr>
        <w:tc>
          <w:tcPr>
            <w:tcW w:w="4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96,039,584</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86,040,438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190,913,629</w:t>
            </w:r>
          </w:p>
        </w:tc>
        <w:tc>
          <w:tcPr>
            <w:tcW w:w="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194,271,153</w:t>
            </w:r>
          </w:p>
        </w:tc>
        <w:tc>
          <w:tcPr>
            <w:tcW w:w="0" w:type="dxa"/>
            <w:vAlign w:val="bottom"/>
          </w:tcPr>
          <w:p>
            <w:pPr>
              <w:spacing w:after="0"/>
              <w:rPr>
                <w:sz w:val="1"/>
                <w:szCs w:val="1"/>
                <w:color w:val="auto"/>
              </w:rPr>
            </w:pPr>
          </w:p>
        </w:tc>
      </w:tr>
      <w:tr>
        <w:trPr>
          <w:trHeight w:val="176"/>
        </w:trPr>
        <w:tc>
          <w:tcPr>
            <w:tcW w:w="406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Less: Dividends and undistributed earnings</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1,412,231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1,202,737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3,473,779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2,782,172</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allocated to participating securities</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40"/>
              <w:spacing w:after="0"/>
              <w:rPr>
                <w:sz w:val="20"/>
                <w:szCs w:val="20"/>
                <w:color w:val="auto"/>
              </w:rPr>
            </w:pPr>
            <w:r>
              <w:rPr>
                <w:rFonts w:ascii="Arial" w:cs="Arial" w:eastAsia="Arial" w:hAnsi="Arial"/>
                <w:sz w:val="18"/>
                <w:szCs w:val="18"/>
                <w:color w:val="auto"/>
              </w:rPr>
              <w:t>Net Income available to common shareholders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94,627,353</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84,837,701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187,439,850</w:t>
            </w:r>
          </w:p>
        </w:tc>
        <w:tc>
          <w:tcPr>
            <w:tcW w:w="8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191,488,981</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219,631,876</w:t>
            </w:r>
          </w:p>
        </w:tc>
        <w:tc>
          <w:tcPr>
            <w:tcW w:w="1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227,377,169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221,376,755</w:t>
            </w:r>
          </w:p>
        </w:tc>
        <w:tc>
          <w:tcPr>
            <w:tcW w:w="8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227,490,367</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per share - Basic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Allocation of Net Income used in basic</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94,627,353</w:t>
            </w:r>
          </w:p>
        </w:tc>
        <w:tc>
          <w:tcPr>
            <w:tcW w:w="100" w:type="dxa"/>
            <w:vAlign w:val="bottom"/>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84,837,701</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187,439,850</w:t>
            </w:r>
          </w:p>
        </w:tc>
        <w:tc>
          <w:tcPr>
            <w:tcW w:w="80" w:type="dxa"/>
            <w:vAlign w:val="bottom"/>
          </w:tcPr>
          <w:p>
            <w:pPr>
              <w:spacing w:after="0"/>
              <w:rPr>
                <w:sz w:val="15"/>
                <w:szCs w:val="15"/>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191,488,981</w:t>
            </w:r>
          </w:p>
        </w:tc>
        <w:tc>
          <w:tcPr>
            <w:tcW w:w="0" w:type="dxa"/>
            <w:vAlign w:val="bottom"/>
          </w:tcPr>
          <w:p>
            <w:pPr>
              <w:spacing w:after="0"/>
              <w:rPr>
                <w:sz w:val="1"/>
                <w:szCs w:val="1"/>
                <w:color w:val="auto"/>
              </w:rPr>
            </w:pPr>
          </w:p>
        </w:tc>
      </w:tr>
      <w:tr>
        <w:trPr>
          <w:trHeight w:val="243"/>
        </w:trPr>
        <w:tc>
          <w:tcPr>
            <w:tcW w:w="4060" w:type="dxa"/>
            <w:vAlign w:val="bottom"/>
          </w:tcPr>
          <w:p>
            <w:pPr>
              <w:ind w:left="240"/>
              <w:spacing w:after="0"/>
              <w:rPr>
                <w:sz w:val="20"/>
                <w:szCs w:val="20"/>
                <w:color w:val="auto"/>
              </w:rPr>
            </w:pPr>
            <w:r>
              <w:rPr>
                <w:rFonts w:ascii="Arial" w:cs="Arial" w:eastAsia="Arial" w:hAnsi="Arial"/>
                <w:sz w:val="18"/>
                <w:szCs w:val="18"/>
                <w:color w:val="auto"/>
              </w:rPr>
              <w:t>computation</w:t>
            </w:r>
          </w:p>
        </w:tc>
        <w:tc>
          <w:tcPr>
            <w:tcW w:w="20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Reallocation of undistributed earnings</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156"/>
        </w:trPr>
        <w:tc>
          <w:tcPr>
            <w:tcW w:w="4060" w:type="dxa"/>
            <w:vAlign w:val="bottom"/>
          </w:tcPr>
          <w:p>
            <w:pPr>
              <w:ind w:left="240"/>
              <w:spacing w:after="0" w:line="156" w:lineRule="exact"/>
              <w:rPr>
                <w:sz w:val="20"/>
                <w:szCs w:val="20"/>
                <w:color w:val="auto"/>
              </w:rPr>
            </w:pPr>
            <w:r>
              <w:rPr>
                <w:rFonts w:ascii="Arial" w:cs="Arial" w:eastAsia="Arial" w:hAnsi="Arial"/>
                <w:sz w:val="18"/>
                <w:szCs w:val="18"/>
                <w:color w:val="auto"/>
              </w:rPr>
              <w:t>Net Income available to common shareholders</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94,627,353</w:t>
            </w:r>
          </w:p>
        </w:tc>
        <w:tc>
          <w:tcPr>
            <w:tcW w:w="100" w:type="dxa"/>
            <w:vAlign w:val="bottom"/>
          </w:tcPr>
          <w:p>
            <w:pPr>
              <w:spacing w:after="0"/>
              <w:rPr>
                <w:sz w:val="13"/>
                <w:szCs w:val="13"/>
                <w:color w:val="auto"/>
              </w:rPr>
            </w:pP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84,839,279</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187,439,927</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191,492,949</w:t>
            </w:r>
          </w:p>
        </w:tc>
        <w:tc>
          <w:tcPr>
            <w:tcW w:w="0" w:type="dxa"/>
            <w:vAlign w:val="bottom"/>
          </w:tcPr>
          <w:p>
            <w:pPr>
              <w:spacing w:after="0"/>
              <w:rPr>
                <w:sz w:val="1"/>
                <w:szCs w:val="1"/>
                <w:color w:val="auto"/>
              </w:rPr>
            </w:pPr>
          </w:p>
        </w:tc>
      </w:tr>
      <w:tr>
        <w:trPr>
          <w:trHeight w:val="243"/>
        </w:trPr>
        <w:tc>
          <w:tcPr>
            <w:tcW w:w="4060" w:type="dxa"/>
            <w:vAlign w:val="bottom"/>
          </w:tcPr>
          <w:p>
            <w:pPr>
              <w:ind w:left="240"/>
              <w:spacing w:after="0"/>
              <w:rPr>
                <w:sz w:val="20"/>
                <w:szCs w:val="20"/>
                <w:color w:val="auto"/>
              </w:rPr>
            </w:pPr>
            <w:r>
              <w:rPr>
                <w:rFonts w:ascii="Arial" w:cs="Arial" w:eastAsia="Arial" w:hAnsi="Arial"/>
                <w:sz w:val="18"/>
                <w:szCs w:val="18"/>
                <w:color w:val="auto"/>
              </w:rPr>
              <w:t>- Diluted</w:t>
            </w:r>
          </w:p>
        </w:tc>
        <w:tc>
          <w:tcPr>
            <w:tcW w:w="20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4" w:right="339" w:bottom="1440" w:gutter="0" w:footer="0" w:header="0"/>
        </w:sectPr>
      </w:pPr>
    </w:p>
    <w:p>
      <w:pPr>
        <w:ind w:left="900"/>
        <w:spacing w:after="0"/>
        <w:rPr>
          <w:sz w:val="20"/>
          <w:szCs w:val="20"/>
          <w:color w:val="auto"/>
        </w:rPr>
      </w:pPr>
      <w:r>
        <w:rPr>
          <w:rFonts w:ascii="Arial" w:cs="Arial" w:eastAsia="Arial" w:hAnsi="Arial"/>
          <w:sz w:val="18"/>
          <w:szCs w:val="18"/>
          <w:color w:val="auto"/>
        </w:rPr>
        <w:t>Number of shares used in basic computation</w:t>
      </w:r>
    </w:p>
    <w:p>
      <w:pPr>
        <w:spacing w:after="0" w:line="27" w:lineRule="exact"/>
        <w:rPr>
          <w:sz w:val="20"/>
          <w:szCs w:val="20"/>
          <w:color w:val="auto"/>
        </w:rPr>
      </w:pPr>
    </w:p>
    <w:p>
      <w:pPr>
        <w:ind w:left="1000"/>
        <w:spacing w:after="0" w:line="234" w:lineRule="auto"/>
        <w:rPr>
          <w:sz w:val="20"/>
          <w:szCs w:val="20"/>
          <w:color w:val="auto"/>
        </w:rPr>
      </w:pPr>
      <w:r>
        <w:rPr>
          <w:rFonts w:ascii="Arial" w:cs="Arial" w:eastAsia="Arial" w:hAnsi="Arial"/>
          <w:sz w:val="18"/>
          <w:szCs w:val="18"/>
          <w:color w:val="auto"/>
        </w:rPr>
        <w:t>Additional weighted average dilutive common stock equivalents</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Diluted weighted average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520" w:type="dxa"/>
            <w:vAlign w:val="bottom"/>
          </w:tcPr>
          <w:p>
            <w:pPr>
              <w:jc w:val="right"/>
              <w:ind w:right="150"/>
              <w:spacing w:after="0"/>
              <w:rPr>
                <w:sz w:val="20"/>
                <w:szCs w:val="20"/>
                <w:color w:val="auto"/>
              </w:rPr>
            </w:pPr>
            <w:r>
              <w:rPr>
                <w:rFonts w:ascii="Arial" w:cs="Arial" w:eastAsia="Arial" w:hAnsi="Arial"/>
                <w:sz w:val="18"/>
                <w:szCs w:val="18"/>
                <w:color w:val="auto"/>
              </w:rPr>
              <w:t>219,631,876</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227,377,169</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221,376,755</w:t>
            </w:r>
          </w:p>
        </w:tc>
        <w:tc>
          <w:tcPr>
            <w:tcW w:w="1300" w:type="dxa"/>
            <w:vAlign w:val="bottom"/>
          </w:tcPr>
          <w:p>
            <w:pPr>
              <w:jc w:val="right"/>
              <w:spacing w:after="0"/>
              <w:rPr>
                <w:sz w:val="20"/>
                <w:szCs w:val="20"/>
                <w:color w:val="auto"/>
              </w:rPr>
            </w:pPr>
            <w:r>
              <w:rPr>
                <w:rFonts w:ascii="Arial" w:cs="Arial" w:eastAsia="Arial" w:hAnsi="Arial"/>
                <w:sz w:val="18"/>
                <w:szCs w:val="18"/>
                <w:color w:val="auto"/>
              </w:rPr>
              <w:t>227,490,367</w:t>
            </w:r>
          </w:p>
        </w:tc>
      </w:tr>
      <w:tr>
        <w:trPr>
          <w:trHeight w:val="409"/>
        </w:trPr>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431,760</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8,845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454,753</w:t>
            </w:r>
          </w:p>
        </w:tc>
      </w:tr>
      <w:tr>
        <w:trPr>
          <w:trHeight w:val="223"/>
        </w:trPr>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219,631,876</w:t>
            </w: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227,808,929</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221,385,600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227,945,120</w:t>
            </w:r>
          </w:p>
        </w:tc>
      </w:tr>
      <w:tr>
        <w:trPr>
          <w:trHeight w:val="21"/>
        </w:trPr>
        <w:tc>
          <w:tcPr>
            <w:tcW w:w="1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-454025</wp:posOffset>
            </wp:positionV>
            <wp:extent cx="6240780" cy="266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40780" cy="26606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600" w:space="120"/>
            <w:col w:w="6520"/>
          </w:cols>
          <w:pgMar w:left="320" w:top="364" w:right="339" w:bottom="1440" w:gutter="0" w:footer="0" w:header="0"/>
          <w:type w:val="continuous"/>
        </w:sectPr>
      </w:pPr>
    </w:p>
    <w:tbl>
      <w:tblPr>
        <w:tblLayout w:type="fixed"/>
        <w:tblInd w:w="660" w:type="dxa"/>
        <w:tblCellMar>
          <w:top w:w="0" w:type="dxa"/>
          <w:left w:w="0" w:type="dxa"/>
          <w:bottom w:w="0" w:type="dxa"/>
          <w:right w:w="0" w:type="dxa"/>
        </w:tblCellMar>
      </w:tblPr>
      <w:tr>
        <w:trPr>
          <w:trHeight w:val="223"/>
        </w:trPr>
        <w:tc>
          <w:tcPr>
            <w:tcW w:w="38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40"/>
              <w:spacing w:after="0"/>
              <w:rPr>
                <w:sz w:val="20"/>
                <w:szCs w:val="20"/>
                <w:color w:val="auto"/>
              </w:rPr>
            </w:pPr>
            <w:r>
              <w:rPr>
                <w:rFonts w:ascii="Arial" w:cs="Arial" w:eastAsia="Arial" w:hAnsi="Arial"/>
                <w:sz w:val="18"/>
                <w:szCs w:val="18"/>
                <w:color w:val="auto"/>
              </w:rPr>
              <w:t>Net Income per share - Diluted</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0.37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0.85</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6" w:lineRule="exact"/>
              <w:rPr>
                <w:sz w:val="20"/>
                <w:szCs w:val="20"/>
                <w:color w:val="auto"/>
              </w:rPr>
            </w:pPr>
            <w:r>
              <w:rPr>
                <w:rFonts w:ascii="Arial" w:cs="Arial" w:eastAsia="Arial" w:hAnsi="Arial"/>
                <w:sz w:val="18"/>
                <w:szCs w:val="18"/>
                <w:color w:val="auto"/>
              </w:rPr>
              <w:t>Shares related to stock plans not included in</w:t>
            </w: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diluted average common shares outstanding</w:t>
            </w:r>
          </w:p>
        </w:tc>
        <w:tc>
          <w:tcPr>
            <w:tcW w:w="540" w:type="dxa"/>
            <w:vAlign w:val="bottom"/>
          </w:tcPr>
          <w:p>
            <w:pPr>
              <w:spacing w:after="0"/>
              <w:rPr>
                <w:sz w:val="15"/>
                <w:szCs w:val="15"/>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3,694,254</w:t>
            </w:r>
          </w:p>
        </w:tc>
        <w:tc>
          <w:tcPr>
            <w:tcW w:w="460" w:type="dxa"/>
            <w:vAlign w:val="bottom"/>
          </w:tcPr>
          <w:p>
            <w:pPr>
              <w:spacing w:after="0"/>
              <w:rPr>
                <w:sz w:val="15"/>
                <w:szCs w:val="15"/>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435,981</w:t>
            </w:r>
          </w:p>
        </w:tc>
        <w:tc>
          <w:tcPr>
            <w:tcW w:w="380" w:type="dxa"/>
            <w:vAlign w:val="bottom"/>
          </w:tcPr>
          <w:p>
            <w:pPr>
              <w:spacing w:after="0"/>
              <w:rPr>
                <w:sz w:val="15"/>
                <w:szCs w:val="15"/>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3,386,076</w:t>
            </w:r>
          </w:p>
        </w:tc>
        <w:tc>
          <w:tcPr>
            <w:tcW w:w="4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422,639</w:t>
            </w:r>
          </w:p>
        </w:tc>
        <w:tc>
          <w:tcPr>
            <w:tcW w:w="0" w:type="dxa"/>
            <w:vAlign w:val="bottom"/>
          </w:tcPr>
          <w:p>
            <w:pPr>
              <w:spacing w:after="0"/>
              <w:rPr>
                <w:sz w:val="1"/>
                <w:szCs w:val="1"/>
                <w:color w:val="auto"/>
              </w:rPr>
            </w:pPr>
          </w:p>
        </w:tc>
      </w:tr>
      <w:tr>
        <w:trPr>
          <w:trHeight w:val="239"/>
        </w:trPr>
        <w:tc>
          <w:tcPr>
            <w:tcW w:w="3820" w:type="dxa"/>
            <w:vAlign w:val="bottom"/>
          </w:tcPr>
          <w:p>
            <w:pPr>
              <w:ind w:left="20"/>
              <w:spacing w:after="0"/>
              <w:rPr>
                <w:sz w:val="20"/>
                <w:szCs w:val="20"/>
                <w:color w:val="auto"/>
              </w:rPr>
            </w:pPr>
            <w:r>
              <w:rPr>
                <w:rFonts w:ascii="Arial" w:cs="Arial" w:eastAsia="Arial" w:hAnsi="Arial"/>
                <w:sz w:val="18"/>
                <w:szCs w:val="18"/>
                <w:color w:val="auto"/>
              </w:rPr>
              <w:t>because their effect would be anti-dilutive</w:t>
            </w:r>
          </w:p>
        </w:tc>
        <w:tc>
          <w:tcPr>
            <w:tcW w:w="5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144"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As of June 30, 2025,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103"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awards and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9" w:name="page20"/>
    <w:bookmarkEnd w:id="19"/>
    <w:p>
      <w:pPr>
        <w:jc w:val="center"/>
        <w:ind w:right="636"/>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2024, for additional information related to the Prior Plans.</w:t>
      </w:r>
    </w:p>
    <w:p>
      <w:pPr>
        <w:spacing w:after="0" w:line="112" w:lineRule="exact"/>
        <w:rPr>
          <w:sz w:val="20"/>
          <w:szCs w:val="20"/>
          <w:color w:val="auto"/>
        </w:rPr>
      </w:pPr>
    </w:p>
    <w:p>
      <w:pPr>
        <w:jc w:val="both"/>
        <w:ind w:left="4"/>
        <w:spacing w:after="0" w:line="273" w:lineRule="auto"/>
        <w:rPr>
          <w:sz w:val="20"/>
          <w:szCs w:val="20"/>
          <w:color w:val="auto"/>
        </w:rPr>
      </w:pPr>
      <w:r>
        <w:rPr>
          <w:rFonts w:ascii="Arial" w:cs="Arial" w:eastAsia="Arial" w:hAnsi="Arial"/>
          <w:sz w:val="18"/>
          <w:szCs w:val="18"/>
          <w:color w:val="auto"/>
        </w:rPr>
        <w:t>The Company recognized total compensation expense for share-based payments of $7.6 million and $16.3 million for the three and six months ended June 30, 2025, respectively. The Company recognized compensation expense for share-based payments of $11.0</w:t>
      </w:r>
    </w:p>
    <w:p>
      <w:pPr>
        <w:spacing w:after="0" w:line="2" w:lineRule="exact"/>
        <w:rPr>
          <w:sz w:val="20"/>
          <w:szCs w:val="20"/>
          <w:color w:val="auto"/>
        </w:rPr>
      </w:pPr>
    </w:p>
    <w:p>
      <w:pPr>
        <w:jc w:val="both"/>
        <w:ind w:left="4"/>
        <w:spacing w:after="0" w:line="303" w:lineRule="auto"/>
        <w:rPr>
          <w:sz w:val="20"/>
          <w:szCs w:val="20"/>
          <w:color w:val="auto"/>
        </w:rPr>
      </w:pPr>
      <w:r>
        <w:rPr>
          <w:rFonts w:ascii="Arial" w:cs="Arial" w:eastAsia="Arial" w:hAnsi="Arial"/>
          <w:sz w:val="18"/>
          <w:szCs w:val="18"/>
          <w:color w:val="auto"/>
        </w:rPr>
        <w:t>million and $21.5 million for the three and six months ended June 30, 2024, respectively. A portion of the compensation cost for share-based payment awards is capitalized as part of inventory.</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2019 Omnibus Incentive Plan</w:t>
      </w:r>
    </w:p>
    <w:p>
      <w:pPr>
        <w:spacing w:after="0" w:line="252"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The purpose of the 2019 Omnibus Plan is to attract and retain employees, officers, and directors of the Company and its subsidiaries and to motivate and provide such persons' incentives and rewards for performance. Pursuant to the terms of the 2019 Omnibus Plan, each type of award counts against the available shares based on a predetermined conversion rate (shown in the table below). As of June 30, 2025, 12,415,445 share awards have been made under the Plan, resulting in 34,508,688 shares granted of the 45,000,000 total shares available to be issued under the Plan. The shares issued are presented net of shares from canceled/expired options and shares.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388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Shares Granted</w:t>
            </w:r>
          </w:p>
        </w:tc>
        <w:tc>
          <w:tcPr>
            <w:tcW w:w="10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vMerge w:val="restart"/>
            <w:shd w:val="clear" w:color="auto" w:fill="CCEEFF"/>
          </w:tcPr>
          <w:p>
            <w:pPr>
              <w:jc w:val="right"/>
              <w:ind w:right="319"/>
              <w:spacing w:after="0"/>
              <w:rPr>
                <w:sz w:val="20"/>
                <w:szCs w:val="20"/>
                <w:color w:val="auto"/>
              </w:rPr>
            </w:pPr>
            <w:r>
              <w:rPr>
                <w:rFonts w:ascii="Arial" w:cs="Arial" w:eastAsia="Arial" w:hAnsi="Arial"/>
                <w:sz w:val="14"/>
                <w:szCs w:val="14"/>
                <w:b w:val="1"/>
                <w:bCs w:val="1"/>
                <w:color w:val="auto"/>
              </w:rPr>
              <w:t>Conversion Rate</w:t>
            </w:r>
          </w:p>
        </w:tc>
        <w:tc>
          <w:tcPr>
            <w:tcW w:w="120" w:type="dxa"/>
            <w:vAlign w:val="bottom"/>
            <w:tcBorders>
              <w:top w:val="single" w:sz="8" w:color="CCEEFF"/>
            </w:tcBorders>
            <w:vMerge w:val="restart"/>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4"/>
                <w:szCs w:val="14"/>
                <w:b w:val="1"/>
                <w:bCs w:val="1"/>
                <w:color w:val="auto"/>
              </w:rPr>
              <w:t>Total Shares Under 2019</w:t>
            </w:r>
          </w:p>
        </w:tc>
        <w:tc>
          <w:tcPr>
            <w:tcW w:w="0" w:type="dxa"/>
            <w:vAlign w:val="bottom"/>
          </w:tcPr>
          <w:p>
            <w:pPr>
              <w:spacing w:after="0"/>
              <w:rPr>
                <w:sz w:val="1"/>
                <w:szCs w:val="1"/>
                <w:color w:val="auto"/>
              </w:rPr>
            </w:pPr>
          </w:p>
        </w:tc>
      </w:tr>
      <w:tr>
        <w:trPr>
          <w:trHeight w:val="185"/>
        </w:trPr>
        <w:tc>
          <w:tcPr>
            <w:tcW w:w="3880" w:type="dxa"/>
            <w:vAlign w:val="bottom"/>
            <w:shd w:val="clear" w:color="auto" w:fill="CCEEFF"/>
          </w:tcPr>
          <w:p>
            <w:pPr>
              <w:spacing w:after="0"/>
              <w:rPr>
                <w:sz w:val="16"/>
                <w:szCs w:val="16"/>
                <w:color w:val="auto"/>
              </w:rPr>
            </w:pPr>
          </w:p>
        </w:tc>
        <w:tc>
          <w:tcPr>
            <w:tcW w:w="1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4"/>
                <w:szCs w:val="14"/>
                <w:b w:val="1"/>
                <w:bCs w:val="1"/>
                <w:color w:val="auto"/>
              </w:rPr>
              <w:t>Omnibus Plan</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color w:val="auto"/>
              </w:rPr>
              <w:t>Non-Qualified Stock Options</w:t>
            </w:r>
          </w:p>
        </w:tc>
        <w:tc>
          <w:tcPr>
            <w:tcW w:w="1960" w:type="dxa"/>
            <w:vAlign w:val="bottom"/>
          </w:tcPr>
          <w:p>
            <w:pPr>
              <w:jc w:val="right"/>
              <w:spacing w:after="0"/>
              <w:rPr>
                <w:sz w:val="20"/>
                <w:szCs w:val="20"/>
                <w:color w:val="auto"/>
              </w:rPr>
            </w:pPr>
            <w:r>
              <w:rPr>
                <w:rFonts w:ascii="Arial" w:cs="Arial" w:eastAsia="Arial" w:hAnsi="Arial"/>
                <w:sz w:val="18"/>
                <w:szCs w:val="18"/>
                <w:color w:val="auto"/>
              </w:rPr>
              <w:t>5,195,431</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5,195,431</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5,960,047</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24,197,791</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 Shares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1,259,967</w:t>
            </w:r>
          </w:p>
        </w:tc>
        <w:tc>
          <w:tcPr>
            <w:tcW w:w="2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5,115,466</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12,415,445</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34,508,688</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Employee Stock Options</w:t>
      </w:r>
    </w:p>
    <w:p>
      <w:pPr>
        <w:spacing w:after="0" w:line="144" w:lineRule="exact"/>
        <w:rPr>
          <w:sz w:val="20"/>
          <w:szCs w:val="20"/>
          <w:color w:val="auto"/>
        </w:rPr>
      </w:pPr>
    </w:p>
    <w:p>
      <w:pPr>
        <w:jc w:val="both"/>
        <w:ind w:left="4"/>
        <w:spacing w:after="0" w:line="262"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As of June 30, 2025, there was $4.8 million of unearned compensation cost associated with stock options granted under the 2019 Omnibus Incentive Plan and the Employee Stock Option Plan, which is expected to be recognized over the remaining vesting periods.</w:t>
      </w:r>
    </w:p>
    <w:p>
      <w:pPr>
        <w:spacing w:after="0" w:line="109" w:lineRule="exact"/>
        <w:rPr>
          <w:sz w:val="20"/>
          <w:szCs w:val="20"/>
          <w:color w:val="auto"/>
        </w:rPr>
      </w:pPr>
    </w:p>
    <w:p>
      <w:pPr>
        <w:ind w:left="4" w:right="740"/>
        <w:spacing w:after="0" w:line="287"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pacing w:after="0" w:line="136" w:lineRule="exact"/>
        <w:rPr>
          <w:sz w:val="20"/>
          <w:szCs w:val="20"/>
          <w:color w:val="auto"/>
        </w:rPr>
      </w:pPr>
    </w:p>
    <w:tbl>
      <w:tblPr>
        <w:tblLayout w:type="fixed"/>
        <w:tblInd w:w="4" w:type="dxa"/>
        <w:tblCellMar>
          <w:top w:w="0" w:type="dxa"/>
          <w:left w:w="0" w:type="dxa"/>
          <w:bottom w:w="0" w:type="dxa"/>
          <w:right w:w="0" w:type="dxa"/>
        </w:tblCellMar>
      </w:tblPr>
      <w:tr>
        <w:trPr>
          <w:trHeight w:val="197"/>
        </w:trPr>
        <w:tc>
          <w:tcPr>
            <w:tcW w:w="3360" w:type="dxa"/>
            <w:vAlign w:val="bottom"/>
          </w:tcPr>
          <w:p>
            <w:pPr>
              <w:spacing w:after="0"/>
              <w:rPr>
                <w:sz w:val="17"/>
                <w:szCs w:val="17"/>
                <w:color w:val="auto"/>
              </w:rPr>
            </w:pPr>
          </w:p>
        </w:tc>
        <w:tc>
          <w:tcPr>
            <w:tcW w:w="3280" w:type="dxa"/>
            <w:vAlign w:val="bottom"/>
            <w:gridSpan w:val="4"/>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3180" w:type="dxa"/>
            <w:vAlign w:val="bottom"/>
            <w:gridSpan w:val="3"/>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36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2024</w:t>
            </w:r>
          </w:p>
        </w:tc>
      </w:tr>
      <w:tr>
        <w:trPr>
          <w:trHeight w:val="224"/>
        </w:trPr>
        <w:tc>
          <w:tcPr>
            <w:tcW w:w="33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r>
      <w:tr>
        <w:trPr>
          <w:trHeight w:val="230"/>
        </w:trPr>
        <w:tc>
          <w:tcPr>
            <w:tcW w:w="3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tc>
        <w:tc>
          <w:tcPr>
            <w:tcW w:w="1520" w:type="dxa"/>
            <w:vAlign w:val="bottom"/>
          </w:tcPr>
          <w:p>
            <w:pPr>
              <w:jc w:val="right"/>
              <w:spacing w:after="0"/>
              <w:rPr>
                <w:sz w:val="20"/>
                <w:szCs w:val="20"/>
                <w:color w:val="auto"/>
              </w:rPr>
            </w:pPr>
            <w:r>
              <w:rPr>
                <w:rFonts w:ascii="Arial" w:cs="Arial" w:eastAsia="Arial" w:hAnsi="Arial"/>
                <w:sz w:val="18"/>
                <w:szCs w:val="18"/>
                <w:color w:val="auto"/>
              </w:rPr>
              <w:t>24.85 %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28.00 %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25.23 %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28.15 %</w:t>
            </w:r>
          </w:p>
        </w:tc>
      </w:tr>
      <w:tr>
        <w:trPr>
          <w:trHeight w:val="230"/>
        </w:trPr>
        <w:tc>
          <w:tcPr>
            <w:tcW w:w="3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4.27 %</w:t>
            </w:r>
          </w:p>
        </w:tc>
      </w:tr>
      <w:tr>
        <w:trPr>
          <w:trHeight w:val="230"/>
        </w:trPr>
        <w:tc>
          <w:tcPr>
            <w:tcW w:w="3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term of options (years) </w:t>
            </w:r>
            <w:r>
              <w:rPr>
                <w:rFonts w:ascii="Arial" w:cs="Arial" w:eastAsia="Arial" w:hAnsi="Arial"/>
                <w:sz w:val="23"/>
                <w:szCs w:val="23"/>
                <w:color w:val="auto"/>
                <w:vertAlign w:val="superscript"/>
              </w:rPr>
              <w:t>(4)</w:t>
            </w:r>
          </w:p>
        </w:tc>
        <w:tc>
          <w:tcPr>
            <w:tcW w:w="152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Weighted-avg. grant date fair value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r>
    </w:tbl>
    <w:p>
      <w:pPr>
        <w:spacing w:after="0" w:line="72" w:lineRule="exact"/>
        <w:rPr>
          <w:sz w:val="20"/>
          <w:szCs w:val="20"/>
          <w:color w:val="auto"/>
        </w:rPr>
      </w:pPr>
    </w:p>
    <w:p>
      <w:pPr>
        <w:ind w:left="324" w:hanging="324"/>
        <w:spacing w:after="0"/>
        <w:tabs>
          <w:tab w:leader="none" w:pos="324"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the Company’s estimated cash dividend yield over the expected term of option grant.</w:t>
      </w:r>
    </w:p>
    <w:p>
      <w:pPr>
        <w:spacing w:after="0" w:line="28" w:lineRule="exact"/>
        <w:rPr>
          <w:rFonts w:ascii="Arial" w:cs="Arial" w:eastAsia="Arial" w:hAnsi="Arial"/>
          <w:sz w:val="9"/>
          <w:szCs w:val="9"/>
          <w:color w:val="auto"/>
        </w:rPr>
      </w:pPr>
    </w:p>
    <w:p>
      <w:pPr>
        <w:ind w:left="324" w:right="260" w:hanging="324"/>
        <w:spacing w:after="0" w:line="221" w:lineRule="auto"/>
        <w:tabs>
          <w:tab w:leader="none" w:pos="321"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 w:lineRule="exact"/>
        <w:rPr>
          <w:rFonts w:ascii="Arial" w:cs="Arial" w:eastAsia="Arial" w:hAnsi="Arial"/>
          <w:sz w:val="19"/>
          <w:szCs w:val="19"/>
          <w:color w:val="auto"/>
          <w:vertAlign w:val="superscript"/>
        </w:rPr>
      </w:pPr>
    </w:p>
    <w:p>
      <w:pPr>
        <w:ind w:left="324" w:hanging="324"/>
        <w:spacing w:after="0" w:line="187" w:lineRule="auto"/>
        <w:tabs>
          <w:tab w:leader="none" w:pos="324"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Represents the U.S. Treasury yield over the expected term of the option grant.</w:t>
      </w:r>
    </w:p>
    <w:p>
      <w:pPr>
        <w:ind w:left="324" w:right="20" w:hanging="324"/>
        <w:spacing w:after="0" w:line="284" w:lineRule="auto"/>
        <w:tabs>
          <w:tab w:leader="none" w:pos="321"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Restricted Shares</w:t>
      </w:r>
    </w:p>
    <w:p>
      <w:pPr>
        <w:spacing w:after="0" w:line="158" w:lineRule="exact"/>
        <w:rPr>
          <w:sz w:val="20"/>
          <w:szCs w:val="20"/>
          <w:color w:val="auto"/>
        </w:rPr>
      </w:pPr>
    </w:p>
    <w:p>
      <w:pPr>
        <w:ind w:left="4"/>
        <w:spacing w:after="0" w:line="287"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w:t>
      </w:r>
    </w:p>
    <w:p>
      <w:pPr>
        <w:sectPr>
          <w:pgSz w:w="11900" w:h="16838" w:orient="portrait"/>
          <w:cols w:equalWidth="0" w:num="1">
            <w:col w:w="10584"/>
          </w:cols>
          <w:pgMar w:left="976" w:top="364"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10384"/>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364"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pledged, exchanged or otherwise disposed of during the restriction period. The restriction period is determined by the Compensation Committee, appointed by the Board of Directors, but may not exceed ten years under the terms of such plans. As of June 30, 2025, the Company had unearned stock-based compensation of $56.1 million associated with the restricted stock grants issued under the 2019 Omnibus Plan and the Second Restricted Stock Plan. The unearned stock-based compensation related to these grants is being amortized to compensation expense over the applicable restriction periods. Compensation expense from restricted stock grants for the three and six months ended June 30, 2025 was $ 5.0 million and $10.9 million, respectively. Compensation expense from restricted stock grants for the three and six months ended June 30, 2024 was $6.9 million and $13.6 million, respectively.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Performance Shares</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average closing stock price on the twenty days preceding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0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As of June 30, 2025, the Company had unearned stock-based compensation of $13.1 million associated with these performance share grants. The unearned stock-based compensation related to these grants is being amortized to compensation expense over the applicable performance periods. Compensation expense related to these performance share grants for the three and six months ended June 30, 2025 was $0.9 million and $2.0 million, respectively. Compensation expense related to these performance share grants for the three and six months ended June 30, 2024 was $2.0 million and $3.8 million, respectively.</w:t>
      </w:r>
    </w:p>
    <w:p>
      <w:pPr>
        <w:spacing w:after="0" w:line="20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As part of its objective of attracting and retaining management to fulfill the Company's strategic goals, the Compensation Committee recommended and the Board approved on February 16, 2023, a retention grant of performance share awards ("PSAs"). In addition to the retention of management, the PSAs have been granted to further align management goals with those of the Company's shareholders. For that reason, the PSAs have been granted with performance criteria and will be based upon achievement of the Company's relative total shareholder return ("TSR") over a four-year period (2023-2026), against a predetermined peer group. The grant date fair value of PSAs with TSR targets was determined using a Monte Carlo simulation. Compensation expense related to these retention grants for the three and six months ended June 30, 2025 was $0.5 million and $0.9 million, respectively. Compensation expense related to these retention grants for the three and six months ended June 30, 2024 was $0.4 million and $0.9 million, respectively.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The 2022 Gentex Corporation Employee Stock Purchase Plan covering 2,000,000 shares of common stock was approved by shareholders effective July 1, 2022. Under the plan, the Company sells shares at 85% of the stock's market price at date of purchase. Under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the 15% discounted value is recognized as compensation expense. As of June 30, 2025, the Company has issued 673,245 shares under this plan.</w:t>
      </w:r>
    </w:p>
    <w:p>
      <w:pPr>
        <w:spacing w:after="0" w:line="203"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Comprehensive Income (Loss)</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Comprehensive income (loss) reflects the change in equity of a business enterprise during a period from transactions and other events and circumstances from non-owner sources. For the Company, comprehensive income represents net income adjusted for unrealized gains and losses on certain debt securities, foreign currency translation adjustments, and derivative instruments.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The following table presents the net changes in the Company's accumulated other comprehensive loss by component (all amounts shown are net of tax):</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460" w:type="dxa"/>
            <w:vAlign w:val="bottom"/>
            <w:gridSpan w:val="3"/>
          </w:tcPr>
          <w:p>
            <w:pPr>
              <w:jc w:val="right"/>
              <w:ind w:right="33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3"/>
        </w:trPr>
        <w:tc>
          <w:tcPr>
            <w:tcW w:w="43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1"/>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(6,162,966)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(5,484,932)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(5,817,736)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(4,534,719)</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2,109,011</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1,763,781</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(1,459,754)</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current-period change</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2,109,011</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1,763,781</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(1,459,754)</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(4,053,955)</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(5,994,473)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(4,053,955)</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(5,994,473)</w:t>
            </w:r>
          </w:p>
        </w:tc>
        <w:tc>
          <w:tcPr>
            <w:tcW w:w="0" w:type="dxa"/>
            <w:vAlign w:val="bottom"/>
          </w:tcPr>
          <w:p>
            <w:pPr>
              <w:spacing w:after="0"/>
              <w:rPr>
                <w:sz w:val="1"/>
                <w:szCs w:val="1"/>
                <w:color w:val="auto"/>
              </w:rPr>
            </w:pPr>
          </w:p>
        </w:tc>
      </w:tr>
      <w:tr>
        <w:trPr>
          <w:trHeight w:val="88"/>
        </w:trPr>
        <w:tc>
          <w:tcPr>
            <w:tcW w:w="4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(losses) on debt securities: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1,132,844</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(1,981,394)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(591,605)</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(2,022,403)</w:t>
            </w:r>
          </w:p>
        </w:tc>
        <w:tc>
          <w:tcPr>
            <w:tcW w:w="0" w:type="dxa"/>
            <w:vAlign w:val="bottom"/>
          </w:tcPr>
          <w:p>
            <w:pPr>
              <w:spacing w:after="0"/>
              <w:rPr>
                <w:sz w:val="1"/>
                <w:szCs w:val="1"/>
                <w:color w:val="auto"/>
              </w:rPr>
            </w:pPr>
          </w:p>
        </w:tc>
      </w:tr>
      <w:tr>
        <w:trPr>
          <w:trHeight w:val="175"/>
        </w:trPr>
        <w:tc>
          <w:tcPr>
            <w:tcW w:w="43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Other comprehensive income (loss) before</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1,107,816</w:t>
            </w: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(281,297)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1,480,018</w:t>
            </w:r>
          </w:p>
        </w:tc>
        <w:tc>
          <w:tcPr>
            <w:tcW w:w="2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(829,754)</w:t>
            </w: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reclassifications</w:t>
            </w:r>
          </w:p>
        </w:tc>
        <w:tc>
          <w:tcPr>
            <w:tcW w:w="22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340" w:type="dxa"/>
            <w:vAlign w:val="bottom"/>
          </w:tcPr>
          <w:p>
            <w:pPr>
              <w:ind w:left="24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(599,514)</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281,511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752,733</w:t>
            </w: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870,977</w:t>
            </w: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current-period change</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508,302</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2,232,751</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41,223</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1,641,146</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(1,981,180)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1,641,146</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(1,981,180)</w:t>
            </w:r>
          </w:p>
        </w:tc>
        <w:tc>
          <w:tcPr>
            <w:tcW w:w="0" w:type="dxa"/>
            <w:vAlign w:val="bottom"/>
          </w:tcPr>
          <w:p>
            <w:pPr>
              <w:spacing w:after="0"/>
              <w:rPr>
                <w:sz w:val="1"/>
                <w:szCs w:val="1"/>
                <w:color w:val="auto"/>
              </w:rPr>
            </w:pPr>
          </w:p>
        </w:tc>
      </w:tr>
      <w:tr>
        <w:trPr>
          <w:trHeight w:val="88"/>
        </w:trPr>
        <w:tc>
          <w:tcPr>
            <w:tcW w:w="43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Unrealized gains on derivatives: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Other comprehensive loss before reclassifications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(1,235,940)</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(1,235,940)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3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252,100</w:t>
            </w:r>
          </w:p>
        </w:tc>
        <w:tc>
          <w:tcPr>
            <w:tcW w:w="26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252,100</w:t>
            </w:r>
          </w:p>
        </w:tc>
        <w:tc>
          <w:tcPr>
            <w:tcW w:w="2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comprehensive loss</w:t>
            </w:r>
          </w:p>
        </w:tc>
        <w:tc>
          <w:tcPr>
            <w:tcW w:w="22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change</w:t>
            </w: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(983,840)</w:t>
            </w: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(983,840)</w:t>
            </w: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(983,840)</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(983,840)</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4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Accumulated other comprehensive loss, end of period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(3,396,649)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shd w:val="clear" w:color="auto" w:fill="CCEEFF"/>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(7,975,653)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shd w:val="clear" w:color="auto" w:fill="CCEEFF"/>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(3,396,649)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shd w:val="clear" w:color="auto" w:fill="CCEEFF"/>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(7,975,653)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right="300"/>
        <w:spacing w:after="0" w:line="287" w:lineRule="auto"/>
        <w:rPr>
          <w:sz w:val="20"/>
          <w:szCs w:val="20"/>
          <w:color w:val="auto"/>
        </w:rPr>
      </w:pPr>
      <w:r>
        <w:rPr>
          <w:rFonts w:ascii="Arial" w:cs="Arial" w:eastAsia="Arial" w:hAnsi="Arial"/>
          <w:sz w:val="18"/>
          <w:szCs w:val="18"/>
          <w:color w:val="auto"/>
        </w:rPr>
        <w:t>The following table presents details of reclassifications out of accumulated other comprehensive loss for the three and six months ended June 30, 2025 and 2024:</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7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Affected Line item in</w:t>
            </w:r>
          </w:p>
        </w:tc>
        <w:tc>
          <w:tcPr>
            <w:tcW w:w="0" w:type="dxa"/>
            <w:vAlign w:val="bottom"/>
          </w:tcPr>
          <w:p>
            <w:pPr>
              <w:spacing w:after="0"/>
              <w:rPr>
                <w:sz w:val="1"/>
                <w:szCs w:val="1"/>
                <w:color w:val="auto"/>
              </w:rPr>
            </w:pPr>
          </w:p>
        </w:tc>
      </w:tr>
      <w:tr>
        <w:trPr>
          <w:trHeight w:val="162"/>
        </w:trPr>
        <w:tc>
          <w:tcPr>
            <w:tcW w:w="2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ind w:left="35"/>
              <w:spacing w:after="0" w:line="162" w:lineRule="exact"/>
              <w:rPr>
                <w:sz w:val="20"/>
                <w:szCs w:val="20"/>
                <w:color w:val="auto"/>
              </w:rPr>
            </w:pPr>
            <w:r>
              <w:rPr>
                <w:rFonts w:ascii="Arial" w:cs="Arial" w:eastAsia="Arial" w:hAnsi="Arial"/>
                <w:sz w:val="16"/>
                <w:szCs w:val="16"/>
                <w:b w:val="1"/>
                <w:bCs w:val="1"/>
                <w:color w:val="auto"/>
              </w:rPr>
              <w:t>the Unaudited</w:t>
            </w:r>
          </w:p>
        </w:tc>
        <w:tc>
          <w:tcPr>
            <w:tcW w:w="0" w:type="dxa"/>
            <w:vAlign w:val="bottom"/>
          </w:tcPr>
          <w:p>
            <w:pPr>
              <w:spacing w:after="0"/>
              <w:rPr>
                <w:sz w:val="1"/>
                <w:szCs w:val="1"/>
                <w:color w:val="auto"/>
              </w:rPr>
            </w:pPr>
          </w:p>
        </w:tc>
      </w:tr>
      <w:tr>
        <w:trPr>
          <w:trHeight w:val="162"/>
        </w:trPr>
        <w:tc>
          <w:tcPr>
            <w:tcW w:w="2800" w:type="dxa"/>
            <w:vAlign w:val="bottom"/>
            <w:vMerge w:val="restart"/>
            <w:shd w:val="clear" w:color="auto" w:fill="CCEEFF"/>
          </w:tcPr>
          <w:p>
            <w:pPr>
              <w:jc w:val="center"/>
              <w:ind w:right="31"/>
              <w:spacing w:after="0"/>
              <w:rPr>
                <w:sz w:val="20"/>
                <w:szCs w:val="20"/>
                <w:color w:val="auto"/>
              </w:rPr>
            </w:pPr>
            <w:r>
              <w:rPr>
                <w:rFonts w:ascii="Arial" w:cs="Arial" w:eastAsia="Arial" w:hAnsi="Arial"/>
                <w:sz w:val="16"/>
                <w:szCs w:val="16"/>
                <w:b w:val="1"/>
                <w:bCs w:val="1"/>
                <w:color w:val="auto"/>
              </w:rPr>
              <w:t>Details about Accumulated Other</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ind w:left="35"/>
              <w:spacing w:after="0" w:line="162" w:lineRule="exact"/>
              <w:rPr>
                <w:sz w:val="20"/>
                <w:szCs w:val="20"/>
                <w:color w:val="auto"/>
              </w:rPr>
            </w:pPr>
            <w:r>
              <w:rPr>
                <w:rFonts w:ascii="Arial" w:cs="Arial" w:eastAsia="Arial" w:hAnsi="Arial"/>
                <w:sz w:val="16"/>
                <w:szCs w:val="16"/>
                <w:b w:val="1"/>
                <w:bCs w:val="1"/>
                <w:color w:val="auto"/>
              </w:rPr>
              <w:t>Condensed</w:t>
            </w:r>
          </w:p>
        </w:tc>
        <w:tc>
          <w:tcPr>
            <w:tcW w:w="0" w:type="dxa"/>
            <w:vAlign w:val="bottom"/>
          </w:tcPr>
          <w:p>
            <w:pPr>
              <w:spacing w:after="0"/>
              <w:rPr>
                <w:sz w:val="1"/>
                <w:szCs w:val="1"/>
                <w:color w:val="auto"/>
              </w:rPr>
            </w:pPr>
          </w:p>
        </w:tc>
      </w:tr>
      <w:tr>
        <w:trPr>
          <w:trHeight w:val="162"/>
        </w:trPr>
        <w:tc>
          <w:tcPr>
            <w:tcW w:w="2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ind w:left="15"/>
              <w:spacing w:after="0" w:line="162" w:lineRule="exact"/>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162"/>
        </w:trPr>
        <w:tc>
          <w:tcPr>
            <w:tcW w:w="2800" w:type="dxa"/>
            <w:vAlign w:val="bottom"/>
            <w:shd w:val="clear" w:color="auto" w:fill="CCEEFF"/>
          </w:tcPr>
          <w:p>
            <w:pPr>
              <w:jc w:val="center"/>
              <w:ind w:right="31"/>
              <w:spacing w:after="0" w:line="162" w:lineRule="exact"/>
              <w:rPr>
                <w:sz w:val="20"/>
                <w:szCs w:val="20"/>
                <w:color w:val="auto"/>
              </w:rPr>
            </w:pPr>
            <w:r>
              <w:rPr>
                <w:rFonts w:ascii="Arial" w:cs="Arial" w:eastAsia="Arial" w:hAnsi="Arial"/>
                <w:sz w:val="16"/>
                <w:szCs w:val="16"/>
                <w:b w:val="1"/>
                <w:bCs w:val="1"/>
                <w:color w:val="auto"/>
              </w:rPr>
              <w:t>Comprehensive Loss</w:t>
            </w:r>
          </w:p>
        </w:tc>
        <w:tc>
          <w:tcPr>
            <w:tcW w:w="200" w:type="dxa"/>
            <w:vAlign w:val="bottom"/>
            <w:shd w:val="clear" w:color="auto" w:fill="CCEEFF"/>
          </w:tcPr>
          <w:p>
            <w:pPr>
              <w:spacing w:after="0"/>
              <w:rPr>
                <w:sz w:val="14"/>
                <w:szCs w:val="14"/>
                <w:color w:val="auto"/>
              </w:rPr>
            </w:pPr>
          </w:p>
        </w:tc>
        <w:tc>
          <w:tcPr>
            <w:tcW w:w="5060" w:type="dxa"/>
            <w:vAlign w:val="bottom"/>
            <w:gridSpan w:val="8"/>
            <w:vMerge w:val="restart"/>
            <w:shd w:val="clear" w:color="auto" w:fill="CCEEFF"/>
          </w:tcPr>
          <w:p>
            <w:pPr>
              <w:ind w:left="300"/>
              <w:spacing w:after="0"/>
              <w:rPr>
                <w:sz w:val="20"/>
                <w:szCs w:val="20"/>
                <w:color w:val="auto"/>
              </w:rPr>
            </w:pPr>
            <w:r>
              <w:rPr>
                <w:rFonts w:ascii="Arial" w:cs="Arial" w:eastAsia="Arial" w:hAnsi="Arial"/>
                <w:sz w:val="16"/>
                <w:szCs w:val="16"/>
                <w:b w:val="1"/>
                <w:bCs w:val="1"/>
                <w:color w:val="auto"/>
              </w:rPr>
              <w:t>Amounts Reclassified from Other Comprehensive Loss</w:t>
            </w:r>
          </w:p>
        </w:tc>
        <w:tc>
          <w:tcPr>
            <w:tcW w:w="1760" w:type="dxa"/>
            <w:vAlign w:val="bottom"/>
            <w:shd w:val="clear" w:color="auto" w:fill="CCEEFF"/>
          </w:tcPr>
          <w:p>
            <w:pPr>
              <w:jc w:val="center"/>
              <w:ind w:left="15"/>
              <w:spacing w:after="0" w:line="162" w:lineRule="exact"/>
              <w:rPr>
                <w:sz w:val="20"/>
                <w:szCs w:val="20"/>
                <w:color w:val="auto"/>
              </w:rPr>
            </w:pPr>
            <w:r>
              <w:rPr>
                <w:rFonts w:ascii="Arial" w:cs="Arial" w:eastAsia="Arial" w:hAnsi="Arial"/>
                <w:sz w:val="16"/>
                <w:szCs w:val="16"/>
                <w:b w:val="1"/>
                <w:bCs w:val="1"/>
                <w:color w:val="auto"/>
              </w:rPr>
              <w:t>Statements of</w:t>
            </w:r>
          </w:p>
        </w:tc>
        <w:tc>
          <w:tcPr>
            <w:tcW w:w="0" w:type="dxa"/>
            <w:vAlign w:val="bottom"/>
          </w:tcPr>
          <w:p>
            <w:pPr>
              <w:spacing w:after="0"/>
              <w:rPr>
                <w:sz w:val="1"/>
                <w:szCs w:val="1"/>
                <w:color w:val="auto"/>
              </w:rPr>
            </w:pPr>
          </w:p>
        </w:tc>
      </w:tr>
      <w:tr>
        <w:trPr>
          <w:trHeight w:val="216"/>
        </w:trPr>
        <w:tc>
          <w:tcPr>
            <w:tcW w:w="2800" w:type="dxa"/>
            <w:vAlign w:val="bottom"/>
            <w:tcBorders>
              <w:bottom w:val="single" w:sz="8" w:color="auto"/>
            </w:tcBorders>
            <w:shd w:val="clear" w:color="auto" w:fill="CCEEFF"/>
          </w:tcPr>
          <w:p>
            <w:pPr>
              <w:jc w:val="center"/>
              <w:ind w:right="31"/>
              <w:spacing w:after="0"/>
              <w:rPr>
                <w:sz w:val="20"/>
                <w:szCs w:val="20"/>
                <w:color w:val="auto"/>
              </w:rPr>
            </w:pPr>
            <w:r>
              <w:rPr>
                <w:rFonts w:ascii="Arial" w:cs="Arial" w:eastAsia="Arial" w:hAnsi="Arial"/>
                <w:sz w:val="16"/>
                <w:szCs w:val="16"/>
                <w:b w:val="1"/>
                <w:bCs w:val="1"/>
                <w:color w:val="auto"/>
              </w:rPr>
              <w:t>Components</w:t>
            </w:r>
          </w:p>
        </w:tc>
        <w:tc>
          <w:tcPr>
            <w:tcW w:w="200" w:type="dxa"/>
            <w:vAlign w:val="bottom"/>
            <w:tcBorders>
              <w:bottom w:val="single" w:sz="8" w:color="auto"/>
            </w:tcBorders>
            <w:shd w:val="clear" w:color="auto" w:fill="CCEEFF"/>
          </w:tcPr>
          <w:p>
            <w:pPr>
              <w:spacing w:after="0"/>
              <w:rPr>
                <w:sz w:val="18"/>
                <w:szCs w:val="18"/>
                <w:color w:val="auto"/>
              </w:rPr>
            </w:pPr>
          </w:p>
        </w:tc>
        <w:tc>
          <w:tcPr>
            <w:tcW w:w="5060" w:type="dxa"/>
            <w:vAlign w:val="bottom"/>
            <w:tcBorders>
              <w:bottom w:val="single" w:sz="8" w:color="auto"/>
            </w:tcBorders>
            <w:gridSpan w:val="8"/>
            <w:vMerge w:val="continue"/>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ind w:left="35"/>
              <w:spacing w:after="0"/>
              <w:rPr>
                <w:sz w:val="20"/>
                <w:szCs w:val="20"/>
                <w:color w:val="auto"/>
              </w:rPr>
            </w:pPr>
            <w:r>
              <w:rPr>
                <w:rFonts w:ascii="Arial" w:cs="Arial" w:eastAsia="Arial" w:hAnsi="Arial"/>
                <w:sz w:val="16"/>
                <w:szCs w:val="16"/>
                <w:b w:val="1"/>
                <w:bCs w:val="1"/>
                <w:color w:val="auto"/>
                <w:w w:val="99"/>
              </w:rPr>
              <w:t>Income</w:t>
            </w:r>
          </w:p>
        </w:tc>
        <w:tc>
          <w:tcPr>
            <w:tcW w:w="0" w:type="dxa"/>
            <w:vAlign w:val="bottom"/>
          </w:tcPr>
          <w:p>
            <w:pPr>
              <w:spacing w:after="0"/>
              <w:rPr>
                <w:sz w:val="1"/>
                <w:szCs w:val="1"/>
                <w:color w:val="auto"/>
              </w:rPr>
            </w:pPr>
          </w:p>
        </w:tc>
      </w:tr>
      <w:tr>
        <w:trPr>
          <w:trHeight w:val="195"/>
        </w:trPr>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22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Six Months Ended June 30,</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2024</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800" w:type="dxa"/>
            <w:vAlign w:val="bottom"/>
          </w:tcPr>
          <w:p>
            <w:pPr>
              <w:ind w:left="20"/>
              <w:spacing w:after="0" w:line="156" w:lineRule="exact"/>
              <w:rPr>
                <w:sz w:val="20"/>
                <w:szCs w:val="20"/>
                <w:color w:val="auto"/>
              </w:rPr>
            </w:pPr>
            <w:r>
              <w:rPr>
                <w:rFonts w:ascii="Arial" w:cs="Arial" w:eastAsia="Arial" w:hAnsi="Arial"/>
                <w:sz w:val="18"/>
                <w:szCs w:val="18"/>
                <w:color w:val="auto"/>
              </w:rPr>
              <w:t>Unrealized gains (losses) on</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80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800" w:type="dxa"/>
            <w:vAlign w:val="bottom"/>
            <w:shd w:val="clear" w:color="auto" w:fill="CCEEFF"/>
          </w:tcPr>
          <w:p>
            <w:pPr>
              <w:ind w:left="240"/>
              <w:spacing w:after="0" w:line="177" w:lineRule="exact"/>
              <w:rPr>
                <w:sz w:val="20"/>
                <w:szCs w:val="20"/>
                <w:color w:val="auto"/>
              </w:rPr>
            </w:pPr>
            <w:r>
              <w:rPr>
                <w:rFonts w:ascii="Arial" w:cs="Arial" w:eastAsia="Arial" w:hAnsi="Arial"/>
                <w:sz w:val="18"/>
                <w:szCs w:val="18"/>
                <w:color w:val="auto"/>
              </w:rPr>
              <w:t>Realized gain (loss) on sale of</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center"/>
              <w:ind w:left="321"/>
              <w:spacing w:after="0"/>
              <w:rPr>
                <w:sz w:val="20"/>
                <w:szCs w:val="20"/>
                <w:color w:val="auto"/>
              </w:rPr>
            </w:pPr>
            <w:r>
              <w:rPr>
                <w:rFonts w:ascii="Arial" w:cs="Arial" w:eastAsia="Arial" w:hAnsi="Arial"/>
                <w:sz w:val="16"/>
                <w:szCs w:val="16"/>
                <w:color w:val="auto"/>
              </w:rPr>
              <w:t>758,879</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(356,343)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(952,826)</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(1,102,503)</w:t>
            </w:r>
          </w:p>
        </w:tc>
        <w:tc>
          <w:tcPr>
            <w:tcW w:w="17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40"/>
              <w:spacing w:after="0" w:line="176" w:lineRule="exact"/>
              <w:rPr>
                <w:sz w:val="20"/>
                <w:szCs w:val="20"/>
                <w:color w:val="auto"/>
              </w:rPr>
            </w:pPr>
            <w:r>
              <w:rPr>
                <w:rFonts w:ascii="Arial" w:cs="Arial" w:eastAsia="Arial" w:hAnsi="Arial"/>
                <w:sz w:val="18"/>
                <w:szCs w:val="18"/>
                <w:color w:val="auto"/>
              </w:rPr>
              <w:t>(Benefit) provision for income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ind w:left="120"/>
              <w:spacing w:after="0" w:line="176" w:lineRule="exact"/>
              <w:rPr>
                <w:sz w:val="20"/>
                <w:szCs w:val="20"/>
                <w:color w:val="auto"/>
              </w:rPr>
            </w:pPr>
            <w:r>
              <w:rPr>
                <w:rFonts w:ascii="Arial" w:cs="Arial" w:eastAsia="Arial" w:hAnsi="Arial"/>
                <w:sz w:val="18"/>
                <w:szCs w:val="18"/>
                <w:color w:val="auto"/>
              </w:rPr>
              <w:t>Provision for</w:t>
            </w:r>
          </w:p>
        </w:tc>
        <w:tc>
          <w:tcPr>
            <w:tcW w:w="0" w:type="dxa"/>
            <w:vAlign w:val="bottom"/>
          </w:tcPr>
          <w:p>
            <w:pPr>
              <w:spacing w:after="0"/>
              <w:rPr>
                <w:sz w:val="1"/>
                <w:szCs w:val="1"/>
                <w:color w:val="auto"/>
              </w:rPr>
            </w:pPr>
          </w:p>
        </w:tc>
      </w:tr>
      <w:tr>
        <w:trPr>
          <w:trHeight w:val="242"/>
        </w:trPr>
        <w:tc>
          <w:tcPr>
            <w:tcW w:w="2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taxes</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left="301"/>
              <w:spacing w:after="0"/>
              <w:rPr>
                <w:sz w:val="20"/>
                <w:szCs w:val="20"/>
                <w:color w:val="auto"/>
              </w:rPr>
            </w:pPr>
            <w:r>
              <w:rPr>
                <w:rFonts w:ascii="Arial" w:cs="Arial" w:eastAsia="Arial" w:hAnsi="Arial"/>
                <w:sz w:val="16"/>
                <w:szCs w:val="16"/>
                <w:color w:val="auto"/>
                <w:w w:val="99"/>
              </w:rPr>
              <w:t>(159,365)</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74,832</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200,093</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231,526</w:t>
            </w:r>
          </w:p>
        </w:tc>
        <w:tc>
          <w:tcPr>
            <w:tcW w:w="1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157"/>
        </w:trPr>
        <w:tc>
          <w:tcPr>
            <w:tcW w:w="280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Total net reclassifications for the</w:t>
            </w: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center"/>
              <w:ind w:left="321"/>
              <w:spacing w:after="0"/>
              <w:rPr>
                <w:sz w:val="20"/>
                <w:szCs w:val="20"/>
                <w:color w:val="auto"/>
              </w:rPr>
            </w:pPr>
            <w:r>
              <w:rPr>
                <w:rFonts w:ascii="Arial" w:cs="Arial" w:eastAsia="Arial" w:hAnsi="Arial"/>
                <w:sz w:val="16"/>
                <w:szCs w:val="16"/>
                <w:color w:val="auto"/>
              </w:rPr>
              <w:t>599,514</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(281,511)</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(752,733)</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(870,977)</w:t>
            </w:r>
          </w:p>
        </w:tc>
        <w:tc>
          <w:tcPr>
            <w:tcW w:w="1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Unrealized gains (losses) on</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40"/>
              <w:spacing w:after="0" w:line="176" w:lineRule="exact"/>
              <w:rPr>
                <w:sz w:val="20"/>
                <w:szCs w:val="20"/>
                <w:color w:val="auto"/>
              </w:rPr>
            </w:pPr>
            <w:r>
              <w:rPr>
                <w:rFonts w:ascii="Arial" w:cs="Arial" w:eastAsia="Arial" w:hAnsi="Arial"/>
                <w:sz w:val="18"/>
                <w:szCs w:val="18"/>
                <w:color w:val="auto"/>
              </w:rPr>
              <w:t>Realized loss on sale of</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vMerge w:val="restart"/>
          </w:tcPr>
          <w:p>
            <w:pPr>
              <w:ind w:left="12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43"/>
        </w:trPr>
        <w:tc>
          <w:tcPr>
            <w:tcW w:w="2800" w:type="dxa"/>
            <w:vAlign w:val="bottom"/>
          </w:tcPr>
          <w:p>
            <w:pPr>
              <w:ind w:left="240"/>
              <w:spacing w:after="0"/>
              <w:rPr>
                <w:sz w:val="20"/>
                <w:szCs w:val="20"/>
                <w:color w:val="auto"/>
              </w:rPr>
            </w:pPr>
            <w:r>
              <w:rPr>
                <w:rFonts w:ascii="Arial" w:cs="Arial" w:eastAsia="Arial" w:hAnsi="Arial"/>
                <w:sz w:val="18"/>
                <w:szCs w:val="18"/>
                <w:color w:val="auto"/>
              </w:rPr>
              <w:t>settlement of derivatives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center"/>
              <w:ind w:left="301"/>
              <w:spacing w:after="0"/>
              <w:rPr>
                <w:sz w:val="20"/>
                <w:szCs w:val="20"/>
                <w:color w:val="auto"/>
              </w:rPr>
            </w:pPr>
            <w:r>
              <w:rPr>
                <w:rFonts w:ascii="Arial" w:cs="Arial" w:eastAsia="Arial" w:hAnsi="Arial"/>
                <w:sz w:val="16"/>
                <w:szCs w:val="16"/>
                <w:color w:val="auto"/>
                <w:w w:val="99"/>
              </w:rPr>
              <w:t>(373,205)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(373,205)</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80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7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Provision for</w:t>
            </w:r>
          </w:p>
        </w:tc>
        <w:tc>
          <w:tcPr>
            <w:tcW w:w="0" w:type="dxa"/>
            <w:vAlign w:val="bottom"/>
          </w:tcPr>
          <w:p>
            <w:pPr>
              <w:spacing w:after="0"/>
              <w:rPr>
                <w:sz w:val="1"/>
                <w:szCs w:val="1"/>
                <w:color w:val="auto"/>
              </w:rPr>
            </w:pPr>
          </w:p>
        </w:tc>
      </w:tr>
      <w:tr>
        <w:trPr>
          <w:trHeight w:val="243"/>
        </w:trPr>
        <w:tc>
          <w:tcPr>
            <w:tcW w:w="280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center"/>
              <w:ind w:left="321"/>
              <w:spacing w:after="0"/>
              <w:rPr>
                <w:sz w:val="20"/>
                <w:szCs w:val="20"/>
                <w:color w:val="auto"/>
              </w:rPr>
            </w:pPr>
            <w:r>
              <w:rPr>
                <w:rFonts w:ascii="Arial" w:cs="Arial" w:eastAsia="Arial" w:hAnsi="Arial"/>
                <w:sz w:val="16"/>
                <w:szCs w:val="16"/>
                <w:color w:val="auto"/>
              </w:rPr>
              <w:t>121,105</w:t>
            </w: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121,105</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155"/>
        </w:trPr>
        <w:tc>
          <w:tcPr>
            <w:tcW w:w="2800" w:type="dxa"/>
            <w:vAlign w:val="bottom"/>
          </w:tcPr>
          <w:p>
            <w:pPr>
              <w:ind w:left="20"/>
              <w:spacing w:after="0" w:line="156" w:lineRule="exact"/>
              <w:rPr>
                <w:sz w:val="20"/>
                <w:szCs w:val="20"/>
                <w:color w:val="auto"/>
              </w:rPr>
            </w:pPr>
            <w:r>
              <w:rPr>
                <w:rFonts w:ascii="Arial" w:cs="Arial" w:eastAsia="Arial" w:hAnsi="Arial"/>
                <w:sz w:val="18"/>
                <w:szCs w:val="18"/>
                <w:color w:val="auto"/>
              </w:rPr>
              <w:t>Total net reclassifications for the</w:t>
            </w: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period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center"/>
              <w:ind w:left="301"/>
              <w:spacing w:after="0"/>
              <w:rPr>
                <w:sz w:val="20"/>
                <w:szCs w:val="20"/>
                <w:color w:val="auto"/>
              </w:rPr>
            </w:pPr>
            <w:r>
              <w:rPr>
                <w:rFonts w:ascii="Arial" w:cs="Arial" w:eastAsia="Arial" w:hAnsi="Arial"/>
                <w:sz w:val="16"/>
                <w:szCs w:val="16"/>
                <w:color w:val="auto"/>
                <w:w w:val="99"/>
              </w:rPr>
              <w:t>(252,100)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(252,100)</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8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rPr>
              <w:t>Total reclassifications for the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period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center"/>
              <w:ind w:left="321"/>
              <w:spacing w:after="0"/>
              <w:rPr>
                <w:sz w:val="20"/>
                <w:szCs w:val="20"/>
                <w:color w:val="auto"/>
              </w:rPr>
            </w:pPr>
            <w:r>
              <w:rPr>
                <w:rFonts w:ascii="Arial" w:cs="Arial" w:eastAsia="Arial" w:hAnsi="Arial"/>
                <w:sz w:val="16"/>
                <w:szCs w:val="16"/>
                <w:color w:val="auto"/>
              </w:rPr>
              <w:t>347,414</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(281,511)</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(1,004,833)</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(870,977)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On February 21, 2023, the Company entered into a credit agreement with PNC as the administrative agent and sole lender (the "Credit Agreement"), that provides for, among other things, a three-year unsecured revolving credit facility with a borrowing capacity of up to $250.0 million (the "Revolver") that matures on February 21, 2026. Included in the Revolver is a $20.0 million sublimit for standby letters of credit and a $35.0 million sublimit for swingline loans, each subject to certain conditions. Funds are available under the Revolver for working capital, capital expenditures, and other lawful corporate purposes, including, but not limited to, acquisitions and common stock repurchases, subject in each case to compliance with certain financial covenants, as defined in the Credit Agreement. As of June 30, 2025, there was no outstanding balance on the Revolver.</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2025, the Company is in compliance with its covenants under the Credit Agreement.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Company's subsidiary, VOXX, which was acquired on April 1, 2025 (see </w:t>
      </w:r>
      <w:r>
        <w:rPr>
          <w:rFonts w:ascii="Arial" w:cs="Arial" w:eastAsia="Arial" w:hAnsi="Arial"/>
          <w:sz w:val="18"/>
          <w:szCs w:val="18"/>
          <w:u w:val="single" w:color="auto"/>
          <w:color w:val="0000FF"/>
        </w:rPr>
        <w:t>Note 16</w:t>
      </w:r>
      <w:r>
        <w:rPr>
          <w:rFonts w:ascii="Arial" w:cs="Arial" w:eastAsia="Arial" w:hAnsi="Arial"/>
          <w:sz w:val="18"/>
          <w:szCs w:val="18"/>
          <w:color w:val="auto"/>
        </w:rPr>
        <w:t>), has a loan agreement with the shareholders</w:t>
      </w:r>
    </w:p>
    <w:p>
      <w:pPr>
        <w:spacing w:after="0" w:line="14"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of one of its joint ventures. The loan balance outstanding at June 30, 2025 was $3.9 million and represents the portion of the loan payable to the joint venture partner. A similar loan balance due to VOXX from the joint venture partner eliminates in consolidation. All</w:t>
      </w:r>
    </w:p>
    <w:p>
      <w:pPr>
        <w:spacing w:after="0" w:line="2" w:lineRule="exact"/>
        <w:rPr>
          <w:sz w:val="20"/>
          <w:szCs w:val="20"/>
          <w:color w:val="auto"/>
        </w:rPr>
      </w:pPr>
    </w:p>
    <w:p>
      <w:pPr>
        <w:jc w:val="both"/>
        <w:ind w:left="660"/>
        <w:spacing w:after="0" w:line="242" w:lineRule="auto"/>
        <w:rPr>
          <w:sz w:val="20"/>
          <w:szCs w:val="20"/>
          <w:color w:val="auto"/>
        </w:rPr>
      </w:pPr>
      <w:r>
        <w:rPr>
          <w:rFonts w:ascii="Arial" w:cs="Arial" w:eastAsia="Arial" w:hAnsi="Arial"/>
          <w:sz w:val="18"/>
          <w:szCs w:val="18"/>
          <w:color w:val="auto"/>
        </w:rPr>
        <w:t>amounts outstanding under the loan will mature and become payable on September 8, 2031. The loan may be prepaid subject to the approval of the board of directors of the joint venture and must be repaid if either a put or call option is exercised in accordance with the joint venture agreement. The rate of interest for the shareholder loan is</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 and the loan is secured by a second priority lien on and secured interest in all assets of VOXX's subsidiary Onkyo Technology</w:t>
      </w:r>
    </w:p>
    <w:p>
      <w:pPr>
        <w:spacing w:after="0" w:line="14" w:lineRule="exact"/>
        <w:rPr>
          <w:sz w:val="20"/>
          <w:szCs w:val="20"/>
          <w:color w:val="auto"/>
        </w:rPr>
      </w:pPr>
    </w:p>
    <w:p>
      <w:pPr>
        <w:ind w:left="940" w:hanging="284"/>
        <w:spacing w:after="0"/>
        <w:tabs>
          <w:tab w:leader="none" w:pos="9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("Onkyo").</w:t>
      </w:r>
    </w:p>
    <w:p>
      <w:pPr>
        <w:spacing w:after="0" w:line="234"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Equity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common stock for the six months ended June 30, 2025, was primarily due to the repurchases of 8.8 million shares,</w:t>
      </w:r>
    </w:p>
    <w:p>
      <w:pPr>
        <w:spacing w:after="0" w:line="36"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color w:val="auto"/>
        </w:rPr>
        <w:t>partially offset by the issuance of 1.1 million shares of the Company’s common stock, net of cancellations, under the Company’s stock-based compensation plans. The total net decrease for the six months ended June 30, 2025 was 7.7 million shares.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a cash dividend of $0.120 per share during the second quarter of 2025 as compared to a cash dividend of</w:t>
      </w:r>
    </w:p>
    <w:p>
      <w:pPr>
        <w:spacing w:after="0" w:line="14"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$0.120 per share during the second quarter of 2024. The second quarter 2025 dividend of $26.3 million was declared on May 28, 2025, and was paid on July 23, 2025.</w:t>
      </w:r>
    </w:p>
    <w:p>
      <w:pPr>
        <w:spacing w:after="0" w:line="200" w:lineRule="exact"/>
        <w:rPr>
          <w:sz w:val="20"/>
          <w:szCs w:val="20"/>
          <w:color w:val="auto"/>
        </w:rPr>
      </w:pPr>
    </w:p>
    <w:p>
      <w:pPr>
        <w:spacing w:after="0" w:line="264"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5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for example,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06"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200" w:lineRule="exact"/>
        <w:rPr>
          <w:sz w:val="20"/>
          <w:szCs w:val="20"/>
          <w:color w:val="auto"/>
        </w:rPr>
      </w:pPr>
    </w:p>
    <w:p>
      <w:pPr>
        <w:spacing w:after="0" w:line="20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requires that a public business entity report financial and descriptive information about its reportable operating segments, subject to certain aggregation criteria and quantitative thresholds. Operating segments are defined by ASC 280 as components of a public business entity about which separate financial information is available that is evaluated regularly by the chief operating decision-maker ("CODM") in deciding how to allocate resources and in assessing performance. The Company's CODM is its Chief Executive Officer. The CODM evaluates performance and allocates resources based upon a number of factors, including the nature of the business, relevant industry, and profitability of the same, with the primary profit measure being income (loss) from operations of each segment. The CODM uses this information to evaluate the profitability of the Company's reportable segments and make decisions on future business plans.</w:t>
      </w:r>
    </w:p>
    <w:p>
      <w:pPr>
        <w:spacing w:after="0" w:line="10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In connection with the acquisition of VOXX (see </w:t>
      </w:r>
      <w:r>
        <w:rPr>
          <w:rFonts w:ascii="Arial" w:cs="Arial" w:eastAsia="Arial" w:hAnsi="Arial"/>
          <w:sz w:val="18"/>
          <w:szCs w:val="18"/>
          <w:u w:val="single" w:color="auto"/>
          <w:color w:val="0000FF"/>
        </w:rPr>
        <w:t>Note 16</w:t>
      </w:r>
      <w:r>
        <w:rPr>
          <w:rFonts w:ascii="Arial" w:cs="Arial" w:eastAsia="Arial" w:hAnsi="Arial"/>
          <w:sz w:val="18"/>
          <w:szCs w:val="18"/>
          <w:color w:val="auto"/>
        </w:rPr>
        <w:t>), effective April 1, 2025, the Company reorganized its financial reporting into nine distinct operating segments based on its products and internal organizational structure. These operating segments are disclosed by the Company under three reportable segments, which are Automotive Products, Premium Audio Products, and Other. The Company's Automotive Products segment develops and manufactures digital vision and connected car products and electronics, including: automatic-dimming rearview mirrors with and without electronic features; non-auto dimming rearview mirrors with and without electronic features; and other electronics. The Company's Premium Audio Products segment designs, manufactures, markets, and distributes high quality audio equipment designed to deliver superior sound quality and performance, including premium loudspeakers, architectural speakers, commercial and cinema speakers, wireless and Bluetooth speakers, A/V receivers, and home theater systems. The Company's Other segment includes the operating segments of Fire Protection, Dimmable Aircraft</w:t>
      </w:r>
    </w:p>
    <w:p>
      <w:pPr>
        <w:spacing w:after="0" w:line="5" w:lineRule="exact"/>
        <w:rPr>
          <w:sz w:val="20"/>
          <w:szCs w:val="20"/>
          <w:color w:val="auto"/>
        </w:rPr>
      </w:pPr>
    </w:p>
    <w:p>
      <w:pPr>
        <w:jc w:val="both"/>
        <w:ind w:left="660"/>
        <w:spacing w:after="0" w:line="276" w:lineRule="auto"/>
        <w:rPr>
          <w:sz w:val="20"/>
          <w:szCs w:val="20"/>
          <w:color w:val="auto"/>
        </w:rPr>
      </w:pPr>
      <w:r>
        <w:rPr>
          <w:rFonts w:ascii="Arial" w:cs="Arial" w:eastAsia="Arial" w:hAnsi="Arial"/>
          <w:sz w:val="18"/>
          <w:szCs w:val="18"/>
          <w:color w:val="auto"/>
        </w:rPr>
        <w:t>Windows, Nanofiber, Medical, Aftermarket, Consumer Electronics, and Biometrics. As there was no change to legacy operating segments of Gentex or how the legacy operations are organized and evaluated by the CODM, the Company determined it is not necessary to recast its prior year segment presentation or perform goodwill impairment testing.</w:t>
      </w:r>
    </w:p>
    <w:p>
      <w:pPr>
        <w:spacing w:after="0" w:line="82"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segments share many common resources, infrastructures, and assets in the normal course of business. Thus, the Company does not report assets or capital expenditures by segment to the CODM.</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line="279" w:lineRule="auto"/>
        <w:rPr>
          <w:sz w:val="20"/>
          <w:szCs w:val="20"/>
          <w:color w:val="auto"/>
        </w:rPr>
      </w:pPr>
      <w:r>
        <w:rPr>
          <w:rFonts w:ascii="Arial" w:cs="Arial" w:eastAsia="Arial" w:hAnsi="Arial"/>
          <w:sz w:val="18"/>
          <w:szCs w:val="18"/>
          <w:color w:val="auto"/>
        </w:rPr>
        <w:t>The table below presents net sales and the significant expense categories that are included in reportable segment operating profit, which are regularly provided to the CODM:</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2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3120" w:type="dxa"/>
            <w:vAlign w:val="bottom"/>
            <w:gridSpan w:val="3"/>
          </w:tcPr>
          <w:p>
            <w:pPr>
              <w:jc w:val="right"/>
              <w:ind w:right="671"/>
              <w:spacing w:after="0"/>
              <w:rPr>
                <w:sz w:val="20"/>
                <w:szCs w:val="20"/>
                <w:color w:val="auto"/>
              </w:rPr>
            </w:pPr>
            <w:r>
              <w:rPr>
                <w:rFonts w:ascii="Arial" w:cs="Arial" w:eastAsia="Arial" w:hAnsi="Arial"/>
                <w:sz w:val="14"/>
                <w:szCs w:val="14"/>
                <w:b w:val="1"/>
                <w:bCs w:val="1"/>
                <w:color w:val="auto"/>
              </w:rPr>
              <w:t>Six Months Ended June 30,</w:t>
            </w:r>
          </w:p>
        </w:tc>
      </w:tr>
      <w:tr>
        <w:trPr>
          <w:trHeight w:val="203"/>
        </w:trPr>
        <w:tc>
          <w:tcPr>
            <w:tcW w:w="29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r>
      <w:tr>
        <w:trPr>
          <w:trHeight w:val="211"/>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298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578,129,026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559,290,095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1,141,993,285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1,136,892,291</w:t>
            </w:r>
          </w:p>
        </w:tc>
      </w:tr>
      <w:tr>
        <w:trPr>
          <w:trHeight w:val="229"/>
        </w:trPr>
        <w:tc>
          <w:tcPr>
            <w:tcW w:w="2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Premium Audio Products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44,490,597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44,490,597</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35,238,587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13,635,683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48,147,418</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26,258,698</w:t>
            </w:r>
          </w:p>
        </w:tc>
      </w:tr>
      <w:tr>
        <w:trPr>
          <w:trHeight w:val="248"/>
        </w:trPr>
        <w:tc>
          <w:tcPr>
            <w:tcW w:w="2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657,858,210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572,925,778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1,234,631,300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1,163,150,989</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298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372,449,869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375,365,300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747,947,061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755,292,167</w:t>
            </w:r>
          </w:p>
        </w:tc>
      </w:tr>
      <w:tr>
        <w:trPr>
          <w:trHeight w:val="230"/>
        </w:trPr>
        <w:tc>
          <w:tcPr>
            <w:tcW w:w="2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Premium Audio Products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32,612,485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32,612,485</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27,504,953</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8,997,169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37,047,264</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17,057,906</w:t>
            </w:r>
          </w:p>
        </w:tc>
      </w:tr>
      <w:tr>
        <w:trPr>
          <w:trHeight w:val="248"/>
        </w:trPr>
        <w:tc>
          <w:tcPr>
            <w:tcW w:w="2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432,567,307</w:t>
            </w:r>
          </w:p>
        </w:tc>
        <w:tc>
          <w:tcPr>
            <w:tcW w:w="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384,362,469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817,606,810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772,350,073</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298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76,596,788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69,272,622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147,673,613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137,401,810</w:t>
            </w:r>
          </w:p>
        </w:tc>
      </w:tr>
      <w:tr>
        <w:trPr>
          <w:trHeight w:val="229"/>
        </w:trPr>
        <w:tc>
          <w:tcPr>
            <w:tcW w:w="2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Premium Audio Products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13,964,761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13,964,761</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16,209,219</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4,406,665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23,878,875</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9,168,772</w:t>
            </w:r>
          </w:p>
        </w:tc>
      </w:tr>
      <w:tr>
        <w:trPr>
          <w:trHeight w:val="248"/>
        </w:trPr>
        <w:tc>
          <w:tcPr>
            <w:tcW w:w="2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106,770,768</w:t>
            </w:r>
          </w:p>
        </w:tc>
        <w:tc>
          <w:tcPr>
            <w:tcW w:w="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73,679,287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185,517,249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146,570,582</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298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24,567,309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22,150,605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48,033,592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44,093,697</w:t>
            </w:r>
          </w:p>
        </w:tc>
      </w:tr>
      <w:tr>
        <w:trPr>
          <w:trHeight w:val="229"/>
        </w:trPr>
        <w:tc>
          <w:tcPr>
            <w:tcW w:w="2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Premium Audio Products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168,533</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980" w:type="dxa"/>
            <w:vAlign w:val="bottom"/>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1,117,817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640,156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1,931,220</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1,438,905</w:t>
            </w:r>
          </w:p>
        </w:tc>
      </w:tr>
      <w:tr>
        <w:trPr>
          <w:trHeight w:val="230"/>
        </w:trPr>
        <w:tc>
          <w:tcPr>
            <w:tcW w:w="2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1,517,715</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1,197,603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2,747,098</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2,409,530</w:t>
            </w:r>
          </w:p>
        </w:tc>
      </w:tr>
      <w:tr>
        <w:trPr>
          <w:trHeight w:val="223"/>
        </w:trPr>
        <w:tc>
          <w:tcPr>
            <w:tcW w:w="2980" w:type="dxa"/>
            <w:vAlign w:val="bottom"/>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27,371,374</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23,988,364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52,880,443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47,942,132</w:t>
            </w: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2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2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Automotive Products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130,045,214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114,652,174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246,372,611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244,198,314</w:t>
            </w:r>
          </w:p>
        </w:tc>
      </w:tr>
      <w:tr>
        <w:trPr>
          <w:trHeight w:val="230"/>
        </w:trPr>
        <w:tc>
          <w:tcPr>
            <w:tcW w:w="2980" w:type="dxa"/>
            <w:vAlign w:val="bottom"/>
          </w:tcPr>
          <w:p>
            <w:pPr>
              <w:ind w:left="240"/>
              <w:spacing w:after="0"/>
              <w:rPr>
                <w:sz w:val="20"/>
                <w:szCs w:val="20"/>
                <w:color w:val="auto"/>
              </w:rPr>
            </w:pPr>
            <w:r>
              <w:rPr>
                <w:rFonts w:ascii="Arial" w:cs="Arial" w:eastAsia="Arial" w:hAnsi="Arial"/>
                <w:sz w:val="18"/>
                <w:szCs w:val="18"/>
                <w:color w:val="auto"/>
              </w:rPr>
              <w:t>Premium Audio Products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(2,086,649)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(2,086,649)</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(9,438,430)</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(12,778,721)</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32,020</w:t>
            </w:r>
          </w:p>
        </w:tc>
      </w:tr>
      <w:tr>
        <w:trPr>
          <w:trHeight w:val="223"/>
        </w:trPr>
        <w:tc>
          <w:tcPr>
            <w:tcW w:w="2980" w:type="dxa"/>
            <w:vAlign w:val="bottom"/>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118,520,135</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114,884,022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231,507,241</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244,230,334</w:t>
            </w:r>
          </w:p>
        </w:tc>
      </w:tr>
      <w:tr>
        <w:trPr>
          <w:trHeight w:val="20"/>
        </w:trPr>
        <w:tc>
          <w:tcPr>
            <w:tcW w:w="2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5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effective tax rate was 17.2% for the three months ended June 30, 2025, compared to an effective tax rate of 15.1% for the three months ended June 30, 2024. The effective tax rate was 16.8% for the six months ended June 30, 2025, compared to an effective tax rate of 15.2% for the same period in 2024. Change in the effective tax rates during these periods were driven by lower tax benefits on stock-based compensation in the 2025 periods, compared to the 2024 periods. Generally, effective tax rates for these periods differ from statutory federal income tax rates due to provisions for state and local income taxes, the foreign-derived intangible income tax ("FDII") deduction, and research and development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following table shows the Company’s Automotive revenue, Premium Audio revenue and Other revenue disaggregated by geographical location for Automotive and Premium Audio Products for the three and six months ended June 30, 2025 and 2024 (which did not include VOXX), respectively:</w:t>
      </w:r>
    </w:p>
    <w:p>
      <w:pPr>
        <w:spacing w:after="0" w:line="5"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2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6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7"/>
                <w:szCs w:val="17"/>
                <w:color w:val="auto"/>
              </w:rPr>
            </w:pPr>
          </w:p>
        </w:tc>
        <w:tc>
          <w:tcPr>
            <w:tcW w:w="31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June 30,</w:t>
            </w:r>
          </w:p>
        </w:tc>
      </w:tr>
      <w:tr>
        <w:trPr>
          <w:trHeight w:val="203"/>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2024</w:t>
            </w:r>
          </w:p>
        </w:tc>
      </w:tr>
      <w:tr>
        <w:trPr>
          <w:trHeight w:val="224"/>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2880" w:type="dxa"/>
            <w:vAlign w:val="bottom"/>
          </w:tcPr>
          <w:p>
            <w:pPr>
              <w:ind w:left="12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172,204,462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164,948,637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335,585,400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330,089,259</w:t>
            </w:r>
          </w:p>
        </w:tc>
      </w:tr>
      <w:tr>
        <w:trPr>
          <w:trHeight w:val="229"/>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Japan</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96,094,581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82,261,793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194,459,984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171,266,421</w:t>
            </w:r>
          </w:p>
        </w:tc>
      </w:tr>
      <w:tr>
        <w:trPr>
          <w:trHeight w:val="230"/>
        </w:trPr>
        <w:tc>
          <w:tcPr>
            <w:tcW w:w="2880" w:type="dxa"/>
            <w:vAlign w:val="bottom"/>
          </w:tcPr>
          <w:p>
            <w:pPr>
              <w:ind w:left="120"/>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67,662,895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71,510,830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132,680,756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147,205,718</w:t>
            </w:r>
          </w:p>
        </w:tc>
      </w:tr>
      <w:tr>
        <w:trPr>
          <w:trHeight w:val="229"/>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Korea</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56,610,947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31,457,450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94,806,280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85,152,562</w:t>
            </w:r>
          </w:p>
        </w:tc>
      </w:tr>
      <w:tr>
        <w:trPr>
          <w:trHeight w:val="229"/>
        </w:trPr>
        <w:tc>
          <w:tcPr>
            <w:tcW w:w="2880" w:type="dxa"/>
            <w:vAlign w:val="bottom"/>
          </w:tcPr>
          <w:p>
            <w:pPr>
              <w:ind w:left="120"/>
              <w:spacing w:after="0"/>
              <w:rPr>
                <w:sz w:val="20"/>
                <w:szCs w:val="20"/>
                <w:color w:val="auto"/>
              </w:rPr>
            </w:pPr>
            <w:r>
              <w:rPr>
                <w:rFonts w:ascii="Arial" w:cs="Arial" w:eastAsia="Arial" w:hAnsi="Arial"/>
                <w:sz w:val="18"/>
                <w:szCs w:val="18"/>
                <w:color w:val="auto"/>
              </w:rPr>
              <w:t>Mexico</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45,702,656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47,955,922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93,351,532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85,577,085</w:t>
            </w:r>
          </w:p>
        </w:tc>
      </w:tr>
      <w:tr>
        <w:trPr>
          <w:trHeight w:val="230"/>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China</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35,081,549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50,952,480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76,035,949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98,301,934</w:t>
            </w:r>
          </w:p>
        </w:tc>
      </w:tr>
      <w:tr>
        <w:trPr>
          <w:trHeight w:val="229"/>
        </w:trPr>
        <w:tc>
          <w:tcPr>
            <w:tcW w:w="2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104,771,936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110,202,983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215,073,384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219,299,312</w:t>
            </w: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578,129,026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559,290,095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1,141,993,285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1,136,892,291</w:t>
            </w:r>
          </w:p>
        </w:tc>
      </w:tr>
      <w:tr>
        <w:trPr>
          <w:trHeight w:val="148"/>
        </w:trPr>
        <w:tc>
          <w:tcPr>
            <w:tcW w:w="2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 Audio Products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2880" w:type="dxa"/>
            <w:vAlign w:val="bottom"/>
          </w:tcPr>
          <w:p>
            <w:pPr>
              <w:ind w:left="12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29,933,112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29,933,112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14,557,485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14,557,485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880" w:type="dxa"/>
            <w:vAlign w:val="bottom"/>
          </w:tcPr>
          <w:p>
            <w:pPr>
              <w:ind w:left="20"/>
              <w:spacing w:after="0"/>
              <w:rPr>
                <w:sz w:val="20"/>
                <w:szCs w:val="20"/>
                <w:color w:val="auto"/>
              </w:rPr>
            </w:pPr>
            <w:r>
              <w:rPr>
                <w:rFonts w:ascii="Arial" w:cs="Arial" w:eastAsia="Arial" w:hAnsi="Arial"/>
                <w:sz w:val="18"/>
                <w:szCs w:val="18"/>
                <w:color w:val="auto"/>
              </w:rPr>
              <w:t>Total Premium Audio Products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44,490,597</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44,490,597</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48"/>
        </w:trPr>
        <w:tc>
          <w:tcPr>
            <w:tcW w:w="2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30"/>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35,238,587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13,635,683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48,147,418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26,258,698</w:t>
            </w:r>
          </w:p>
        </w:tc>
      </w:tr>
      <w:tr>
        <w:trPr>
          <w:trHeight w:val="248"/>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657,858,210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572,925,778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1,234,631,300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1,163,150,989</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global supply chain constraints; unexpected changes in laws, regulations, trade or monetary or fiscal policy, including interest rates, foreign currency exchange rates and changes in the rate of inflation in the U.S. and other foreign countries; labor strikes, armed conflicts and acts of terrorism and war; and tariffs, quotas, customs and other import or export restrictions and other trade barriers.</w:t>
      </w:r>
    </w:p>
    <w:p>
      <w:pPr>
        <w:spacing w:after="0" w:line="206" w:lineRule="exact"/>
        <w:rPr>
          <w:sz w:val="20"/>
          <w:szCs w:val="20"/>
          <w:color w:val="auto"/>
        </w:rPr>
      </w:pPr>
    </w:p>
    <w:p>
      <w:pPr>
        <w:ind w:left="660" w:right="80"/>
        <w:spacing w:after="0" w:line="287" w:lineRule="auto"/>
        <w:rPr>
          <w:sz w:val="20"/>
          <w:szCs w:val="20"/>
          <w:color w:val="auto"/>
        </w:rPr>
      </w:pPr>
      <w:r>
        <w:rPr>
          <w:rFonts w:ascii="Arial" w:cs="Arial" w:eastAsia="Arial" w:hAnsi="Arial"/>
          <w:sz w:val="18"/>
          <w:szCs w:val="18"/>
          <w:color w:val="auto"/>
        </w:rPr>
        <w:t>The following table disaggregates the Company’s Automotive, Premium Audio, and Other revenue by major source for the three and six months ended June 30, 2025 and 2024 (which did not include VOXX),</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2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17"/>
                <w:szCs w:val="17"/>
                <w:color w:val="auto"/>
              </w:rPr>
            </w:pPr>
          </w:p>
        </w:tc>
        <w:tc>
          <w:tcPr>
            <w:tcW w:w="29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302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2"/>
        </w:trPr>
        <w:tc>
          <w:tcPr>
            <w:tcW w:w="33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40"/>
              <w:spacing w:after="0"/>
              <w:rPr>
                <w:sz w:val="20"/>
                <w:szCs w:val="20"/>
                <w:color w:val="auto"/>
              </w:rPr>
            </w:pPr>
            <w:r>
              <w:rPr>
                <w:rFonts w:ascii="Arial" w:cs="Arial" w:eastAsia="Arial" w:hAnsi="Arial"/>
                <w:sz w:val="18"/>
                <w:szCs w:val="18"/>
                <w:color w:val="auto"/>
              </w:rPr>
              <w:t>Automotive Mirrors &amp; Electronics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548,897,948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530,558,700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1,079,029,377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1,080,743,130</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HomeLink Modules*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29,231,078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28,731,395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62,963,908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56,149,161</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Total Automotive Products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578,129,026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559,290,095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1,141,993,285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1,136,892,291</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Premium Audio Products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Premium Speaker Products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32,430,491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32,430,491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Premium Receiver Products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12,060,106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12,060,106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Premium Audio Products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44,490,597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44,490,597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40"/>
              <w:spacing w:after="0"/>
              <w:rPr>
                <w:sz w:val="20"/>
                <w:szCs w:val="20"/>
                <w:color w:val="auto"/>
              </w:rPr>
            </w:pPr>
            <w:r>
              <w:rPr>
                <w:rFonts w:ascii="Arial" w:cs="Arial" w:eastAsia="Arial" w:hAnsi="Arial"/>
                <w:sz w:val="18"/>
                <w:szCs w:val="18"/>
                <w:color w:val="auto"/>
              </w:rPr>
              <w:t>Fire Protection Products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8,082,207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7,353,664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14,799,977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14,189,702</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Windows Products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6,286,593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8,887,501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12,057,394</w:t>
            </w:r>
          </w:p>
        </w:tc>
        <w:tc>
          <w:tcPr>
            <w:tcW w:w="0" w:type="dxa"/>
            <w:vAlign w:val="bottom"/>
          </w:tcPr>
          <w:p>
            <w:pPr>
              <w:spacing w:after="0"/>
              <w:rPr>
                <w:sz w:val="1"/>
                <w:szCs w:val="1"/>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Medical Products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245,421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632,256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11,602</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Aftermarket Products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15,223,080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15,223,080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Consumer Electronic Products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7,477,039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7,477,039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Biometric Products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Total Other</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35,238,587</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13,635,683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48,147,418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26,258,698</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657,858,210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572,925,778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1,234,631,300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1,163,150,989</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*Excludes HomeLink revenue where HomeLink electronics are integrated into interior auto-dimming mirrors.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24078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40780" cy="1460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Incentives</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conjunction with the acquisition of VOXX on April 1, 2025, the Company assumed liabilities for sales incentives valued at $13.0 million. Sales incentives are offered to to customers in the form of (1) co-operative advertising allowances; (2) market development funds; (3) volume incentive rebates; and (4) other trade allowances. The Company accounts for sales incentives in accordance with ASC 606 "Revenue from Contracts with Customers" ("ASC 606"). These sales incentives represent variable consideration provided to customers. Depending on the specific facts and circumstances, either the most likely amount or expected value methods are utilized to estimate the effect of uncertainty on the amount of variable consideration to which the Company would be entitled. The most likely amount method considers the single most likely amount from a range of possible consideration amounts, while the expected value method is the sum of the probability-weighted amounts in a range of possible consideration amounts. Both methods are based upon the contractual terms of the incentives and historical experience with each customer. Except for other trade allowances, all sales incentives require the customer to purchase the Company's products during a specified period of time. All sales incentives require customers to claim the sales incentive within a certain time period (referred to as the "claim period") and claims are settled either by the customer claiming a deduction against an outstanding account receivable or by the customer requesting a cash payout. All costs associated with sales incentives are classified as a reduction of net sales. Although the Company makes its best estimate of its sales incentive liability, many factors, including significant unanticipated changes in the purchasing volume of its customers and the lack of claims made by customers, could have a significant impact on the sales incentives liability and reported operating results. The balance of accrued sales incentives at June 30, 2025 was $12.8 million and is included within Accrued liabilities on the Unaudited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Leases</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has operating leases for certain sales, manufacturing, and engineering offices, as well as other vehicles and equipment, which are included within "Plant and Equipment - Net" on the Unaudited Condensed Consolidated Balance Sheets. The leases have remaining lease terms of less than 1 year to 7 years. The weighted average remaining lease term for operating leases as of June 30, 2025 was 3 years, with a weighted average discount rate of 5.3%</w:t>
      </w:r>
      <w:r>
        <w:rPr>
          <w:rFonts w:ascii="Arial" w:cs="Arial" w:eastAsia="Arial" w:hAnsi="Arial"/>
          <w:sz w:val="18"/>
          <w:szCs w:val="18"/>
          <w:color w:val="FAAC16"/>
        </w:rPr>
        <w: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for operating leases as of June 30,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620649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06490" cy="1289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2064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(excluding the six months ended June 30, 2025)</w:t>
            </w:r>
          </w:p>
        </w:tc>
        <w:tc>
          <w:tcPr>
            <w:tcW w:w="86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1,945,507</w:t>
            </w:r>
          </w:p>
        </w:tc>
        <w:tc>
          <w:tcPr>
            <w:tcW w:w="60" w:type="dxa"/>
            <w:vAlign w:val="bottom"/>
          </w:tcPr>
          <w:p>
            <w:pPr>
              <w:spacing w:after="0"/>
              <w:rPr>
                <w:sz w:val="19"/>
                <w:szCs w:val="19"/>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2,960,319</w:t>
            </w:r>
          </w:p>
        </w:tc>
        <w:tc>
          <w:tcPr>
            <w:tcW w:w="60" w:type="dxa"/>
            <w:vAlign w:val="bottom"/>
          </w:tcPr>
          <w:p>
            <w:pPr>
              <w:spacing w:after="0"/>
              <w:rPr>
                <w:sz w:val="19"/>
                <w:szCs w:val="19"/>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2,135,249</w:t>
            </w:r>
          </w:p>
        </w:tc>
        <w:tc>
          <w:tcPr>
            <w:tcW w:w="60" w:type="dxa"/>
            <w:vAlign w:val="bottom"/>
          </w:tcPr>
          <w:p>
            <w:pPr>
              <w:spacing w:after="0"/>
              <w:rPr>
                <w:sz w:val="19"/>
                <w:szCs w:val="19"/>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1,645,337</w:t>
            </w:r>
          </w:p>
        </w:tc>
        <w:tc>
          <w:tcPr>
            <w:tcW w:w="60" w:type="dxa"/>
            <w:vAlign w:val="bottom"/>
          </w:tcPr>
          <w:p>
            <w:pPr>
              <w:spacing w:after="0"/>
              <w:rPr>
                <w:sz w:val="19"/>
                <w:szCs w:val="19"/>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772,904</w:t>
            </w:r>
          </w:p>
        </w:tc>
        <w:tc>
          <w:tcPr>
            <w:tcW w:w="60" w:type="dxa"/>
            <w:vAlign w:val="bottom"/>
          </w:tcPr>
          <w:p>
            <w:pPr>
              <w:spacing w:after="0"/>
              <w:rPr>
                <w:sz w:val="19"/>
                <w:szCs w:val="19"/>
                <w:color w:val="auto"/>
              </w:rPr>
            </w:pPr>
          </w:p>
        </w:tc>
      </w:tr>
      <w:tr>
        <w:trPr>
          <w:trHeight w:val="23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287,219</w:t>
            </w:r>
          </w:p>
        </w:tc>
        <w:tc>
          <w:tcPr>
            <w:tcW w:w="60" w:type="dxa"/>
            <w:vAlign w:val="bottom"/>
          </w:tcPr>
          <w:p>
            <w:pPr>
              <w:spacing w:after="0"/>
              <w:rPr>
                <w:sz w:val="19"/>
                <w:szCs w:val="19"/>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9,746,535</w:t>
            </w:r>
          </w:p>
        </w:tc>
        <w:tc>
          <w:tcPr>
            <w:tcW w:w="60" w:type="dxa"/>
            <w:vAlign w:val="bottom"/>
          </w:tcPr>
          <w:p>
            <w:pPr>
              <w:spacing w:after="0"/>
              <w:rPr>
                <w:sz w:val="19"/>
                <w:szCs w:val="19"/>
                <w:color w:val="auto"/>
              </w:rPr>
            </w:pPr>
          </w:p>
        </w:tc>
      </w:tr>
      <w:tr>
        <w:trPr>
          <w:trHeight w:val="23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(729,590)</w:t>
            </w:r>
          </w:p>
        </w:tc>
        <w:tc>
          <w:tcPr>
            <w:tcW w:w="60" w:type="dxa"/>
            <w:vAlign w:val="bottom"/>
          </w:tcPr>
          <w:p>
            <w:pPr>
              <w:spacing w:after="0"/>
              <w:rPr>
                <w:sz w:val="19"/>
                <w:szCs w:val="19"/>
                <w:color w:val="auto"/>
              </w:rPr>
            </w:pPr>
          </w:p>
        </w:tc>
      </w:tr>
      <w:tr>
        <w:trPr>
          <w:trHeight w:val="248"/>
        </w:trPr>
        <w:tc>
          <w:tcPr>
            <w:tcW w:w="7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9,016,945</w:t>
            </w:r>
          </w:p>
        </w:tc>
        <w:tc>
          <w:tcPr>
            <w:tcW w:w="60" w:type="dxa"/>
            <w:vAlign w:val="bottom"/>
          </w:tcPr>
          <w:p>
            <w:pPr>
              <w:spacing w:after="0"/>
              <w:rPr>
                <w:sz w:val="21"/>
                <w:szCs w:val="2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8"/>
        </w:trPr>
        <w:tc>
          <w:tcPr>
            <w:tcW w:w="7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2"/>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Reported as of June 30, 2025</w:t>
            </w:r>
          </w:p>
        </w:tc>
        <w:tc>
          <w:tcPr>
            <w:tcW w:w="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r>
      <w:tr>
        <w:trPr>
          <w:trHeight w:val="251"/>
        </w:trPr>
        <w:tc>
          <w:tcPr>
            <w:tcW w:w="7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8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3,342,085</w:t>
            </w:r>
          </w:p>
        </w:tc>
        <w:tc>
          <w:tcPr>
            <w:tcW w:w="60" w:type="dxa"/>
            <w:vAlign w:val="bottom"/>
            <w:shd w:val="clear" w:color="auto" w:fill="CCEEFF"/>
          </w:tcPr>
          <w:p>
            <w:pPr>
              <w:spacing w:after="0"/>
              <w:rPr>
                <w:sz w:val="19"/>
                <w:szCs w:val="19"/>
                <w:color w:val="auto"/>
              </w:rPr>
            </w:pPr>
          </w:p>
        </w:tc>
      </w:tr>
      <w:tr>
        <w:trPr>
          <w:trHeight w:val="23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5,674,860</w:t>
            </w:r>
          </w:p>
        </w:tc>
        <w:tc>
          <w:tcPr>
            <w:tcW w:w="60" w:type="dxa"/>
            <w:vAlign w:val="bottom"/>
            <w:tcBorders>
              <w:bottom w:val="single" w:sz="8" w:color="auto"/>
            </w:tcBorders>
          </w:tcPr>
          <w:p>
            <w:pPr>
              <w:spacing w:after="0"/>
              <w:rPr>
                <w:sz w:val="19"/>
                <w:szCs w:val="19"/>
                <w:color w:val="auto"/>
              </w:rPr>
            </w:pPr>
          </w:p>
        </w:tc>
      </w:tr>
      <w:tr>
        <w:trPr>
          <w:trHeight w:val="248"/>
        </w:trPr>
        <w:tc>
          <w:tcPr>
            <w:tcW w:w="7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9,016,945</w:t>
            </w:r>
          </w:p>
        </w:tc>
        <w:tc>
          <w:tcPr>
            <w:tcW w:w="60" w:type="dxa"/>
            <w:vAlign w:val="bottom"/>
            <w:tcBorders>
              <w:bottom w:val="single" w:sz="8" w:color="auto"/>
            </w:tcBorders>
            <w:shd w:val="clear" w:color="auto" w:fill="CCEEFF"/>
          </w:tcPr>
          <w:p>
            <w:pPr>
              <w:spacing w:after="0"/>
              <w:rPr>
                <w:sz w:val="21"/>
                <w:szCs w:val="2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Acquisitions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VOXX International Corporation</w:t>
      </w:r>
    </w:p>
    <w:p>
      <w:pPr>
        <w:spacing w:after="0" w:line="250"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On April 1, 2025 (the "Closing Date"), the Company completed its acquisition of VOXX pursuant to the previously announced Merger Agreement. Pursuant to the terms and conditions set forth in the Merger Agreement, the Company acquired all of the issued and outstanding shares of VOXX common stock not already owned by the Company for a purchase price of $ 7.50 per share, resulting in VOXX becoming a wholly owned subsidiary of Gentex as of the Closing Date. Cash consideration totaling $148.3 million was paid by the Company on the Closing Date out of cash on hand. The acquisition was accounted for under the acquisition method of accounting pursuant to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and accordingly, the results of operations and cash flows for VOXX have been included in the Company's Unaudited Condensed Consolidated Financial Statements since the Closing Date.</w:t>
      </w:r>
    </w:p>
    <w:p>
      <w:pPr>
        <w:spacing w:after="0" w:line="210"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Prior to obtaining a controlling interest in VOXX, the Company owned 6,463,808 shares of VOXX Class A Common Stock, or approximately 29%, and accounted for this investment as an equity method investment, as the Company had the ability to exercise significant influence, but not control, over VOXX (see </w:t>
      </w:r>
      <w:r>
        <w:rPr>
          <w:rFonts w:ascii="Arial" w:cs="Arial" w:eastAsia="Arial" w:hAnsi="Arial"/>
          <w:sz w:val="18"/>
          <w:szCs w:val="18"/>
          <w:u w:val="single" w:color="auto"/>
          <w:color w:val="0000FF"/>
        </w:rPr>
        <w:t>Note 4</w:t>
      </w:r>
      <w:r>
        <w:rPr>
          <w:rFonts w:ascii="Arial" w:cs="Arial" w:eastAsia="Arial" w:hAnsi="Arial"/>
          <w:sz w:val="18"/>
          <w:szCs w:val="18"/>
          <w:color w:val="auto"/>
        </w:rPr>
        <w:t>). The acquisition transaction was accounted for as a business combination achieved in stages, or a step-acquisition, pursuant to ASC 805 and, as such, the Company was required to remeasure its preexisting equity interest in VOXX immediately prior to the completion of the acquisition to its estimated fair value of $48.5 million using the $ 7.50 per share acquisition price to determine the fair value of the equity investment. As the Company previously recorded changes in fair value of the equity method investment in Investment</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income (loss), net, in the Unaudited Condensed Consolidated Statements of Income each reporting period, the fair value of the investment on the Closing Date was equal to the fair value of the investment on March 31, 2025, the date immediately prior to the acquisition, and no additional gain or loss was recorded on the Closing Date.</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VOXX is a leading manufacturer and distributor of automotive OEM and aftermarket electronics, and consumer technologies for the global markets, as well as premium audio solutions through world-renowned brands such as Klipsch</w:t>
      </w:r>
      <w:r>
        <w:rPr>
          <w:rFonts w:ascii="Arial" w:cs="Arial" w:eastAsia="Arial" w:hAnsi="Arial"/>
          <w:sz w:val="23"/>
          <w:szCs w:val="23"/>
          <w:color w:val="auto"/>
          <w:vertAlign w:val="superscript"/>
        </w:rPr>
        <w:t>®</w:t>
      </w:r>
      <w:r>
        <w:rPr>
          <w:rFonts w:ascii="Arial" w:cs="Arial" w:eastAsia="Arial" w:hAnsi="Arial"/>
          <w:sz w:val="18"/>
          <w:szCs w:val="18"/>
          <w:color w:val="auto"/>
        </w:rPr>
        <w:t>, Onkyo</w:t>
      </w:r>
      <w:r>
        <w:rPr>
          <w:rFonts w:ascii="Arial" w:cs="Arial" w:eastAsia="Arial" w:hAnsi="Arial"/>
          <w:sz w:val="23"/>
          <w:szCs w:val="23"/>
          <w:color w:val="auto"/>
          <w:vertAlign w:val="superscript"/>
        </w:rPr>
        <w:t>®</w:t>
      </w:r>
      <w:r>
        <w:rPr>
          <w:rFonts w:ascii="Arial" w:cs="Arial" w:eastAsia="Arial" w:hAnsi="Arial"/>
          <w:sz w:val="18"/>
          <w:szCs w:val="18"/>
          <w:color w:val="auto"/>
        </w:rPr>
        <w:t>, and Integra</w:t>
      </w:r>
      <w:r>
        <w:rPr>
          <w:rFonts w:ascii="Arial" w:cs="Arial" w:eastAsia="Arial" w:hAnsi="Arial"/>
          <w:sz w:val="23"/>
          <w:szCs w:val="23"/>
          <w:color w:val="auto"/>
          <w:vertAlign w:val="superscript"/>
        </w:rPr>
        <w:t>®</w:t>
      </w:r>
      <w:r>
        <w:rPr>
          <w:rFonts w:ascii="Arial" w:cs="Arial" w:eastAsia="Arial" w:hAnsi="Arial"/>
          <w:sz w:val="18"/>
          <w:szCs w:val="18"/>
          <w:color w:val="auto"/>
        </w:rPr>
        <w:t>. The merger also included EyeLock LLC ("EyeLock®"), a majority-owned subsidiary of VOXX, which holds iris biometric technology through its 50% ownership interest in the BioCenturion LLC joint venture. This additional interest in BioCenturion LLC was acquired by the Company in a separate transaction as discussed below. The acquisition of VOXX is a strategic addition to the Company's portfolio of products, as VOXX's product lines will both compliment the Company's existing businesses and help Gentex continue to expand in the consumer technology and connected home space. The Company will also gain broader access to the EyeLock® iris biometric technology, which will provide further product applications in the Gentex automotive, aerospace, and medical markets.</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summarizes the preliminary allocation of the purchase price based on the fair value of the assets acquired and liabilities assumed, as of the Closing Date. The fair value of the Class A Common</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29" w:name="page30"/>
    <w:bookmarkEnd w:id="29"/>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60" w:type="dxa"/>
            <w:vAlign w:val="bottom"/>
          </w:tcPr>
          <w:p>
            <w:pPr>
              <w:spacing w:after="0"/>
              <w:rPr>
                <w:sz w:val="20"/>
                <w:szCs w:val="20"/>
                <w:color w:val="auto"/>
              </w:rPr>
            </w:pPr>
            <w:r>
              <w:rPr>
                <w:rFonts w:ascii="Arial" w:cs="Arial" w:eastAsia="Arial" w:hAnsi="Arial"/>
                <w:sz w:val="18"/>
                <w:szCs w:val="18"/>
                <w:color w:val="auto"/>
              </w:rPr>
              <w:t>Stock acquired through this step acquisition is included in the totals presented below:</w:t>
            </w:r>
          </w:p>
        </w:tc>
        <w:tc>
          <w:tcPr>
            <w:tcW w:w="3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66"/>
        </w:trPr>
        <w:tc>
          <w:tcPr>
            <w:tcW w:w="7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29"/>
        </w:trPr>
        <w:tc>
          <w:tcPr>
            <w:tcW w:w="7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April 1, 2025</w:t>
            </w:r>
          </w:p>
        </w:tc>
      </w:tr>
      <w:tr>
        <w:trPr>
          <w:trHeight w:val="250"/>
        </w:trPr>
        <w:tc>
          <w:tcPr>
            <w:tcW w:w="7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460" w:type="dxa"/>
            <w:vAlign w:val="bottom"/>
          </w:tcPr>
          <w:p>
            <w:pPr>
              <w:ind w:left="160"/>
              <w:spacing w:after="0"/>
              <w:rPr>
                <w:sz w:val="20"/>
                <w:szCs w:val="20"/>
                <w:color w:val="auto"/>
              </w:rPr>
            </w:pPr>
            <w:r>
              <w:rPr>
                <w:rFonts w:ascii="Arial" w:cs="Arial" w:eastAsia="Arial" w:hAnsi="Arial"/>
                <w:sz w:val="18"/>
                <w:szCs w:val="18"/>
                <w:color w:val="auto"/>
              </w:rPr>
              <w:t>Cash paid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148,256,998</w:t>
            </w:r>
          </w:p>
        </w:tc>
      </w:tr>
      <w:tr>
        <w:trPr>
          <w:trHeight w:val="229"/>
        </w:trPr>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cash acquired</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(9,077,136)</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Total cash paid, net</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139,179,862</w:t>
            </w:r>
          </w:p>
        </w:tc>
      </w:tr>
      <w:tr>
        <w:trPr>
          <w:trHeight w:val="229"/>
        </w:trPr>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previously held investment in VOXX</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48,478,560</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Total transaction consideration,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187,658,422</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7"/>
        </w:trPr>
        <w:tc>
          <w:tcPr>
            <w:tcW w:w="7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Preliminary Allocation:</w:t>
            </w: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74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56,719,726</w:t>
            </w:r>
          </w:p>
        </w:tc>
      </w:tr>
      <w:tr>
        <w:trPr>
          <w:trHeight w:val="230"/>
        </w:trPr>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96,718,000</w:t>
            </w:r>
          </w:p>
        </w:tc>
      </w:tr>
      <w:tr>
        <w:trPr>
          <w:trHeight w:val="229"/>
        </w:trPr>
        <w:tc>
          <w:tcPr>
            <w:tcW w:w="74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20,294,973</w:t>
            </w:r>
          </w:p>
        </w:tc>
      </w:tr>
      <w:tr>
        <w:trPr>
          <w:trHeight w:val="229"/>
        </w:trPr>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recoverable</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5,243,038</w:t>
            </w:r>
          </w:p>
        </w:tc>
      </w:tr>
      <w:tr>
        <w:trPr>
          <w:trHeight w:val="230"/>
        </w:trPr>
        <w:tc>
          <w:tcPr>
            <w:tcW w:w="746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44,977,000</w:t>
            </w:r>
          </w:p>
        </w:tc>
      </w:tr>
      <w:tr>
        <w:trPr>
          <w:trHeight w:val="229"/>
        </w:trPr>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investment</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19,000,000</w:t>
            </w:r>
          </w:p>
        </w:tc>
      </w:tr>
      <w:tr>
        <w:trPr>
          <w:trHeight w:val="229"/>
        </w:trPr>
        <w:tc>
          <w:tcPr>
            <w:tcW w:w="7460" w:type="dxa"/>
            <w:vAlign w:val="bottom"/>
          </w:tcPr>
          <w:p>
            <w:pPr>
              <w:ind w:left="160"/>
              <w:spacing w:after="0"/>
              <w:rPr>
                <w:sz w:val="20"/>
                <w:szCs w:val="20"/>
                <w:color w:val="auto"/>
              </w:rPr>
            </w:pPr>
            <w:r>
              <w:rPr>
                <w:rFonts w:ascii="Arial" w:cs="Arial" w:eastAsia="Arial" w:hAnsi="Arial"/>
                <w:sz w:val="18"/>
                <w:szCs w:val="18"/>
                <w:color w:val="auto"/>
              </w:rPr>
              <w:t>Deferred tax asset</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32,537,099</w:t>
            </w:r>
          </w:p>
        </w:tc>
      </w:tr>
      <w:tr>
        <w:trPr>
          <w:trHeight w:val="230"/>
        </w:trPr>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right of use assets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5,404,163</w:t>
            </w:r>
          </w:p>
        </w:tc>
      </w:tr>
      <w:tr>
        <w:trPr>
          <w:trHeight w:val="229"/>
        </w:trPr>
        <w:tc>
          <w:tcPr>
            <w:tcW w:w="7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3,445,075</w:t>
            </w:r>
          </w:p>
        </w:tc>
      </w:tr>
      <w:tr>
        <w:trPr>
          <w:trHeight w:val="223"/>
        </w:trPr>
        <w:tc>
          <w:tcPr>
            <w:tcW w:w="7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 acquired, excluding cash</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284,339,074</w:t>
            </w:r>
          </w:p>
        </w:tc>
      </w:tr>
      <w:tr>
        <w:trPr>
          <w:trHeight w:val="250"/>
        </w:trPr>
        <w:tc>
          <w:tcPr>
            <w:tcW w:w="7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assumed:</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4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31,347,556</w:t>
            </w:r>
          </w:p>
        </w:tc>
      </w:tr>
      <w:tr>
        <w:trPr>
          <w:trHeight w:val="230"/>
        </w:trPr>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38,740,969</w:t>
            </w:r>
          </w:p>
        </w:tc>
      </w:tr>
      <w:tr>
        <w:trPr>
          <w:trHeight w:val="229"/>
        </w:trPr>
        <w:tc>
          <w:tcPr>
            <w:tcW w:w="7460" w:type="dxa"/>
            <w:vAlign w:val="bottom"/>
          </w:tcPr>
          <w:p>
            <w:pPr>
              <w:ind w:left="160"/>
              <w:spacing w:after="0"/>
              <w:rPr>
                <w:sz w:val="20"/>
                <w:szCs w:val="20"/>
                <w:color w:val="auto"/>
              </w:rPr>
            </w:pPr>
            <w:r>
              <w:rPr>
                <w:rFonts w:ascii="Arial" w:cs="Arial" w:eastAsia="Arial" w:hAnsi="Arial"/>
                <w:sz w:val="18"/>
                <w:szCs w:val="18"/>
                <w:color w:val="auto"/>
              </w:rPr>
              <w:t>Accrued sales incentives</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13,031,777</w:t>
            </w:r>
          </w:p>
        </w:tc>
      </w:tr>
      <w:tr>
        <w:trPr>
          <w:trHeight w:val="230"/>
        </w:trPr>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684,033</w:t>
            </w:r>
          </w:p>
        </w:tc>
      </w:tr>
      <w:tr>
        <w:trPr>
          <w:trHeight w:val="230"/>
        </w:trPr>
        <w:tc>
          <w:tcPr>
            <w:tcW w:w="7460" w:type="dxa"/>
            <w:vAlign w:val="bottom"/>
          </w:tcPr>
          <w:p>
            <w:pPr>
              <w:ind w:left="160"/>
              <w:spacing w:after="0"/>
              <w:rPr>
                <w:sz w:val="20"/>
                <w:szCs w:val="20"/>
                <w:color w:val="auto"/>
              </w:rPr>
            </w:pPr>
            <w:r>
              <w:rPr>
                <w:rFonts w:ascii="Arial" w:cs="Arial" w:eastAsia="Arial" w:hAnsi="Arial"/>
                <w:sz w:val="18"/>
                <w:szCs w:val="18"/>
                <w:color w:val="auto"/>
              </w:rPr>
              <w:t>Debt</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3,909,290</w:t>
            </w:r>
          </w:p>
        </w:tc>
      </w:tr>
      <w:tr>
        <w:trPr>
          <w:trHeight w:val="230"/>
        </w:trPr>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tax liabilities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791,593</w:t>
            </w:r>
          </w:p>
        </w:tc>
      </w:tr>
      <w:tr>
        <w:trPr>
          <w:trHeight w:val="230"/>
        </w:trPr>
        <w:tc>
          <w:tcPr>
            <w:tcW w:w="746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3,435,604</w:t>
            </w:r>
          </w:p>
        </w:tc>
      </w:tr>
      <w:tr>
        <w:trPr>
          <w:trHeight w:val="229"/>
        </w:trPr>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1,260,830</w:t>
            </w:r>
          </w:p>
        </w:tc>
      </w:tr>
      <w:tr>
        <w:trPr>
          <w:trHeight w:val="223"/>
        </w:trPr>
        <w:tc>
          <w:tcPr>
            <w:tcW w:w="7460" w:type="dxa"/>
            <w:vAlign w:val="bottom"/>
          </w:tcPr>
          <w:p>
            <w:pPr>
              <w:ind w:left="320"/>
              <w:spacing w:after="0"/>
              <w:rPr>
                <w:sz w:val="20"/>
                <w:szCs w:val="20"/>
                <w:color w:val="auto"/>
              </w:rPr>
            </w:pPr>
            <w:r>
              <w:rPr>
                <w:rFonts w:ascii="Arial" w:cs="Arial" w:eastAsia="Arial" w:hAnsi="Arial"/>
                <w:sz w:val="18"/>
                <w:szCs w:val="18"/>
                <w:color w:val="auto"/>
              </w:rPr>
              <w:t>Total liabilities assumed</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93,201,652</w:t>
            </w:r>
          </w:p>
        </w:tc>
      </w:tr>
      <w:tr>
        <w:trPr>
          <w:trHeight w:val="270"/>
        </w:trPr>
        <w:tc>
          <w:tcPr>
            <w:tcW w:w="74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r>
      <w:tr>
        <w:trPr>
          <w:trHeight w:val="23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Redeemable and non-redeemable non-controlling interests in consolidated subsidiaries</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3,479,000</w:t>
            </w:r>
          </w:p>
        </w:tc>
      </w:tr>
      <w:tr>
        <w:trPr>
          <w:trHeight w:val="250"/>
        </w:trPr>
        <w:tc>
          <w:tcPr>
            <w:tcW w:w="7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Net assets acquired, excluding cash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187,658,422</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7"/>
        </w:trPr>
        <w:tc>
          <w:tcPr>
            <w:tcW w:w="7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preliminary fair values of the assets acquired were estimated with the assistance of a third-party valuation expert. The purchase price allocation above is preliminary, given the relatively recent timing of the Closing Date. The Company is in the process of refining the valuation of acquired assets and assumed liabilities, including net working capital, real property, equity method investments, and non-controlling</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30" w:name="page31"/>
    <w:bookmarkEnd w:id="30"/>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interests, and expect to finalize the purchase price allocation no later than one year after the acquisition date, which is April 1, 2026, in accordance with applicable guidance. Finalization of the valuation during the measurement period could result in significant changes in the amounts recorded for the acquisition date fair value.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attributable to VOXX in the Company's Unaudited Condensed Consolidated Statement of Income for the three and six months ended June 30, 2025 were $78.8 million. The net loss attributable to Voxx for the three and six months ended June 30, 2025</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was $4.0 million</w:t>
      </w:r>
      <w:r>
        <w:rPr>
          <w:rFonts w:ascii="Arial" w:cs="Arial" w:eastAsia="Arial" w:hAnsi="Arial"/>
          <w:sz w:val="21"/>
          <w:szCs w:val="21"/>
          <w:color w:val="auto"/>
        </w:rPr>
        <w:t>.</w:t>
      </w:r>
      <w:r>
        <w:rPr>
          <w:rFonts w:ascii="Arial" w:cs="Arial" w:eastAsia="Arial" w:hAnsi="Arial"/>
          <w:sz w:val="18"/>
          <w:szCs w:val="18"/>
          <w:color w:val="auto"/>
        </w:rPr>
        <w:t xml:space="preserve"> During the three and six months ended June 30, 2025, the Company incurred $2.3 million and $3.1 million, respectively, in acquisition costs related to the VOXX acquisition, which has been expensed as incurred in the "Selling, general &amp; administrative" section of its Unaudited Condensed Consolidated Statement of Income. VOXX's results of operations are included in the consolidated financial statements of the Company within the Automotive, Premium Audio, Aftermarket, Consumer Electronics, and Biometrics operating segments. The Aftermarket, Consumer Electronics, and Biometrics operating segments are presented within the Company's Other reportable segment.</w:t>
      </w:r>
    </w:p>
    <w:p>
      <w:pPr>
        <w:spacing w:after="0" w:line="21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non-controlling interests included in the net assets acquired in the transaction are comprised of a redeemable non-controlling interest in VOXX's Onkyo subsidiary, and a non-redeemable non-controlling interest in its EyeLock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subsidiary. In conjunction with VOXX's acquisition of Onkyo, a joint venture was formed between VOXX's wholly-owned Premium Audio Company ("PAC") subsidiary and its partner Sharp Corporation ("Sharp"). PAC owns 77.2% of the joint venture and has an 85.1% voting interest and Sharp owns 22.8% of the joint venture and has a 14.9% voting interest. The joint venture agreement between PAC and Sharp contains a put/call option, whereby Sharp has the right to put its interest in the joint venture back to VOXX and VOXX has the right to call Sharp’s ownership interest in the joint venture at any time after the approval of Onkyo’s annual financial statements for the year ending February 28, 2025, at a purchase price based on a formula as defined in the joint venture agreement.</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Onkyo non-controlling interest has been classified as redeemable non-controlling interest outside of equity on the accompanying Unaudited Condensed Consolidated Balance Sheet as the exercise of the put/call option is not within VOXX’s control. The following table provides the rollforward of the redeemable non-controlling interest for the six months ended June 30,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Redeemable Non-controlling Interest</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Balance at January 1, 2025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3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5980" w:type="dxa"/>
            <w:vAlign w:val="bottom"/>
            <w:shd w:val="clear" w:color="auto" w:fill="CCEEFF"/>
          </w:tcPr>
          <w:p>
            <w:pPr>
              <w:ind w:left="160"/>
              <w:spacing w:after="0" w:line="183" w:lineRule="exact"/>
              <w:rPr>
                <w:sz w:val="20"/>
                <w:szCs w:val="20"/>
                <w:color w:val="auto"/>
              </w:rPr>
            </w:pPr>
            <w:r>
              <w:rPr>
                <w:rFonts w:ascii="Arial" w:cs="Arial" w:eastAsia="Arial" w:hAnsi="Arial"/>
                <w:sz w:val="18"/>
                <w:szCs w:val="18"/>
                <w:color w:val="auto"/>
              </w:rPr>
              <w:t>Acquisition of redeemable non-controlling interest at fair value on April 1,</w:t>
            </w:r>
          </w:p>
        </w:tc>
        <w:tc>
          <w:tcPr>
            <w:tcW w:w="240" w:type="dxa"/>
            <w:vAlign w:val="bottom"/>
            <w:shd w:val="clear" w:color="auto" w:fill="CCEEFF"/>
          </w:tcPr>
          <w:p>
            <w:pPr>
              <w:spacing w:after="0"/>
              <w:rPr>
                <w:sz w:val="15"/>
                <w:szCs w:val="15"/>
                <w:color w:val="auto"/>
              </w:rPr>
            </w:pPr>
          </w:p>
        </w:tc>
        <w:tc>
          <w:tcPr>
            <w:tcW w:w="3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2,823,000</w:t>
            </w:r>
          </w:p>
        </w:tc>
        <w:tc>
          <w:tcPr>
            <w:tcW w:w="0" w:type="dxa"/>
            <w:vAlign w:val="bottom"/>
          </w:tcPr>
          <w:p>
            <w:pPr>
              <w:spacing w:after="0"/>
              <w:rPr>
                <w:sz w:val="1"/>
                <w:szCs w:val="1"/>
                <w:color w:val="auto"/>
              </w:rPr>
            </w:pPr>
          </w:p>
        </w:tc>
      </w:tr>
      <w:tr>
        <w:trPr>
          <w:trHeight w:val="235"/>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20"/>
                <w:szCs w:val="20"/>
                <w:color w:val="auto"/>
              </w:rPr>
            </w:pPr>
          </w:p>
        </w:tc>
        <w:tc>
          <w:tcPr>
            <w:tcW w:w="36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(332,739)</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2025</w:t>
            </w:r>
          </w:p>
        </w:tc>
        <w:tc>
          <w:tcPr>
            <w:tcW w:w="240" w:type="dxa"/>
            <w:vAlign w:val="bottom"/>
            <w:tcBorders>
              <w:bottom w:val="single" w:sz="8" w:color="auto"/>
            </w:tcBorders>
            <w:shd w:val="clear" w:color="auto" w:fill="CCEEFF"/>
          </w:tcPr>
          <w:p>
            <w:pPr>
              <w:spacing w:after="0"/>
              <w:rPr>
                <w:sz w:val="21"/>
                <w:szCs w:val="21"/>
                <w:color w:val="auto"/>
              </w:rPr>
            </w:pPr>
          </w:p>
        </w:tc>
        <w:tc>
          <w:tcPr>
            <w:tcW w:w="3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2,490,261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GalvanEyes LLC</w:t>
      </w:r>
    </w:p>
    <w:p>
      <w:pPr>
        <w:spacing w:after="0" w:line="25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November 2024, the Company, in the ordinary course of business, acquired GalvanEyes LLC, ("GalvanEyes") which is the managing partner and 50% owner of the BioCenturion joint venture with Eyelock</w:t>
      </w:r>
      <w:r>
        <w:rPr>
          <w:rFonts w:ascii="Arial" w:cs="Arial" w:eastAsia="Arial" w:hAnsi="Arial"/>
          <w:sz w:val="23"/>
          <w:szCs w:val="23"/>
          <w:color w:val="auto"/>
          <w:vertAlign w:val="superscript"/>
        </w:rPr>
        <w:t>®</w:t>
      </w:r>
      <w:r>
        <w:rPr>
          <w:rFonts w:ascii="Arial" w:cs="Arial" w:eastAsia="Arial" w:hAnsi="Arial"/>
          <w:sz w:val="18"/>
          <w:szCs w:val="18"/>
          <w:color w:val="auto"/>
        </w:rPr>
        <w:t>. The Company paid $2.9 million in cash, as well as an earnout over the next fifteen calendar years, not to exceed $15 million in the aggregate, for which the acquisition date fair value is estimated at $1.5 million. The earnout is based on adjusted earnings before interest and taxes. The Company has accounted for the acquisition under the provisions of ASC 805. The Company is still in the process of verifying data and finalizing information related to the valuation and recording of identifiable intangible assets, net working capital, contingent liabilities, non-controlling interest, and the resulting effects on the amount of recorded goodwill. The Company expects to finalize these matters within the measurement period in accordance with applicable guidance, which is currently expected to remain open through the third quarter of 2025. The Company has consolidated GalvanEyes, and the joint venture BioCenturion, in the Company's Consolidated Balance Sheets as of June 30, 2025, and December 31, 2024 in accordance with</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31" w:name="page32"/>
    <w:bookmarkEnd w:id="3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Approximately $0.2 million and $1.1 million of revenue and $0.6 million and $1.8 million of net loss of the business of GalvanEyes and BioCenturion is included in the Company's Unaudited Condensed Consolidated Statements of Income and Comprehensive Income for the three and six months ended June 30, 2025, in each case respectively. GalvanEyes and BioCenturion's results of operations are included in the consolidated financial statements of Gentex within its Biometrics operating segment, which is presented within the Company's Other reportable segment.</w:t>
      </w:r>
    </w:p>
    <w:p>
      <w:pPr>
        <w:spacing w:after="0" w:line="24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At December 31, 2024, the Company had $4.1 million in non-controlling interest related to BioCenturion. In conjunction with the acquisition of VOXX on April 1, 2025, the Company acquired VOXX's interest in BioCenturion through its majority ownership of Eyelock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cash consideration of $4.1 million. Prior to the acquisition of this additional equity interest, the Company's 50% interest in BioCenturion was accounted for as a variable interest entity for which Gentex was the primary beneficiary, and was consolidated within the Company's financial statements, with the remaining 50% interest of BioCenturion presented within non-controlling interest.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BioConnect Inc.</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Subsequent to June 30, 2025, on July 1, 2025, in the ordinary course of business, the Company completed its acquisition of BioConnect Inc. ("BioConnect"), for a purchase price of $ 12.5 million, subject to adjustment for working capital plus related transaction fees and expenses. BioConnect is a multi-modal biometric authentication platform provider for access control, and the Company intends to utilize the acquisition to expand its reach in the biometric industry.</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proximity of the closing date of the BioConnect acquisition with the date of filing of this Quarterly Report on Form 10-Q, the initial accounting for the transaction is not yet completed. Significant, relevant information needed to complete the initial accounting, including the identification and measurement of the fair value of the assets and liabilities of BioConnect, is pending. As a result, it is not practicable to disclose the preliminary allocation of the purchase price to assets acquired and liabilities assumed, or to provide other related disclosures. The accounting impact of this acquisition and the operating results of BioConnect will be included in the consolidated financial statements beginning in the Company's third quarter of 2025.</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and six months ended June 30, 2025, the Company incurred $0.2 million in acquisition costs related to the BioConnect acquisition, which has been expensed as incurred in the "Selling, general &amp; administrative" section of its Unaudited Condensed Consolidated Statement of Income. BioConnect's results of operations will be included in the consolidated financial statements of Gentex within its Biometrics operating segment, which is presented within the Company's Other reportable segment.</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NON-GAAP MEASURES</w:t>
      </w:r>
    </w:p>
    <w:p>
      <w:pPr>
        <w:spacing w:after="0" w:line="5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The following discussion includes Adjusted Gross Profit, Adjusted Gross Margin, Adjusted Operating Expenses, Adjusted Income (Loss) from Operations, Adjusted Net Income (Loss) Attributable to Gentex Corporation, and Adjusted Earnings per Diluted Share Attributable to Gentex Corporation, which are non-GAAP measures. See section </w:t>
      </w:r>
      <w:r>
        <w:rPr>
          <w:rFonts w:ascii="Arial" w:cs="Arial" w:eastAsia="Arial" w:hAnsi="Arial"/>
          <w:sz w:val="18"/>
          <w:szCs w:val="18"/>
          <w:u w:val="single" w:color="auto"/>
          <w:color w:val="0000FF"/>
        </w:rPr>
        <w:t>Non-GAAP Financial Measures</w:t>
      </w:r>
      <w:r>
        <w:rPr>
          <w:rFonts w:ascii="Arial" w:cs="Arial" w:eastAsia="Arial" w:hAnsi="Arial"/>
          <w:sz w:val="18"/>
          <w:szCs w:val="18"/>
          <w:color w:val="auto"/>
        </w:rPr>
        <w:t xml:space="preserve"> for the most directly comparable GAAP measures, definitions of these terms, and reconciliations between such non-GAAP measures and the most directly comparable GAAP measures, as well as a discussion of why the Company believes this non-GAAP information is useful to investors and how management uses such non-GAAP information.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SECOND QUARTER 2025 VERSUS SECOND QUARTER 2024</w:t>
      </w:r>
    </w:p>
    <w:p>
      <w:pPr>
        <w:spacing w:after="0" w:line="15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net sales for the second quarter of 2025 increased by $84.9 million or 15%, when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2024, which did not include VOXX. Gentex completed its acquisition of VOXX on April 1, 2025, which contributed $78.8 million of revenue for the second quarter of 2025. Core Gentex revenue (excluding VOXX) was $579.0 million in the second quarter of 2025, which was a 1% increase versus the second quarter of 2024, in comparison to light vehicle production in the Company's primary markets that decreased by approximately 2% in the second quarter of 2025 versus the second quarter of 2024.</w:t>
      </w:r>
    </w:p>
    <w:p>
      <w:pPr>
        <w:spacing w:after="0" w:line="9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Core Gentex Automotive net sales (excluding VOXX) for the second quarter of 2025 were $ 566.5 million, a 1% increase when compared with automotive net sales of $559.3 million in the second quarter of 2024. The 5% decrease in automotive mirror unit shipments in the second quarter of 2025 to 11.6 million units, compared with 12.2 million units in the second quarter of 2024, was driven by a 13% quarter over quarter decrease in exterior auto-dimming mirror unit shipments, while total interior auto-dimming mirror unit shipments were relatively flat quarter over quarter.</w:t>
      </w:r>
    </w:p>
    <w:p>
      <w:pPr>
        <w:spacing w:after="0" w:line="206" w:lineRule="exact"/>
        <w:rPr>
          <w:sz w:val="20"/>
          <w:szCs w:val="20"/>
          <w:color w:val="auto"/>
        </w:rPr>
      </w:pPr>
    </w:p>
    <w:p>
      <w:pPr>
        <w:ind w:left="660" w:right="220"/>
        <w:spacing w:after="0" w:line="287"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and six months ended June 30, 2025, and 2024 </w:t>
      </w:r>
      <w:r>
        <w:rPr>
          <w:rFonts w:ascii="Arial" w:cs="Arial" w:eastAsia="Arial" w:hAnsi="Arial"/>
          <w:sz w:val="18"/>
          <w:szCs w:val="18"/>
          <w:i w:val="1"/>
          <w:iCs w:val="1"/>
          <w:color w:val="auto"/>
        </w:rPr>
        <w:t>(in thousands):</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33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Three Months Ended June 30,</w:t>
            </w:r>
          </w:p>
        </w:tc>
        <w:tc>
          <w:tcPr>
            <w:tcW w:w="31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2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(5)%</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4,470</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4,608</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3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5"/>
              </w:rPr>
              <w:t>(11)%</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2,895</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3,326</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(13)%</w:t>
            </w:r>
          </w:p>
        </w:tc>
      </w:tr>
      <w:tr>
        <w:trPr>
          <w:trHeight w:val="223"/>
        </w:trPr>
        <w:tc>
          <w:tcPr>
            <w:tcW w:w="3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Total North American Mirror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(8)%</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7,365</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7,934</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70"/>
        </w:trPr>
        <w:tc>
          <w:tcPr>
            <w:tcW w:w="3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2%</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10,453</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10,744</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3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(15)%</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5,300</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5,978</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(11)%</w:t>
            </w:r>
          </w:p>
        </w:tc>
      </w:tr>
      <w:tr>
        <w:trPr>
          <w:trHeight w:val="223"/>
        </w:trPr>
        <w:tc>
          <w:tcPr>
            <w:tcW w:w="3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International Mirror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(4)%</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15,753</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16,721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70"/>
        </w:trPr>
        <w:tc>
          <w:tcPr>
            <w:tcW w:w="3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14,923</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15,352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2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(13)%</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8,194</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9,304</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(12)%</w:t>
            </w:r>
          </w:p>
        </w:tc>
      </w:tr>
      <w:tr>
        <w:trPr>
          <w:trHeight w:val="248"/>
        </w:trPr>
        <w:tc>
          <w:tcPr>
            <w:tcW w:w="3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Total Auto-Dimming Mirror Units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center"/>
              <w:ind w:right="52"/>
              <w:spacing w:after="0"/>
              <w:rPr>
                <w:sz w:val="20"/>
                <w:szCs w:val="20"/>
                <w:color w:val="auto"/>
              </w:rPr>
            </w:pPr>
            <w:r>
              <w:rPr>
                <w:rFonts w:ascii="Arial" w:cs="Arial" w:eastAsia="Arial" w:hAnsi="Arial"/>
                <w:sz w:val="18"/>
                <w:szCs w:val="18"/>
                <w:color w:val="auto"/>
                <w:w w:val="99"/>
              </w:rPr>
              <w:t>(5)%</w:t>
            </w:r>
          </w:p>
        </w:tc>
        <w:tc>
          <w:tcPr>
            <w:tcW w:w="11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23,118</w:t>
            </w: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24,655</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50"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Core Gentex Other net sales (excluding VOXX) were $12.5 million in the second quarter of 2025, compared to $13.6 million in the second quarter of 2024, a decrease of 8%. Other net sales for the second quarter of 2025 included biometric product sales of $0.2 million generated from the Company's GalvanEyes subsidiary (acquired in the fourth quarter of 2024), which owned 100% of BioCenturion in the second quarter of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3" w:name="page34"/>
    <w:bookmarkEnd w:id="33"/>
    <w:p>
      <w:pPr>
        <w:jc w:val="both"/>
        <w:ind w:left="660"/>
        <w:spacing w:after="0" w:line="262" w:lineRule="auto"/>
        <w:rPr>
          <w:sz w:val="20"/>
          <w:szCs w:val="20"/>
          <w:color w:val="auto"/>
        </w:rPr>
      </w:pPr>
      <w:r>
        <w:rPr>
          <w:rFonts w:ascii="Arial" w:cs="Arial" w:eastAsia="Arial" w:hAnsi="Arial"/>
          <w:sz w:val="18"/>
          <w:szCs w:val="18"/>
          <w:color w:val="auto"/>
        </w:rPr>
        <w:t>as well as $0.2 million in sales of medical devices from the previously acquired eSight Go product line, which as previously announced, began shipments during the third quarter of 2024. Fire protection sales were $8.1 million in the second quarter of 2025, compared to $7.4 million in the same quarter of last year. Dimmable aircraft sales decreased during the second quarter of 2025 to $4.0 million, compared to $6.3 million in the same quarter of last year.</w:t>
      </w:r>
    </w:p>
    <w:p>
      <w:pPr>
        <w:spacing w:after="0" w:line="203"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decreased to 65.8% for the second quarter of 2025, versus</w:t>
      </w:r>
      <w:r>
        <w:rPr>
          <w:rFonts w:ascii="Arial" w:cs="Arial" w:eastAsia="Arial" w:hAnsi="Arial"/>
          <w:sz w:val="18"/>
          <w:szCs w:val="18"/>
          <w:i w:val="1"/>
          <w:iCs w:val="1"/>
          <w:color w:val="auto"/>
        </w:rPr>
        <w:t xml:space="preserve"> </w:t>
      </w:r>
      <w:r>
        <w:rPr>
          <w:rFonts w:ascii="Arial" w:cs="Arial" w:eastAsia="Arial" w:hAnsi="Arial"/>
          <w:sz w:val="18"/>
          <w:szCs w:val="18"/>
          <w:color w:val="auto"/>
        </w:rPr>
        <w:t>67.1% in the same quarter last year, which did not include VOXX. The quarter over quarter increase in the gross margin resulted primarily from purchasing cost reductions, improved product mix, and operational efficiencies, which were partially offset by tariff related costs that were not reimbursed in the quarter. The core Gentex gross margin (excluding VOXX) was 35.3%, representing a 240 basis-point increase compared to the second quarter of 2024. The consolidated adjusted gross margin was 34.6%, reflecting the exclusion of a $2.5 million expense related to purchase accounting adjustments recorded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in connection with the VOXX acquisition.</w:t>
      </w:r>
    </w:p>
    <w:p>
      <w:pPr>
        <w:spacing w:after="0" w:line="11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Total operating expenses were $ 106.8 million in the second quarter of 2025, an increase of 45% quarter over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or $33.1 million, compared to $73.7 million in the second quarter of 2024, which did not include VOXX. The increase was primarily due to the VOXX acquisition, which accounted for $ 23.9 million of the increase (excluding acquisition and severance costs). Additionally, in the second quarter of 2025, the Company incurred $2.5 million in acquisition-related costs and $6.8 million in severance related expenses, neither of which were present in the second quarter of 2024. Core Gentex operating expenses (excluding VOXX) were $80.7 million compared to $73.7 million during the second quarter of 2024. The increase in core Gentex operating expenses included $1.0 million in acquisition-related costs and $6.2 million attributable to Gentex-specific severance expenses.</w:t>
      </w:r>
    </w:p>
    <w:p>
      <w:pPr>
        <w:spacing w:after="0" w:line="21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Engineering, research and development ("E, R &amp; D") expenses for the second quarter of 2025 increased by $7.5 million, when compared with the second quarter of 2024, primarily due to the VOXX acquisition, as well as staffing and engineering related professional fees.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FAAC16"/>
        </w:rPr>
        <w:t>.</w:t>
      </w:r>
    </w:p>
    <w:p>
      <w:pPr>
        <w:spacing w:after="0" w:line="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Selling, general and administrative ("S, G &amp; A") expenses increased by 63% or $18.8 million for the second quarter of 2025, compared to the second quarter of 2024, primarily due to the VOXX acquisition. S, G &amp; A expenses were approximately 7% of net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in the second quarter of 2025, compared to 5% in the second quarter of 2024, which did not include VOXX.</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i w:val="1"/>
          <w:iCs w:val="1"/>
          <w:u w:val="single" w:color="auto"/>
          <w:color w:val="auto"/>
        </w:rPr>
        <w:t>Total Other Loss, Net.</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loss, net for the second quarter of 2025 was $3.0 million, when compared with $13.6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2024. During the second quarter of 2025, the total other loss included an impairment of $6.2 million related to one of the Company's equity method investments. In comparison, total other loss, net, in the second quarter of 2024 included a $16.6 million loss resulting from the fair value adjustment of its investment in VOXX.</w:t>
      </w:r>
    </w:p>
    <w:p>
      <w:pPr>
        <w:spacing w:after="0" w:line="136" w:lineRule="exact"/>
        <w:rPr>
          <w:sz w:val="20"/>
          <w:szCs w:val="20"/>
          <w:color w:val="auto"/>
        </w:rPr>
      </w:pPr>
    </w:p>
    <w:p>
      <w:pPr>
        <w:jc w:val="both"/>
        <w:ind w:left="660"/>
        <w:spacing w:after="0"/>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17.2% for, and an income tax expense of $19.8 million was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2025, compared to an effective tax rate of 15.1% for, and an income tax expense of $15.3 million recorded in, the same quarter of 2024. The quarter over quarter change in the effective tax rate was driven by lower tax benefits on stock-based compensation in the second quarter of 2025, compared to the second quarter of 2024, as well as reduced quarter over quarter</w:t>
      </w:r>
    </w:p>
    <w:p>
      <w:pPr>
        <w:jc w:val="both"/>
        <w:ind w:left="660"/>
        <w:spacing w:after="0" w:line="237" w:lineRule="auto"/>
        <w:rPr>
          <w:sz w:val="20"/>
          <w:szCs w:val="20"/>
          <w:color w:val="auto"/>
        </w:rPr>
      </w:pPr>
      <w:r>
        <w:rPr>
          <w:rFonts w:ascii="Arial" w:cs="Arial" w:eastAsia="Arial" w:hAnsi="Arial"/>
          <w:sz w:val="18"/>
          <w:szCs w:val="18"/>
          <w:color w:val="auto"/>
        </w:rPr>
        <w:t>benefit from the FDII deduction. Generally, effective tax rates for the Company differ from statutory federal income tax rates, due to provisions for state and local income taxes, the FDII deduction, and research and development tax credits.</w:t>
      </w:r>
    </w:p>
    <w:p>
      <w:pPr>
        <w:spacing w:after="0" w:line="12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u w:val="single" w:color="auto"/>
          <w:color w:val="auto"/>
        </w:rPr>
        <w:t>Net Income Attributable to Gentex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attributable to Gentex for the second quarter of 2025 was $ 96.0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up 12% from a net income attributable to Gentex of $86.0 million in the second quarter of 2024, which did not include VOXX. The increase in net income for the second quarter of 2025 was driven by higher income from operations, supported by gross margin expansion. </w:t>
      </w:r>
      <w:r>
        <w:rPr>
          <w:rFonts w:ascii="Arial" w:cs="Arial" w:eastAsia="Arial" w:hAnsi="Arial"/>
          <w:sz w:val="19"/>
          <w:szCs w:val="19"/>
          <w:color w:val="auto"/>
        </w:rPr>
        <w:t>C</w:t>
      </w:r>
      <w:r>
        <w:rPr>
          <w:rFonts w:ascii="Arial" w:cs="Arial" w:eastAsia="Arial" w:hAnsi="Arial"/>
          <w:sz w:val="18"/>
          <w:szCs w:val="18"/>
          <w:color w:val="auto"/>
        </w:rPr>
        <w:t>onsolidated adjusted net income attributable to Gentex of $105.8 million was up 23% on a quarter-over-quarter basis, when adjusted for acquisition-related expenses and severance costs.</w:t>
      </w:r>
    </w:p>
    <w:p>
      <w:pPr>
        <w:spacing w:after="0" w:line="11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i w:val="1"/>
          <w:iCs w:val="1"/>
          <w:u w:val="single" w:color="auto"/>
          <w:color w:val="auto"/>
        </w:rPr>
        <w:t>Earnings Per Share Attributable to Gentex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attributable to Gentex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2025 of $ 0.43, which compared to earnings per diluted share of $0.37 for the second quarter of 2024, which did not include VOXX. Adjusted earnings per diluted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color w:val="auto"/>
        </w:rPr>
        <w:t>share attributable to Gentex was $0.47, a 27% increase when adjusted for acquisition-related expenses and severance costs.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Financial information for the three months ended June 30, 2025 is provided in accordance with Generally Accepted Accounting Principles ("GAAP"). In addition, the Company believes that it is useful for the three months ended June 30, 2025 to provide certain non-GAAP measures, including Adjusted Gross Profit, Adjusted Gross Margin, Adjusted Operating Expenses, Adjusted Income (Loss) from Operations, Adjusted Net Income (Loss) Attributable to Gentex Corporation, and Adjusted Earnings per Diluted Share Attributable to Gentex Corporation, with the adjustments set forth in the "Reconciliation of Non-GAAP Measures" table below. This non-GAAP financial information allows investors to evaluate current performance in the Company's core business in relation to historical performance by excluding the impact of certain purchase price adjustments pursuant to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acquisition related costs, and severance costs set forth in the table below.</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believes that the presentation of these non-GAAP financial measures provides insight into the Company's core performance and trends with respect to the same. Management of the Company similarly uses such non-GAAP financial measures in assessing the business internally. A reconciliation of Adjusted Gross Profit, Adjusted Gross Margin, Adjusted Operating Expenses, Adjusted Income (Loss) from Operations, Adjusted Net Income (Loss) Attributable to Gentex Corporation, and Adjusted Earnings per Diluted Share Attributable to Gentex Corporation to the most directly comparable GAAP measures is provided in the attached "Reconciliation of non-GAAP Measures" tables below. Like all non-GAAP financial measures, these non-GAAP measures are intended to</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35" w:name="page36"/>
    <w:bookmarkEnd w:id="35"/>
    <w:p>
      <w:pPr>
        <w:jc w:val="both"/>
        <w:ind w:right="20"/>
        <w:spacing w:after="0" w:line="287" w:lineRule="auto"/>
        <w:rPr>
          <w:sz w:val="20"/>
          <w:szCs w:val="20"/>
          <w:color w:val="auto"/>
        </w:rPr>
      </w:pPr>
      <w:r>
        <w:rPr>
          <w:rFonts w:ascii="Arial" w:cs="Arial" w:eastAsia="Arial" w:hAnsi="Arial"/>
          <w:sz w:val="18"/>
          <w:szCs w:val="18"/>
          <w:color w:val="auto"/>
        </w:rPr>
        <w:t>supplement, not to replace, GAAP measures. All non-GAAP financial measures are subject to inherent limitations because not all of the expenses required by GAAP are included.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40" w:type="dxa"/>
            <w:vAlign w:val="bottom"/>
            <w:shd w:val="clear" w:color="auto" w:fill="CCEEFF"/>
          </w:tcPr>
          <w:p>
            <w:pPr>
              <w:spacing w:after="0"/>
              <w:rPr>
                <w:sz w:val="19"/>
                <w:szCs w:val="19"/>
                <w:color w:val="auto"/>
              </w:rPr>
            </w:pPr>
          </w:p>
        </w:tc>
        <w:tc>
          <w:tcPr>
            <w:tcW w:w="3700" w:type="dxa"/>
            <w:vAlign w:val="bottom"/>
            <w:gridSpan w:val="8"/>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Non-GAAP Measures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0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12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380" w:type="dxa"/>
            <w:vAlign w:val="bottom"/>
            <w:gridSpan w:val="6"/>
            <w:shd w:val="clear" w:color="auto" w:fill="CCEEFF"/>
          </w:tcPr>
          <w:p>
            <w:pPr>
              <w:ind w:left="380"/>
              <w:spacing w:after="0"/>
              <w:rPr>
                <w:sz w:val="20"/>
                <w:szCs w:val="20"/>
                <w:color w:val="auto"/>
              </w:rPr>
            </w:pPr>
            <w:r>
              <w:rPr>
                <w:rFonts w:ascii="Arial" w:cs="Arial" w:eastAsia="Arial" w:hAnsi="Arial"/>
                <w:sz w:val="18"/>
                <w:szCs w:val="18"/>
                <w:b w:val="1"/>
                <w:bCs w:val="1"/>
                <w:color w:val="auto"/>
              </w:rPr>
              <w:t>Supplemental Information</w:t>
            </w:r>
          </w:p>
        </w:tc>
        <w:tc>
          <w:tcPr>
            <w:tcW w:w="320" w:type="dxa"/>
            <w:vAlign w:val="bottom"/>
            <w:shd w:val="clear" w:color="auto" w:fill="CCEEFF"/>
          </w:tcPr>
          <w:p>
            <w:pPr>
              <w:spacing w:after="0"/>
              <w:rPr>
                <w:sz w:val="19"/>
                <w:szCs w:val="19"/>
                <w:color w:val="auto"/>
              </w:rPr>
            </w:pPr>
          </w:p>
        </w:tc>
        <w:tc>
          <w:tcPr>
            <w:tcW w:w="3280" w:type="dxa"/>
            <w:vAlign w:val="bottom"/>
            <w:gridSpan w:val="4"/>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ind w:left="260"/>
              <w:spacing w:after="0"/>
              <w:rPr>
                <w:sz w:val="20"/>
                <w:szCs w:val="20"/>
                <w:color w:val="auto"/>
              </w:rPr>
            </w:pPr>
            <w:r>
              <w:rPr>
                <w:rFonts w:ascii="Arial" w:cs="Arial" w:eastAsia="Arial" w:hAnsi="Arial"/>
                <w:sz w:val="18"/>
                <w:szCs w:val="18"/>
                <w:b w:val="1"/>
                <w:bCs w:val="1"/>
                <w:color w:val="auto"/>
              </w:rPr>
              <w:t>Gentex</w:t>
            </w:r>
          </w:p>
        </w:tc>
        <w:tc>
          <w:tcPr>
            <w:tcW w:w="360" w:type="dxa"/>
            <w:vAlign w:val="bottom"/>
          </w:tcPr>
          <w:p>
            <w:pPr>
              <w:spacing w:after="0"/>
              <w:rPr>
                <w:sz w:val="19"/>
                <w:szCs w:val="19"/>
                <w:color w:val="auto"/>
              </w:rPr>
            </w:pPr>
          </w:p>
        </w:tc>
        <w:tc>
          <w:tcPr>
            <w:tcW w:w="1480" w:type="dxa"/>
            <w:vAlign w:val="bottom"/>
            <w:gridSpan w:val="3"/>
          </w:tcPr>
          <w:p>
            <w:pPr>
              <w:ind w:left="260"/>
              <w:spacing w:after="0"/>
              <w:rPr>
                <w:sz w:val="20"/>
                <w:szCs w:val="20"/>
                <w:color w:val="auto"/>
              </w:rPr>
            </w:pPr>
            <w:r>
              <w:rPr>
                <w:rFonts w:ascii="Arial" w:cs="Arial" w:eastAsia="Arial" w:hAnsi="Arial"/>
                <w:sz w:val="18"/>
                <w:szCs w:val="18"/>
                <w:b w:val="1"/>
                <w:bCs w:val="1"/>
                <w:color w:val="auto"/>
              </w:rPr>
              <w:t>VOXX</w:t>
            </w:r>
          </w:p>
        </w:tc>
        <w:tc>
          <w:tcPr>
            <w:tcW w:w="1840" w:type="dxa"/>
            <w:vAlign w:val="bottom"/>
            <w:gridSpan w:val="3"/>
          </w:tcPr>
          <w:p>
            <w:pPr>
              <w:ind w:left="80"/>
              <w:spacing w:after="0"/>
              <w:rPr>
                <w:sz w:val="20"/>
                <w:szCs w:val="20"/>
                <w:color w:val="auto"/>
              </w:rPr>
            </w:pPr>
            <w:r>
              <w:rPr>
                <w:rFonts w:ascii="Arial" w:cs="Arial" w:eastAsia="Arial" w:hAnsi="Arial"/>
                <w:sz w:val="18"/>
                <w:szCs w:val="18"/>
                <w:b w:val="1"/>
                <w:bCs w:val="1"/>
                <w:color w:val="auto"/>
              </w:rPr>
              <w:t>Consolidated 2025</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Consolidated 2024</w:t>
            </w:r>
          </w:p>
        </w:tc>
        <w:tc>
          <w:tcPr>
            <w:tcW w:w="0" w:type="dxa"/>
            <w:vAlign w:val="bottom"/>
          </w:tcPr>
          <w:p>
            <w:pPr>
              <w:spacing w:after="0"/>
              <w:rPr>
                <w:sz w:val="1"/>
                <w:szCs w:val="1"/>
                <w:color w:val="auto"/>
              </w:rPr>
            </w:pPr>
          </w:p>
        </w:tc>
      </w:tr>
      <w:tr>
        <w:trPr>
          <w:trHeight w:val="250"/>
        </w:trPr>
        <w:tc>
          <w:tcPr>
            <w:tcW w:w="39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Gross Profit - GAAP</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204,479,347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20,811,556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225,290,903</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188,563,309</w:t>
            </w:r>
          </w:p>
        </w:tc>
        <w:tc>
          <w:tcPr>
            <w:tcW w:w="0" w:type="dxa"/>
            <w:vAlign w:val="bottom"/>
          </w:tcPr>
          <w:p>
            <w:pPr>
              <w:spacing w:after="0"/>
              <w:rPr>
                <w:sz w:val="1"/>
                <w:szCs w:val="1"/>
                <w:color w:val="auto"/>
              </w:rPr>
            </w:pPr>
          </w:p>
        </w:tc>
      </w:tr>
      <w:tr>
        <w:trPr>
          <w:trHeight w:val="176"/>
        </w:trPr>
        <w:tc>
          <w:tcPr>
            <w:tcW w:w="3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Inventory purchase price step-up adjustments</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2,498,442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2,498,442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pursuance to ASC 805</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40" w:type="dxa"/>
            <w:vAlign w:val="bottom"/>
            <w:gridSpan w:val="2"/>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Adjusted Gross Profit - (Non-GAAP)</w:t>
            </w:r>
          </w:p>
        </w:tc>
        <w:tc>
          <w:tcPr>
            <w:tcW w:w="3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204,479,347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23,309,998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227,789,345</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188,563,309</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Gross Margin - GAAP</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34.2 %</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32.9 %</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Gross Margin - (Non-GAAP)</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34.6 %</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32.9 %</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 GAAP</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80,718,427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26,052,341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106,770,768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73,679,287</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Related Costs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957,207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1,515,844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2,473,051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Severance Costs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6,196,902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587,234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6,784,136</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Expenses - (Non-GAAP)</w:t>
            </w:r>
          </w:p>
        </w:tc>
        <w:tc>
          <w:tcPr>
            <w:tcW w:w="3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73,564,318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23,949,263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97,513,581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73,679,287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 - GAAP</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123,760,920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(5,240,785)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118,520,135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114,884,022</w:t>
            </w: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rPr>
              <w:t>Inventory purchase price step-up adjustments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2,498,442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vMerge w:val="restart"/>
          </w:tcPr>
          <w:p>
            <w:pPr>
              <w:jc w:val="right"/>
              <w:ind w:right="150"/>
              <w:spacing w:after="0"/>
              <w:rPr>
                <w:sz w:val="20"/>
                <w:szCs w:val="20"/>
                <w:color w:val="auto"/>
              </w:rPr>
            </w:pPr>
            <w:r>
              <w:rPr>
                <w:rFonts w:ascii="Arial" w:cs="Arial" w:eastAsia="Arial" w:hAnsi="Arial"/>
                <w:sz w:val="18"/>
                <w:szCs w:val="18"/>
                <w:color w:val="auto"/>
              </w:rPr>
              <w:t>2,498,442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pursuance to ASC 805</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Related Costs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957,207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1,515,844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2,473,051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Severance Costs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6,196,902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587,234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6,784,136</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9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Adjusted Income (Loss) from Operations -</w:t>
            </w: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130,915,029</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(639,265)</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130,275,764</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114,884,022</w:t>
            </w:r>
          </w:p>
        </w:tc>
        <w:tc>
          <w:tcPr>
            <w:tcW w:w="0" w:type="dxa"/>
            <w:vAlign w:val="bottom"/>
          </w:tcPr>
          <w:p>
            <w:pPr>
              <w:spacing w:after="0"/>
              <w:rPr>
                <w:sz w:val="1"/>
                <w:szCs w:val="1"/>
                <w:color w:val="auto"/>
              </w:rPr>
            </w:pPr>
          </w:p>
        </w:tc>
      </w:tr>
      <w:tr>
        <w:trPr>
          <w:trHeight w:val="23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w:t>
            </w:r>
          </w:p>
        </w:tc>
        <w:tc>
          <w:tcPr>
            <w:tcW w:w="320" w:type="dxa"/>
            <w:vAlign w:val="bottom"/>
            <w:tcBorders>
              <w:bottom w:val="single" w:sz="8" w:color="auto"/>
            </w:tcBorders>
            <w:gridSpan w:val="2"/>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u w:val="single" w:color="auto"/>
          <w:color w:val="auto"/>
        </w:rPr>
        <w:t>Adjusted Net Income (Loss) and Adjusted Earnings per Diluted Share:</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Net Income Attributable to Gentex 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Earnings per Diluted Share Attributable to Gentex Corporation are also presented as supplemental measures of the Company's performance for the same reasons set forth above. Adjusted Net Income (Loss) is defined as Net Income (Loss) adjusted for purchase price adjustments pursuant to ASC 805,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ind w:right="20"/>
        <w:spacing w:after="0" w:line="287" w:lineRule="auto"/>
        <w:rPr>
          <w:sz w:val="20"/>
          <w:szCs w:val="20"/>
          <w:color w:val="auto"/>
        </w:rPr>
      </w:pPr>
      <w:r>
        <w:rPr>
          <w:rFonts w:ascii="Arial" w:cs="Arial" w:eastAsia="Arial" w:hAnsi="Arial"/>
          <w:sz w:val="18"/>
          <w:szCs w:val="18"/>
          <w:color w:val="auto"/>
        </w:rPr>
        <w:t>acquisition related costs, and severance costs during the second quarter of 2025. Adjusted Earnings per Diluted Share is defined as Adjusted Net Income (Loss) divided by weighted average diluted shares outstanding.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60" w:type="dxa"/>
            <w:vAlign w:val="bottom"/>
            <w:shd w:val="clear" w:color="auto" w:fill="CCEEFF"/>
          </w:tcPr>
          <w:p>
            <w:pPr>
              <w:spacing w:after="0"/>
              <w:rPr>
                <w:sz w:val="19"/>
                <w:szCs w:val="19"/>
                <w:color w:val="auto"/>
              </w:rPr>
            </w:pPr>
          </w:p>
        </w:tc>
        <w:tc>
          <w:tcPr>
            <w:tcW w:w="440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Reconciliation of Non-GAAP Measures (continued)</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Borders>
              <w:top w:val="single" w:sz="8" w:color="CCEEFF"/>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40" w:type="dxa"/>
            <w:vAlign w:val="bottom"/>
            <w:tcBorders>
              <w:top w:val="single" w:sz="8" w:color="CCEEFF"/>
            </w:tcBorders>
            <w:gridSpan w:val="3"/>
          </w:tcPr>
          <w:p>
            <w:pPr>
              <w:ind w:left="920"/>
              <w:spacing w:after="0"/>
              <w:rPr>
                <w:sz w:val="20"/>
                <w:szCs w:val="20"/>
                <w:color w:val="auto"/>
              </w:rPr>
            </w:pPr>
            <w:r>
              <w:rPr>
                <w:rFonts w:ascii="Arial" w:cs="Arial" w:eastAsia="Arial" w:hAnsi="Arial"/>
                <w:sz w:val="18"/>
                <w:szCs w:val="18"/>
                <w:b w:val="1"/>
                <w:bCs w:val="1"/>
                <w:color w:val="auto"/>
              </w:rPr>
              <w:t>(Unaudited)</w:t>
            </w:r>
          </w:p>
        </w:tc>
        <w:tc>
          <w:tcPr>
            <w:tcW w:w="10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120" w:type="dxa"/>
            <w:vAlign w:val="bottom"/>
            <w:gridSpan w:val="4"/>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Gentex</w:t>
            </w:r>
          </w:p>
        </w:tc>
        <w:tc>
          <w:tcPr>
            <w:tcW w:w="360" w:type="dxa"/>
            <w:vAlign w:val="bottom"/>
          </w:tcPr>
          <w:p>
            <w:pPr>
              <w:spacing w:after="0"/>
              <w:rPr>
                <w:sz w:val="19"/>
                <w:szCs w:val="19"/>
                <w:color w:val="auto"/>
              </w:rPr>
            </w:pPr>
          </w:p>
        </w:tc>
        <w:tc>
          <w:tcPr>
            <w:tcW w:w="1400" w:type="dxa"/>
            <w:vAlign w:val="bottom"/>
            <w:gridSpan w:val="3"/>
          </w:tcPr>
          <w:p>
            <w:pPr>
              <w:ind w:left="220"/>
              <w:spacing w:after="0"/>
              <w:rPr>
                <w:sz w:val="20"/>
                <w:szCs w:val="20"/>
                <w:color w:val="auto"/>
              </w:rPr>
            </w:pPr>
            <w:r>
              <w:rPr>
                <w:rFonts w:ascii="Arial" w:cs="Arial" w:eastAsia="Arial" w:hAnsi="Arial"/>
                <w:sz w:val="18"/>
                <w:szCs w:val="18"/>
                <w:b w:val="1"/>
                <w:bCs w:val="1"/>
                <w:color w:val="auto"/>
              </w:rPr>
              <w:t>VOXX</w:t>
            </w:r>
          </w:p>
        </w:tc>
        <w:tc>
          <w:tcPr>
            <w:tcW w:w="1740" w:type="dxa"/>
            <w:vAlign w:val="bottom"/>
            <w:gridSpan w:val="3"/>
          </w:tcPr>
          <w:p>
            <w:pPr>
              <w:ind w:left="20"/>
              <w:spacing w:after="0"/>
              <w:rPr>
                <w:sz w:val="20"/>
                <w:szCs w:val="20"/>
                <w:color w:val="auto"/>
              </w:rPr>
            </w:pPr>
            <w:r>
              <w:rPr>
                <w:rFonts w:ascii="Arial" w:cs="Arial" w:eastAsia="Arial" w:hAnsi="Arial"/>
                <w:sz w:val="18"/>
                <w:szCs w:val="18"/>
                <w:b w:val="1"/>
                <w:bCs w:val="1"/>
                <w:color w:val="auto"/>
              </w:rPr>
              <w:t>Consolidated 2025</w:t>
            </w:r>
          </w:p>
        </w:tc>
        <w:tc>
          <w:tcPr>
            <w:tcW w:w="16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2024</w:t>
            </w:r>
          </w:p>
        </w:tc>
        <w:tc>
          <w:tcPr>
            <w:tcW w:w="0" w:type="dxa"/>
            <w:vAlign w:val="bottom"/>
          </w:tcPr>
          <w:p>
            <w:pPr>
              <w:spacing w:after="0"/>
              <w:rPr>
                <w:sz w:val="1"/>
                <w:szCs w:val="1"/>
                <w:color w:val="auto"/>
              </w:rPr>
            </w:pPr>
          </w:p>
        </w:tc>
      </w:tr>
      <w:tr>
        <w:trPr>
          <w:trHeight w:val="250"/>
        </w:trPr>
        <w:tc>
          <w:tcPr>
            <w:tcW w:w="346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20"/>
              <w:spacing w:after="0" w:line="176" w:lineRule="exact"/>
              <w:rPr>
                <w:sz w:val="20"/>
                <w:szCs w:val="20"/>
                <w:color w:val="auto"/>
              </w:rPr>
            </w:pPr>
            <w:r>
              <w:rPr>
                <w:rFonts w:ascii="Arial" w:cs="Arial" w:eastAsia="Arial" w:hAnsi="Arial"/>
                <w:sz w:val="18"/>
                <w:szCs w:val="18"/>
                <w:color w:val="auto"/>
              </w:rPr>
              <w:t>Net Income (Loss) Attributable to Gentex</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100,082,631</w:t>
            </w:r>
          </w:p>
        </w:tc>
        <w:tc>
          <w:tcPr>
            <w:tcW w:w="8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(4,043,047)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96,039,584</w:t>
            </w:r>
          </w:p>
        </w:tc>
        <w:tc>
          <w:tcPr>
            <w:tcW w:w="100" w:type="dxa"/>
            <w:vAlign w:val="bottom"/>
          </w:tcPr>
          <w:p>
            <w:pPr>
              <w:spacing w:after="0"/>
              <w:rPr>
                <w:sz w:val="15"/>
                <w:szCs w:val="15"/>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86,040,438</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Corporation - GAAP</w:t>
            </w:r>
          </w:p>
        </w:tc>
        <w:tc>
          <w:tcPr>
            <w:tcW w:w="1220" w:type="dxa"/>
            <w:vAlign w:val="bottom"/>
            <w:gridSpan w:val="2"/>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68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Inventory purchase price step-up adjustments</w:t>
            </w: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2,068,710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2,068,710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pursuance to ASC 805, net of tax</w:t>
            </w: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20" w:type="dxa"/>
            <w:vAlign w:val="bottom"/>
            <w:gridSpan w:val="2"/>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Acquisition Related Costs, net of tax</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792,567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1,255,119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2,047,686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Costs, net of tax</w:t>
            </w:r>
          </w:p>
        </w:tc>
        <w:tc>
          <w:tcPr>
            <w:tcW w:w="9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5,131,035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486,230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5,617,265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3460" w:type="dxa"/>
            <w:vAlign w:val="bottom"/>
          </w:tcPr>
          <w:p>
            <w:pPr>
              <w:ind w:left="20"/>
              <w:spacing w:after="0" w:line="156" w:lineRule="exact"/>
              <w:rPr>
                <w:sz w:val="20"/>
                <w:szCs w:val="20"/>
                <w:color w:val="auto"/>
              </w:rPr>
            </w:pPr>
            <w:r>
              <w:rPr>
                <w:rFonts w:ascii="Arial" w:cs="Arial" w:eastAsia="Arial" w:hAnsi="Arial"/>
                <w:sz w:val="18"/>
                <w:szCs w:val="18"/>
                <w:color w:val="auto"/>
              </w:rPr>
              <w:t>Net Income (Loss) Attributable to Gentex</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106,006,233</w:t>
            </w:r>
          </w:p>
        </w:tc>
        <w:tc>
          <w:tcPr>
            <w:tcW w:w="80" w:type="dxa"/>
            <w:vAlign w:val="bottom"/>
          </w:tcPr>
          <w:p>
            <w:pPr>
              <w:spacing w:after="0"/>
              <w:rPr>
                <w:sz w:val="13"/>
                <w:szCs w:val="13"/>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(232,988)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105,773,245</w:t>
            </w:r>
          </w:p>
        </w:tc>
        <w:tc>
          <w:tcPr>
            <w:tcW w:w="100" w:type="dxa"/>
            <w:vAlign w:val="bottom"/>
          </w:tcPr>
          <w:p>
            <w:pPr>
              <w:spacing w:after="0"/>
              <w:rPr>
                <w:sz w:val="13"/>
                <w:szCs w:val="13"/>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86,040,438</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Corporation - (Non-GAAP)</w:t>
            </w:r>
          </w:p>
        </w:tc>
        <w:tc>
          <w:tcPr>
            <w:tcW w:w="122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Adjusted Earnings Per Share:</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0.48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SIX MONTHS ENDED JUNE 30, 2025 VERSUS SIX MONTHS ENDED JUNE 30, 2024</w:t>
      </w:r>
    </w:p>
    <w:p>
      <w:pPr>
        <w:spacing w:after="0" w:line="17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net sales for the six months ended June 30, 2025 increased by $71.5 million or 6%, when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2024, with VOXX contributing $78.8 million of revenue during the six months ended June 30, 2025 and nothing in the prior year period. Core Gentex revenue (excluding VOXX) was $1.2 billion in the six months ended June 30, 2025, which was a 1% decrease versus the six months ended June 30, 2024, in comparison to light vehicle production in the Company's primary markets that decreased by approximately 2% versus the first half of 2024.</w:t>
      </w:r>
    </w:p>
    <w:p>
      <w:pPr>
        <w:spacing w:after="0" w:line="1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Gentex Automotive net sales were relatively flat for the six months ended June 30, 2025 as compared to the same prior period in 2024, with approximately $1.1 billion of net sales in each period. Sales during the six months ended June 30, 2025, were negatively impacted by lower-than-expected sales into the China market due to the impact of counter-tariffs. There was a 6% decrease in automotive mirror unit shipments in the six months ended June 30, 2025 to 23.1 million units, compared with 24.7 million units in the same period in 2024, which was driven by a 3% period over period decrease in interior auto-dimming mirror unit shipments, and a 12% period over period decrease in exterior auto-dimming mirror unit shipments.</w:t>
      </w:r>
    </w:p>
    <w:p>
      <w:pPr>
        <w:spacing w:after="0" w:line="11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Gentex Other net sales were $25.4 million in the six months ended June 30, 2025, compared to $26.3 million in the same period of 2024, a decrease of 3%. Other net sales for the six months ended June 30, 2025, included biometric product sales of $1.1 million generated from the Company's GalvanEyes subsidiary, as well as $0.6 million in sales of medical devices from the eSight Go product line. Fire protection sales were $14.8 million in the six months ended June 30, 2025, compared to $14.2 million in the same period of last year. Dimmable aircraft sales decreased during the six months ended June 30, 2025 to $8.9 million, compared to $12.1 million in the same period of last year.</w:t>
      </w:r>
    </w:p>
    <w:p>
      <w:pPr>
        <w:spacing w:after="0" w:line="209"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decreased to 66.2% for the six months ended June 30, 2025,</w:t>
      </w:r>
      <w:r>
        <w:rPr>
          <w:rFonts w:ascii="Arial" w:cs="Arial" w:eastAsia="Arial" w:hAnsi="Arial"/>
          <w:sz w:val="18"/>
          <w:szCs w:val="18"/>
          <w:i w:val="1"/>
          <w:iCs w:val="1"/>
          <w:color w:val="auto"/>
        </w:rPr>
        <w:t xml:space="preserve"> </w:t>
      </w:r>
      <w:r>
        <w:rPr>
          <w:rFonts w:ascii="Arial" w:cs="Arial" w:eastAsia="Arial" w:hAnsi="Arial"/>
          <w:sz w:val="18"/>
          <w:szCs w:val="18"/>
          <w:color w:val="auto"/>
        </w:rPr>
        <w:t>versus 66.4% in the same period last year, which did not include VOXX. The change in the gross margin was driven in part by the addition of VOXX, which had a negative impact of 50 basis points for the six months ended June 30, 2025, as well as increased tariff related costs that were not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jc w:val="both"/>
        <w:ind w:left="660"/>
        <w:spacing w:after="0" w:line="287" w:lineRule="auto"/>
        <w:rPr>
          <w:sz w:val="20"/>
          <w:szCs w:val="20"/>
          <w:color w:val="auto"/>
        </w:rPr>
      </w:pPr>
      <w:r>
        <w:rPr>
          <w:rFonts w:ascii="Arial" w:cs="Arial" w:eastAsia="Arial" w:hAnsi="Arial"/>
          <w:sz w:val="18"/>
          <w:szCs w:val="18"/>
          <w:color w:val="auto"/>
        </w:rPr>
        <w:t>reimbursed in the period. Those factors were, however, offset by the positive impact of purchasing cost reductions, improved product mix, and operational efficiencies.</w:t>
      </w:r>
    </w:p>
    <w:p>
      <w:pPr>
        <w:spacing w:after="0" w:line="8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Total operating expenses were $185.5 million in the six months ended June 30, 2025, an increase of 26.6%</w:t>
      </w:r>
      <w:r>
        <w:rPr>
          <w:rFonts w:ascii="Arial" w:cs="Arial" w:eastAsia="Arial" w:hAnsi="Arial"/>
          <w:sz w:val="18"/>
          <w:szCs w:val="18"/>
          <w:i w:val="1"/>
          <w:iCs w:val="1"/>
          <w:color w:val="auto"/>
        </w:rPr>
        <w:t xml:space="preserve"> </w:t>
      </w:r>
      <w:r>
        <w:rPr>
          <w:rFonts w:ascii="Arial" w:cs="Arial" w:eastAsia="Arial" w:hAnsi="Arial"/>
          <w:sz w:val="18"/>
          <w:szCs w:val="18"/>
          <w:color w:val="auto"/>
        </w:rPr>
        <w:t>year over year or $38.9 million, compared to $146.6 million in the same period of 2024, which did not include VOXX. The increase was primarily due to the VOXX acquisition, which accounted for $23.9 million of the increase (excluding acquisition and severance costs). Additionally, the Company incurred $3.2 million in acquisition-related costs and $9.7 million in severance related expenses, neither of which were present in the comparable prior year period.</w:t>
      </w:r>
    </w:p>
    <w:p>
      <w:pPr>
        <w:spacing w:after="0" w:line="206"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E, R &amp; D expenses for the six months ended June 30, 2025 increased by $ 11.2 million, when compared with the same period of 2024, due to the VOXX acquisition, as well as staffing and engineering related professional fees.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FAAC16"/>
        </w:rPr>
        <w:t>.</w:t>
      </w:r>
    </w:p>
    <w:p>
      <w:pPr>
        <w:spacing w:after="0" w:line="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S, G &amp; A expenses for the six months ended June 30, 2025 increased $18.1 million to $78.4 million, when compared to $60.4 million for the same period in 2024. S, G &amp; A expenses were approximately 6% of net sales in the six months ended June 30, 2025, and approximately 5% of net sales in the same period in 2024. S, G, &amp; A expenses increased on a year over year basis primarily due to the VOXX acquisition.</w:t>
      </w:r>
    </w:p>
    <w:p>
      <w:pPr>
        <w:spacing w:after="0" w:line="10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i w:val="1"/>
          <w:iCs w:val="1"/>
          <w:u w:val="single" w:color="auto"/>
          <w:color w:val="auto"/>
        </w:rPr>
        <w:t>Total Other Loss, Net.</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loss, net for the six months ended June 30, 2025 was $2.4 million, compared $15.3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last year. During the six months ended June 30, 2025, the total other loss, net included an impairment of $6.2 million related to one of the Company's equity method investments. In comparison, the six months ended June 30, 2024, included a $23.8 million loss resulting from the fair value adjustment of the Company's investment in VOXX.</w:t>
      </w:r>
    </w:p>
    <w:p>
      <w:pPr>
        <w:spacing w:after="0" w:line="12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16.8% for the six months ended June 30, 2025, compared to 15.2%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2024. The period over period change in the effective tax rate was driven by lower tax benefits on stock-based compensation compared to the first six months of 2024. Generally, effective tax rates for the Company differ from statutory federal income tax rates, due to provisions for state and local income taxes, the FDII deduction, and research and development tax credits.</w:t>
      </w:r>
    </w:p>
    <w:p>
      <w:pPr>
        <w:spacing w:after="0" w:line="12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i w:val="1"/>
          <w:iCs w:val="1"/>
          <w:u w:val="single" w:color="auto"/>
          <w:color w:val="auto"/>
        </w:rPr>
        <w:t>Net Income Attributable to Gentex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attributable to Gentex Corporation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2025 decreased by $3.4 million or 2% to $ 190.9 million, compared to $194.3 million in the same period last year, which did not include VOXX. The decrease in net income for the six months ended June 30, 2025, was primarily the result of lower income from operations and higher operating expenses compared to the same prior period.</w:t>
      </w:r>
    </w:p>
    <w:p>
      <w:pPr>
        <w:spacing w:after="0" w:line="12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i w:val="1"/>
          <w:iCs w:val="1"/>
          <w:u w:val="single" w:color="auto"/>
          <w:color w:val="auto"/>
        </w:rPr>
        <w:t>Earnings Per Share Attributable to Gentex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attributable to Gentex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2025 of $0.85, compared to earnings per diluted share of $0.84 for the six months ended June 30, 2024, which did not include VOXX.</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cash and cash equivalents as of June 30, 2025 were $119.8 million, a decrease of $113.5 million, compared to $233.3 million as of December 31, 2024. The decrease was primarily due to cash outflows related to the acquisition of VOXX, as well as share repurchases, capital expenditures, dividend payments, and investment purchases, which was partially offset by cash flows from operations and proceeds from the sale of investments during the six months ended June 30, 2025.</w:t>
      </w:r>
    </w:p>
    <w:p>
      <w:pPr>
        <w:spacing w:after="0" w:line="1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Short-term investments as of June 30, 2025 were $21.3 million, down from $22.3 million as of December 31, 2024, and long-term investments were $267.0 million as of June 30, 2025, down from $339.6 million as of December 31, 2024.</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Accounts receivable as of June 30, 2025 increased approximately $77.6 million compared to December 31, 2024, primarily due to the sequential increase in sales, which includes the addition of VOXX sales, as well as the timing of customer payments during the six months ended June 30, 2025.</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Inventories as of June 30, 2025 were $475.7 million, compared to $436.5 million as of December 31, 2024, primarily due to an increase in finished goods primarily as a result of the acquisition of VOXX.</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Accounts payable as of June 30, 2025 increased approximately $36.4 million to $204.7 million, compared to December 31, 2024, primarily driven by timing of payments within the period and the addition of VOXX.</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Accrued liabilities as of June 30, 2025 increased approximately $43.9 million compared to December 31, 2024, primarily due to increases in accrued salaries and wages and accrued royalties payable driven by the VOXX acquisition.</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flow from operating activities for the six months ended June 30, 2025 increased $55.5 million to $314.6 million, compared with $259.1 million during the same period last year, primarily due to changes in working capital.</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Capital expenditures for the six months ended June 30, 2025 were approximately $67.8 million, compared with approximately $63.6 million for the same period last year. The increase was primarily due to timing of payments and an increase in expenditures related to building and facility construction projects beginning during the second half of 2024, as further described below.</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 During the fourth quarter of 2024, the Company completed construction on two building expansions. The Company expanded its current distribution center by an additional 300,000 square feet, at a total cost of approximately $ 40 million. The Company also expanded one of its manufacturing facilities by an additional 60,000 square feet, with a total cost of approximately $20 million. Both of these expansion projects were funded with cash and cash equivalents on hand. The Company also entered into a multi-year lease for 32,000 square feet of manufacturing space at a location approximately 20 miles from its main campus that began operations during the second quarter of 2023.</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2023, the Company began the design and initial build phase of the previously announced Gentex Discovery Preschool, an on-site daycare and preschool designed to provide Company employees with convenient, cost-effective access to quality childcare. As previously disclosed, construction began in the third quarter of 2024, with an expected completion date in the second half of 2025. The total cost of the building project is expected to be $15 - $20 million, which is also being funded with cash and cash equivalents on hand.</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estimates that it currently has building capacity to manufacture approximately 42 - 45 million interior mirror units annually and approximately 19 - 22 million exterior mirror units annually, based on current product mix. The Company also evaluates equipment capacity on an ongoing basis and adds equipment as needed.</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2025</w:t>
            </w:r>
          </w:p>
        </w:tc>
        <w:tc>
          <w:tcPr>
            <w:tcW w:w="18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725,042,761</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784,635,494</w:t>
            </w:r>
          </w:p>
        </w:tc>
      </w:tr>
      <w:tr>
        <w:trPr>
          <w:trHeight w:val="22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Fixed Income Long-Term Investments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101,014,623</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141,961,474</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826,057,384</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926,596,968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Future share repurchases may vary from time to time and will take into account macroeconomic events, market trends, and other factors the Company deems appropriate (including, but not limited to, the market price of the stock, anti-dilutive effect of repurchases, and available cash). During the six months ended June 30, 2025, the Company repurchased 8,802,415 shares. The Company had 646,983 shares remaining under the plan as of June 30, 2025, as is further detailed in </w:t>
      </w:r>
      <w:r>
        <w:rPr>
          <w:rFonts w:ascii="Arial" w:cs="Arial" w:eastAsia="Arial" w:hAnsi="Arial"/>
          <w:sz w:val="18"/>
          <w:szCs w:val="18"/>
          <w:u w:val="single" w:color="auto"/>
          <w:color w:val="auto"/>
        </w:rPr>
        <w:t>Part II, Item 2</w:t>
      </w:r>
      <w:r>
        <w:rPr>
          <w:rFonts w:ascii="Arial" w:cs="Arial" w:eastAsia="Arial" w:hAnsi="Arial"/>
          <w:sz w:val="18"/>
          <w:szCs w:val="18"/>
          <w:color w:val="auto"/>
        </w:rPr>
        <w:t xml:space="preserve"> of this Form 10-Q. On July 16, 2025, the Company announced a new share repurchase authorization of 40 million shares in addition to the Company's prior repurchase authorization. With the new authorization, the Company has approximately 40.6 million shares available for repurchase under its share repurchase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the second quarter of 2025, the Company reported net sales of $ 657.9 million, compared to net sales of $572.9 million in the second quarter of 2024 (which did not include VOXX), a 15% increase quarter over quarter. Core Gentex revenue (excluding VOXX) for the second quarter of 2025 increased 1% versus the second quarter of 2024, while global light vehicle production in North America, Europe, and Japan/Korea decreased approximately 2% in the second quarter of 2025, when compared to the second quarter of 2024.</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second quarter of 2025, the Company had 18 net new nameplate launches of interior and exterior auto-dimming mirrors and electronic features, bringing the total number of nameplates launched to 139. Over half of the net launches in the quarter included advanced feature launches.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Mirror Systems</w:t>
      </w:r>
    </w:p>
    <w:p>
      <w:pPr>
        <w:spacing w:after="0" w:line="2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2023, The People's Republic of China newly issued GB15084 and the related procedures, which allow for the Company's frameless inside mirrors to be used on vehicles in the China domestic market.</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United Nations Economic Commission (UN ECE) recently established a working group (Task Force Glare Protection) on the subject of glare in road traffic. The Task Force Glare Protection will investigate the burden and danger of road glare from vehicle headlamps and initiate necessary measures. The Company believes its auto-dimming mirror products can be a solution for necessary measures initiated by this UN ECE task force.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Camera Systems</w:t>
      </w:r>
    </w:p>
    <w:p>
      <w:pPr>
        <w:spacing w:after="0" w:line="24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 -dimming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w:t>
      </w:r>
    </w:p>
    <w:p>
      <w:pPr>
        <w:sectPr>
          <w:pgSz w:w="11900" w:h="16838" w:orient="portrait"/>
          <w:cols w:equalWidth="0" w:num="1">
            <w:col w:w="10580"/>
          </w:cols>
          <w:pgMar w:left="980" w:top="107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80645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9" w:right="339" w:bottom="1440" w:gutter="0" w:footer="0" w:header="0"/>
          <w:type w:val="continuous"/>
        </w:sectPr>
      </w:pPr>
    </w:p>
    <w:bookmarkStart w:id="40" w:name="page41"/>
    <w:bookmarkEnd w:id="40"/>
    <w:p>
      <w:pPr>
        <w:jc w:val="both"/>
        <w:spacing w:after="0" w:line="287" w:lineRule="auto"/>
        <w:rPr>
          <w:sz w:val="20"/>
          <w:szCs w:val="20"/>
          <w:color w:val="auto"/>
        </w:rPr>
      </w:pPr>
      <w:r>
        <w:rPr>
          <w:rFonts w:ascii="Arial" w:cs="Arial" w:eastAsia="Arial" w:hAnsi="Arial"/>
          <w:sz w:val="18"/>
          <w:szCs w:val="18"/>
          <w:color w:val="auto"/>
        </w:rPr>
        <w:t>the ability to switch between modes to accommodate usage preferences for various weather conditions, lighting conditions, and driving tasks.</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of the second quarter of 2025,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eighteen different automaker customers and 139 vehicle nameplates. For more information regarding the full display mirror please go to https://www.fulldisplaymirror.com/. The Company remains confident that ongoing discussions with other customers may cause such customers to consider more fully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enhance capability and usability of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previously introduced its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or rear window-based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The system can also be tuned to meet the various regulatory field-of-view requirements around the world by using different types of flat and curved glass, combined with simple alterations to the video viewing modes.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camera monitoring systems to replace mirrors in Japan and European countries. Since January 2017, camera monitoring systems are also permitted as an alternative to replace mirrors in the Korea market. As noted, China released an updated version of its GB15084, effective in 2023, which allows for camera monitoring systems, frameless mirrors and aspheric (free form) glass surfaces. Notwithstanding the foregoing, the Company continues to believe rearview mirrors provide a robust, simple and cost-effective means to view the surrounding areas of a vehicle and remain a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The Company has also previously announced that it continues development in the areas of imager performance, camera dynamic range, lens design, image processing from the camera to the display, and camera lens cleaning. The Company acknowledges that as such technology evolves over time, such as cameras replacing mirrors and/or autonomous driving, there is increased competition.</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began shipping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Digital Video Recording ("DVR") capability in 2020. This mirror and system launched in the Japan market and combines the superior functionality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the added capability to record video from the rearward facing and forward-facing cameras simultaneously. The data is stored to an SD storage card as requested by the customer. This integrated solution provides consumers with the features they want, while allowing the OEM to control the integration and execution in the vehicle. In the first quarter of 2025, the Company launched the Gentex ReVu app, which allows a user to connect to the mirror and download the images or recordings from the DVR to the app on the user's phone. Shipments to customers of this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DVR to be used with the app are underway.</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41" w:name="page42"/>
    <w:bookmarkEnd w:id="41"/>
    <w:p>
      <w:pPr>
        <w:jc w:val="both"/>
        <w:spacing w:after="0" w:line="231"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In 2017, the Company demonstrated the next generation of HomeLink</w:t>
      </w:r>
      <w:r>
        <w:rPr>
          <w:rFonts w:ascii="Arial" w:cs="Arial" w:eastAsia="Arial" w:hAnsi="Arial"/>
          <w:sz w:val="23"/>
          <w:szCs w:val="23"/>
          <w:color w:val="auto"/>
          <w:vertAlign w:val="superscript"/>
        </w:rPr>
        <w:t>®</w:t>
      </w:r>
      <w:r>
        <w:rPr>
          <w:rFonts w:ascii="Arial" w:cs="Arial" w:eastAsia="Arial" w:hAnsi="Arial"/>
          <w:sz w:val="18"/>
          <w:szCs w:val="18"/>
          <w:color w:val="auto"/>
        </w:rPr>
        <w:t>, commonly referred to as HomeLink app, which uses both RF and wireless cloud-based connectivity to deliver complete vehicle-to-home automation. With the HomeLink app, a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 press communicates with the HomeLink app on the user’s smartphone. The app contains predefined, user-programmed actions, from single device operations to entire home automation scenes. The app, in turn, communicates to the home’s smart hub over the cloud, activating the appropriate devices, including security systems, door locks, thermostats, lighting, and other home automation devices, providing comprehensive vehicle-to-home automation. The ability to prepare the home for arrival or departure can occur with one button press. For automakers, this functionality allows them to offer customizable, yet proven solutions without the engineering efforts or security concerns associated with integrating third party software into the vehicle’s computer network. The Company also continues work on providing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for alternative automobile and vehicle types which include, but are not limited to, motorcycles, mopeds, snowmobiles, tractors, combines, lawn mowers, loaders, bulldozers, road-graders, backhoes, and golf carts. In 2021, the Company announced Volkswagen as the first automaker to offer Bluetooth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enabled mirror for home automation that works in conjunction with the HomeLink app.</w:t>
      </w:r>
    </w:p>
    <w:p>
      <w:pPr>
        <w:spacing w:after="0" w:line="1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2016, the Company announced a partnership with TransCore to provide automobile manufacturers with a vehicle-integrated tolling solution that enables motorists to drive on nearly all U.S. toll roads without a traditional toll tag on the windshield. Currently more than 75 percent of new car registrations are in states with toll roads with over 50 million drivers accessing these roads each year.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North America. The Company believes that this product can still represent another growth opportunity over the next several years.</w:t>
      </w:r>
    </w:p>
    <w:p>
      <w:pPr>
        <w:spacing w:after="0" w:line="22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Company previously announced its first OEM award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Audi. Currently, the Company is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11 Audi platforms, which are: the A4, A5, A6, A7, A8, Q5, Q5 Sportback, Q7, Q8, e-tron, and the e-tron Sportback. The Company expects further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nameplate launches with Audi during 2025. The Company is also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a second OEM customer, Mercedes, for the EQS model. In 2020, the Company was honored with an Automotive News PACE Award for its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which recognizes automotive suppliers for superior innovation, technological advancement, and business performance.</w:t>
      </w:r>
    </w:p>
    <w:p>
      <w:pPr>
        <w:spacing w:after="0" w:line="22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current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w:t>
      </w:r>
    </w:p>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w:t>
      </w:r>
      <w:r>
        <w:rPr>
          <w:rFonts w:ascii="Arial" w:cs="Arial" w:eastAsia="Arial" w:hAnsi="Arial"/>
          <w:sz w:val="23"/>
          <w:szCs w:val="23"/>
          <w:color w:val="auto"/>
          <w:vertAlign w:val="superscript"/>
        </w:rPr>
        <w:t>®</w:t>
      </w:r>
      <w:r>
        <w:rPr>
          <w:rFonts w:ascii="Arial" w:cs="Arial" w:eastAsia="Arial" w:hAnsi="Arial"/>
          <w:sz w:val="18"/>
          <w:szCs w:val="18"/>
          <w:color w:val="auto"/>
        </w:rPr>
        <w:t>, which, again, is the automotive industry’s leading car-to-home automation system.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consists of vehicle-integrated</w:t>
      </w: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7" w:right="339" w:bottom="1440" w:gutter="0" w:footer="0" w:header="0"/>
        </w:sectPr>
      </w:pPr>
    </w:p>
    <w:bookmarkStart w:id="42" w:name="page43"/>
    <w:bookmarkEnd w:id="42"/>
    <w:p>
      <w:pPr>
        <w:jc w:val="both"/>
        <w:spacing w:after="0" w:line="237" w:lineRule="auto"/>
        <w:rPr>
          <w:sz w:val="20"/>
          <w:szCs w:val="20"/>
          <w:color w:val="auto"/>
        </w:rPr>
      </w:pPr>
      <w:r>
        <w:rPr>
          <w:rFonts w:ascii="Arial" w:cs="Arial" w:eastAsia="Arial" w:hAnsi="Arial"/>
          <w:sz w:val="18"/>
          <w:szCs w:val="18"/>
          <w:color w:val="auto"/>
        </w:rPr>
        <w:t>buttons that can be programmed to operate a myriad of home automation devices. Integration of Simplenight into 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is underway and will allow users to program their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buttons and control cloud-based devices from their vehicles.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Dimmable Devices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2019, the Company announced that its latest generation of dimmable aircraft windows will be offered as optional content on the new Boeing 777X. In 2019, the first production shipments of variably dimmable windows were made to Boeing for the 777X program. As also previously announced, Airbus is now offering, as optional content, the Company's dimmable aircraft windows on its aircraft, with production having begun in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Through 2025, the Company has continued to further develop and work on the intelligent medical lighting system in order to assess system performance and work toward obtaining any necessary approvals.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2023, in the ordinary course of business, the Company acquired certain technology assets from eSight. The technology acquired provides the most advanced and versatile low-vision smart glasses available for those with visual impairments and is compatible with more than 20 eye conditions including Macular Degeneration, Diabetic Retinopathy, and Stargardt disease. eSight4 is a Class 1 Medical Device that is registered with the FDA, registered with EUDAMED, and inspected by Health Canada. During the third quarter of 2024, the Company recorded its first official sales of medical devices from shipments of the e-Sight Go product.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Biometric Products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2024, the Company acquired GalvanEyes, LLC, which is the managing partner and 50% owner of the BioCenturion joint venture with Eyelock, a majority-owned subsidiary of VOXX. BioCenturion specializes in creating and deploying authentication solutions to help clients secure their worlds, optimize their workloads, and organize their data through customized biometric solutions. BioCenturion's significant IP portfolio, including more than 100 patents granted, patents pending, and proprietary technology enables a high-speed, convenient, touchless, contactless, frictionless, and secure authentication of individuals across different business verticals. With the acquisition of VOXX on April 1, 2025, which included its majority-owned subsidiary EyeLock, the Company now owns a majority interest in BioCenturion. The acquisition has also enabled the Company to gain broader access to the EyeLock® iris biometric technology, which will provide more product applications in the Company's automotive, aerospace, and medical markets.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Fire Protection</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2025, the Company began shipments of its PLACE product line. PLACE is a suite of advanced, multi-functional smoke and carbon monoxide alarms designed to elevate home safety, comfort, and security through room-specific intelligence. The system is managed via an intuitive mobile app and features an industry-first low-frequency sounder, engineered to improve alarm effectiveness for deep sleepers, children, and individuals with hearing impairments. It also aligns with emerging safety standards, including updated residential codes adopted in states like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auto"/>
        </w:rPr>
        <w:t>VOXX Products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With the acquisition of VOXX on April 1, 2025, the Company made a strategic addition to its portfolio of products, as VOXX's product lines will both compliment the Company's existing businesses and help Gentex continue to expand in the consumer technology and connected home space. As a subsidiary of Gentex, VOXX will continue to manufacture and distribute various products across the automotive OEM and aftermarket electronics, consumer technologies, and premium audio global markets.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Automotive revenues represent approximately 88% - 92% of the Company's total revenue, consisting of interior and exterior electrochromic automatic-dimming rearview mirrors and other automotive electronics.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been, is being, and will continue to be impacted by tariffs, trade regulatory actions, and changes in international trade policies as further explained below.</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continues to experience pricing pressure from automotive customers and competitors, in addition to tariff increases, raw material cost increases, labor cost increases, and logistics cost increases, which will continue to cause downward pressure on its sales and profit margins. The Company works continuously to offset these supply chain issues and inflationary pressures with engineering and purchasing cost reductions, productivity improvements, increases in unit sales volume, and negotiations with customers to reduce the impact of the inflationary pressures, but there is no assurance the Company will be able to do so in the future.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is affected by uncertain economic conditions that reduce demand for its products, including the current inflationary environment and tariffs. The Company is likewise affected by industry-wide parts shortages and global supply constraints and labor shortages.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electronics, and other features that it offers for the automotive, premium audio, aerospace, medical, and biometrics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8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Company’s current forecasts for light vehicle production for the third quarter of 2025, and full years 2025 and 2026, are based on the mid-July 2025 S&amp;P Global Mobility forecast for light vehicle production in North America, Europe, Japan/Korea, and China.</w:t>
      </w:r>
    </w:p>
    <w:p>
      <w:pPr>
        <w:jc w:val="both"/>
        <w:ind w:right="20"/>
        <w:spacing w:after="0" w:line="226" w:lineRule="auto"/>
        <w:rPr>
          <w:sz w:val="20"/>
          <w:szCs w:val="20"/>
          <w:color w:val="auto"/>
        </w:rPr>
      </w:pPr>
      <w:r>
        <w:rPr>
          <w:rFonts w:ascii="Arial" w:cs="Arial" w:eastAsia="Arial" w:hAnsi="Arial"/>
          <w:sz w:val="18"/>
          <w:szCs w:val="18"/>
          <w:color w:val="auto"/>
        </w:rPr>
        <w:t>Global light vehicle production for the third quarter of 2025 is expected to be relatively flat versus the third quarter of 2024, while light vehicle production in our primary markets is expected to be down approximately 1% in the third quarter of 2025 versus the third</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quarter of 2024. Global light vehicle production for the fourth quarter of 2025 is expected to be down approximately 6% versus the fourth quarter of 2024, including China, as well as across Gentex’s primary markets of North America, Europe, and Japan/Korea. Full-year 2025 production in the Company's primary markets is expected to be down 3% year-over-year, a notable downgrade from earlier forecasts, and production in North America is projected to fall approximately 4% in 2025 compared to 2024. Third quarter of 2025, and calendar years 2025 and 2026, forecasted light vehicle production volumes are shown below:</w:t>
      </w:r>
    </w:p>
    <w:p>
      <w:pPr>
        <w:spacing w:after="0" w:line="256"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Light Vehicle Production (per S&amp;P Global Mobility mid-April light vehicle production forecast)</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w:t>
      </w:r>
    </w:p>
    <w:tbl>
      <w:tblPr>
        <w:tblLayout w:type="fixed"/>
        <w:tblInd w:w="0" w:type="dxa"/>
        <w:tblCellMar>
          <w:top w:w="0" w:type="dxa"/>
          <w:left w:w="0" w:type="dxa"/>
          <w:bottom w:w="0" w:type="dxa"/>
          <w:right w:w="0" w:type="dxa"/>
        </w:tblCellMar>
      </w:tblPr>
      <w:tr>
        <w:trPr>
          <w:trHeight w:val="178"/>
        </w:trPr>
        <w:tc>
          <w:tcPr>
            <w:tcW w:w="1940" w:type="dxa"/>
            <w:vAlign w:val="bottom"/>
            <w:vMerge w:val="restart"/>
          </w:tcPr>
          <w:p>
            <w:pPr>
              <w:ind w:left="20"/>
              <w:spacing w:after="0"/>
              <w:rPr>
                <w:sz w:val="20"/>
                <w:szCs w:val="20"/>
                <w:color w:val="auto"/>
              </w:rPr>
            </w:pPr>
            <w:r>
              <w:rPr>
                <w:rFonts w:ascii="Arial" w:cs="Arial" w:eastAsia="Arial" w:hAnsi="Arial"/>
                <w:sz w:val="16"/>
                <w:szCs w:val="16"/>
                <w:color w:val="auto"/>
              </w:rPr>
              <w:t>Region</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Q3 2025</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Q3 2024</w:t>
            </w:r>
          </w:p>
        </w:tc>
        <w:tc>
          <w:tcPr>
            <w:tcW w:w="10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 Change</w:t>
            </w:r>
          </w:p>
        </w:tc>
        <w:tc>
          <w:tcPr>
            <w:tcW w:w="940" w:type="dxa"/>
            <w:vAlign w:val="bottom"/>
          </w:tcPr>
          <w:p>
            <w:pPr>
              <w:jc w:val="right"/>
              <w:ind w:right="53"/>
              <w:spacing w:after="0" w:line="178" w:lineRule="exact"/>
              <w:rPr>
                <w:sz w:val="20"/>
                <w:szCs w:val="20"/>
                <w:color w:val="auto"/>
              </w:rPr>
            </w:pPr>
            <w:r>
              <w:rPr>
                <w:rFonts w:ascii="Arial" w:cs="Arial" w:eastAsia="Arial" w:hAnsi="Arial"/>
                <w:sz w:val="16"/>
                <w:szCs w:val="16"/>
                <w:b w:val="1"/>
                <w:bCs w:val="1"/>
                <w:color w:val="auto"/>
              </w:rPr>
              <w:t>Calendar</w:t>
            </w:r>
          </w:p>
        </w:tc>
        <w:tc>
          <w:tcPr>
            <w:tcW w:w="920" w:type="dxa"/>
            <w:vAlign w:val="bottom"/>
          </w:tcPr>
          <w:p>
            <w:pPr>
              <w:jc w:val="right"/>
              <w:ind w:right="33"/>
              <w:spacing w:after="0" w:line="178" w:lineRule="exact"/>
              <w:rPr>
                <w:sz w:val="20"/>
                <w:szCs w:val="20"/>
                <w:color w:val="auto"/>
              </w:rPr>
            </w:pPr>
            <w:r>
              <w:rPr>
                <w:rFonts w:ascii="Arial" w:cs="Arial" w:eastAsia="Arial" w:hAnsi="Arial"/>
                <w:sz w:val="16"/>
                <w:szCs w:val="16"/>
                <w:b w:val="1"/>
                <w:bCs w:val="1"/>
                <w:color w:val="auto"/>
              </w:rPr>
              <w:t>Calendar</w:t>
            </w:r>
          </w:p>
        </w:tc>
        <w:tc>
          <w:tcPr>
            <w:tcW w:w="1060" w:type="dxa"/>
            <w:vAlign w:val="bottom"/>
            <w:gridSpan w:val="2"/>
          </w:tcPr>
          <w:p>
            <w:pPr>
              <w:jc w:val="center"/>
              <w:ind w:right="140"/>
              <w:spacing w:after="0" w:line="178" w:lineRule="exact"/>
              <w:rPr>
                <w:sz w:val="20"/>
                <w:szCs w:val="20"/>
                <w:color w:val="auto"/>
              </w:rPr>
            </w:pPr>
            <w:r>
              <w:rPr>
                <w:rFonts w:ascii="Arial" w:cs="Arial" w:eastAsia="Arial" w:hAnsi="Arial"/>
                <w:sz w:val="16"/>
                <w:szCs w:val="16"/>
                <w:b w:val="1"/>
                <w:bCs w:val="1"/>
                <w:color w:val="auto"/>
                <w:w w:val="99"/>
              </w:rPr>
              <w:t>Calendar</w:t>
            </w:r>
          </w:p>
        </w:tc>
        <w:tc>
          <w:tcPr>
            <w:tcW w:w="1220" w:type="dxa"/>
            <w:vAlign w:val="bottom"/>
          </w:tcPr>
          <w:p>
            <w:pPr>
              <w:jc w:val="right"/>
              <w:ind w:right="33"/>
              <w:spacing w:after="0" w:line="178" w:lineRule="exact"/>
              <w:rPr>
                <w:sz w:val="20"/>
                <w:szCs w:val="20"/>
                <w:color w:val="auto"/>
              </w:rPr>
            </w:pPr>
            <w:r>
              <w:rPr>
                <w:rFonts w:ascii="Arial" w:cs="Arial" w:eastAsia="Arial" w:hAnsi="Arial"/>
                <w:sz w:val="16"/>
                <w:szCs w:val="16"/>
                <w:b w:val="1"/>
                <w:bCs w:val="1"/>
                <w:color w:val="auto"/>
              </w:rPr>
              <w:t>2026 vs 2025</w:t>
            </w:r>
          </w:p>
        </w:tc>
        <w:tc>
          <w:tcPr>
            <w:tcW w:w="1220" w:type="dxa"/>
            <w:vAlign w:val="bottom"/>
          </w:tcPr>
          <w:p>
            <w:pPr>
              <w:jc w:val="right"/>
              <w:ind w:right="53"/>
              <w:spacing w:after="0" w:line="178" w:lineRule="exact"/>
              <w:rPr>
                <w:sz w:val="20"/>
                <w:szCs w:val="20"/>
                <w:color w:val="auto"/>
              </w:rPr>
            </w:pPr>
            <w:r>
              <w:rPr>
                <w:rFonts w:ascii="Arial" w:cs="Arial" w:eastAsia="Arial" w:hAnsi="Arial"/>
                <w:sz w:val="16"/>
                <w:szCs w:val="16"/>
                <w:b w:val="1"/>
                <w:bCs w:val="1"/>
                <w:color w:val="auto"/>
              </w:rPr>
              <w:t>2025 vs 2024</w:t>
            </w:r>
          </w:p>
        </w:tc>
        <w:tc>
          <w:tcPr>
            <w:tcW w:w="0" w:type="dxa"/>
            <w:vAlign w:val="bottom"/>
          </w:tcPr>
          <w:p>
            <w:pPr>
              <w:spacing w:after="0"/>
              <w:rPr>
                <w:sz w:val="1"/>
                <w:szCs w:val="1"/>
                <w:color w:val="auto"/>
              </w:rPr>
            </w:pPr>
          </w:p>
        </w:tc>
      </w:tr>
      <w:tr>
        <w:trPr>
          <w:trHeight w:val="216"/>
        </w:trPr>
        <w:tc>
          <w:tcPr>
            <w:tcW w:w="19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6"/>
                <w:szCs w:val="16"/>
                <w:b w:val="1"/>
                <w:bCs w:val="1"/>
                <w:color w:val="auto"/>
              </w:rPr>
              <w:t>Year 2026</w:t>
            </w:r>
          </w:p>
        </w:tc>
        <w:tc>
          <w:tcPr>
            <w:tcW w:w="920" w:type="dxa"/>
            <w:vAlign w:val="bottom"/>
          </w:tcPr>
          <w:p>
            <w:pPr>
              <w:jc w:val="right"/>
              <w:ind w:right="13"/>
              <w:spacing w:after="0"/>
              <w:rPr>
                <w:sz w:val="20"/>
                <w:szCs w:val="20"/>
                <w:color w:val="auto"/>
              </w:rPr>
            </w:pPr>
            <w:r>
              <w:rPr>
                <w:rFonts w:ascii="Arial" w:cs="Arial" w:eastAsia="Arial" w:hAnsi="Arial"/>
                <w:sz w:val="16"/>
                <w:szCs w:val="16"/>
                <w:b w:val="1"/>
                <w:bCs w:val="1"/>
                <w:color w:val="auto"/>
              </w:rPr>
              <w:t>Year 2025</w:t>
            </w: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Year 2024</w:t>
            </w:r>
          </w:p>
        </w:tc>
        <w:tc>
          <w:tcPr>
            <w:tcW w:w="1220" w:type="dxa"/>
            <w:vAlign w:val="bottom"/>
          </w:tcPr>
          <w:p>
            <w:pPr>
              <w:jc w:val="right"/>
              <w:ind w:right="133"/>
              <w:spacing w:after="0"/>
              <w:rPr>
                <w:sz w:val="20"/>
                <w:szCs w:val="20"/>
                <w:color w:val="auto"/>
              </w:rPr>
            </w:pPr>
            <w:r>
              <w:rPr>
                <w:rFonts w:ascii="Arial" w:cs="Arial" w:eastAsia="Arial" w:hAnsi="Arial"/>
                <w:sz w:val="16"/>
                <w:szCs w:val="16"/>
                <w:b w:val="1"/>
                <w:bCs w:val="1"/>
                <w:color w:val="auto"/>
              </w:rPr>
              <w:t>% Change</w:t>
            </w:r>
          </w:p>
        </w:tc>
        <w:tc>
          <w:tcPr>
            <w:tcW w:w="1220" w:type="dxa"/>
            <w:vAlign w:val="bottom"/>
          </w:tcPr>
          <w:p>
            <w:pPr>
              <w:jc w:val="right"/>
              <w:ind w:right="153"/>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3"/>
        </w:trPr>
        <w:tc>
          <w:tcPr>
            <w:tcW w:w="1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14.32</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Europe</w:t>
            </w:r>
          </w:p>
        </w:tc>
        <w:tc>
          <w:tcPr>
            <w:tcW w:w="760" w:type="dxa"/>
            <w:vAlign w:val="bottom"/>
          </w:tcPr>
          <w:p>
            <w:pPr>
              <w:jc w:val="right"/>
              <w:spacing w:after="0"/>
              <w:rPr>
                <w:sz w:val="20"/>
                <w:szCs w:val="20"/>
                <w:color w:val="auto"/>
              </w:rPr>
            </w:pPr>
            <w:r>
              <w:rPr>
                <w:rFonts w:ascii="Arial" w:cs="Arial" w:eastAsia="Arial" w:hAnsi="Arial"/>
                <w:sz w:val="18"/>
                <w:szCs w:val="18"/>
                <w:color w:val="auto"/>
              </w:rPr>
              <w:t>3.69</w:t>
            </w:r>
          </w:p>
        </w:tc>
        <w:tc>
          <w:tcPr>
            <w:tcW w:w="760" w:type="dxa"/>
            <w:vAlign w:val="bottom"/>
          </w:tcPr>
          <w:p>
            <w:pPr>
              <w:jc w:val="right"/>
              <w:spacing w:after="0"/>
              <w:rPr>
                <w:sz w:val="20"/>
                <w:szCs w:val="20"/>
                <w:color w:val="auto"/>
              </w:rPr>
            </w:pPr>
            <w:r>
              <w:rPr>
                <w:rFonts w:ascii="Arial" w:cs="Arial" w:eastAsia="Arial" w:hAnsi="Arial"/>
                <w:sz w:val="18"/>
                <w:szCs w:val="18"/>
                <w:color w:val="auto"/>
              </w:rPr>
              <w:t>3.73</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16.80</w:t>
            </w:r>
          </w:p>
        </w:tc>
        <w:tc>
          <w:tcPr>
            <w:tcW w:w="920" w:type="dxa"/>
            <w:vAlign w:val="bottom"/>
          </w:tcPr>
          <w:p>
            <w:pPr>
              <w:jc w:val="right"/>
              <w:spacing w:after="0"/>
              <w:rPr>
                <w:sz w:val="20"/>
                <w:szCs w:val="20"/>
                <w:color w:val="auto"/>
              </w:rPr>
            </w:pPr>
            <w:r>
              <w:rPr>
                <w:rFonts w:ascii="Arial" w:cs="Arial" w:eastAsia="Arial" w:hAnsi="Arial"/>
                <w:sz w:val="18"/>
                <w:szCs w:val="18"/>
                <w:color w:val="auto"/>
              </w:rPr>
              <w:t>16.74</w:t>
            </w:r>
          </w:p>
        </w:tc>
        <w:tc>
          <w:tcPr>
            <w:tcW w:w="920" w:type="dxa"/>
            <w:vAlign w:val="bottom"/>
          </w:tcPr>
          <w:p>
            <w:pPr>
              <w:jc w:val="right"/>
              <w:spacing w:after="0"/>
              <w:rPr>
                <w:sz w:val="20"/>
                <w:szCs w:val="20"/>
                <w:color w:val="auto"/>
              </w:rPr>
            </w:pPr>
            <w:r>
              <w:rPr>
                <w:rFonts w:ascii="Arial" w:cs="Arial" w:eastAsia="Arial" w:hAnsi="Arial"/>
                <w:sz w:val="18"/>
                <w:szCs w:val="18"/>
                <w:color w:val="auto"/>
              </w:rPr>
              <w:t>17.17</w:t>
            </w:r>
          </w:p>
        </w:tc>
        <w:tc>
          <w:tcPr>
            <w:tcW w:w="140" w:type="dxa"/>
            <w:vAlign w:val="bottom"/>
          </w:tcPr>
          <w:p>
            <w:pPr>
              <w:spacing w:after="0"/>
              <w:rPr>
                <w:sz w:val="19"/>
                <w:szCs w:val="19"/>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 and Korea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11.34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4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31.24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56"/>
        </w:trPr>
        <w:tc>
          <w:tcPr>
            <w:tcW w:w="19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Light Vehicle</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9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73.70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140" w:type="dxa"/>
            <w:vAlign w:val="bottom"/>
            <w:shd w:val="clear" w:color="auto" w:fill="CCEEFF"/>
          </w:tcPr>
          <w:p>
            <w:pPr>
              <w:spacing w:after="0"/>
              <w:rPr>
                <w:sz w:val="13"/>
                <w:szCs w:val="13"/>
                <w:color w:val="auto"/>
              </w:rPr>
            </w:pPr>
          </w:p>
        </w:tc>
        <w:tc>
          <w:tcPr>
            <w:tcW w:w="12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6"/>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76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tcBorders>
              <w:right w:val="single" w:sz="8" w:color="auto"/>
            </w:tcBorders>
            <w:vMerge w:val="continue"/>
            <w:shd w:val="clear" w:color="auto" w:fill="CCEEFF"/>
          </w:tcPr>
          <w:p>
            <w:pPr>
              <w:spacing w:after="0"/>
              <w:rPr>
                <w:sz w:val="20"/>
                <w:szCs w:val="20"/>
                <w:color w:val="auto"/>
              </w:rPr>
            </w:pPr>
          </w:p>
        </w:tc>
        <w:tc>
          <w:tcPr>
            <w:tcW w:w="1220" w:type="dxa"/>
            <w:vAlign w:val="bottom"/>
            <w:tcBorders>
              <w:right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Based on the aforementioned light vehicle production forecast, first-half 2025 results, reduced demand in the China market</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stemming from recently implemented counter-tariffs, and the expected incremental sales contribution from the VOXX acquisition, Gentex announced the revision of its full-year 2025 guidance as of July 25, 2025. This most recent guidance reflects the anticipated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impact of all known tariffs effective as of July 25, 2025.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2025 Annual Guidance </w:t>
      </w:r>
      <w:r>
        <w:rPr>
          <w:rFonts w:ascii="Arial" w:cs="Arial" w:eastAsia="Arial" w:hAnsi="Arial"/>
          <w:sz w:val="18"/>
          <w:szCs w:val="18"/>
          <w:b w:val="1"/>
          <w:bCs w:val="1"/>
          <w:i w:val="1"/>
          <w:iCs w:val="1"/>
          <w:color w:val="auto"/>
        </w:rPr>
        <w:t>(as of July 25, 2025)</w:t>
      </w:r>
    </w:p>
    <w:p>
      <w:pPr>
        <w:spacing w:after="0" w:line="117" w:lineRule="exact"/>
        <w:rPr>
          <w:sz w:val="20"/>
          <w:szCs w:val="20"/>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Consolidated Revenue: $2.44 – $2.61 billion </w:t>
      </w:r>
      <w:r>
        <w:rPr>
          <w:rFonts w:ascii="Arial" w:cs="Arial" w:eastAsia="Arial" w:hAnsi="Arial"/>
          <w:sz w:val="18"/>
          <w:szCs w:val="18"/>
          <w:i w:val="1"/>
          <w:iCs w:val="1"/>
          <w:color w:val="auto"/>
        </w:rPr>
        <w:t>(Previously: $2.15 – $2.32 billion)</w:t>
      </w:r>
    </w:p>
    <w:p>
      <w:pPr>
        <w:spacing w:after="0" w:line="27" w:lineRule="exact"/>
        <w:rPr>
          <w:rFonts w:ascii="Arial" w:cs="Arial" w:eastAsia="Arial" w:hAnsi="Arial"/>
          <w:sz w:val="18"/>
          <w:szCs w:val="18"/>
          <w:color w:val="auto"/>
        </w:rPr>
      </w:pPr>
    </w:p>
    <w:p>
      <w:pPr>
        <w:ind w:left="1280" w:hanging="312"/>
        <w:spacing w:after="0"/>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Gentex primary markets: $2.10 – $2.20 billion</w:t>
      </w:r>
    </w:p>
    <w:p>
      <w:pPr>
        <w:spacing w:after="0" w:line="9" w:lineRule="exact"/>
        <w:rPr>
          <w:rFonts w:ascii="Arial" w:cs="Arial" w:eastAsia="Arial" w:hAnsi="Arial"/>
          <w:sz w:val="18"/>
          <w:szCs w:val="18"/>
          <w:color w:val="auto"/>
        </w:rPr>
      </w:pPr>
    </w:p>
    <w:p>
      <w:pPr>
        <w:ind w:left="1280" w:hanging="312"/>
        <w:spacing w:after="0"/>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Gentex China market: $100 – $125 million</w:t>
      </w:r>
    </w:p>
    <w:p>
      <w:pPr>
        <w:spacing w:after="0" w:line="9" w:lineRule="exact"/>
        <w:rPr>
          <w:rFonts w:ascii="Arial" w:cs="Arial" w:eastAsia="Arial" w:hAnsi="Arial"/>
          <w:sz w:val="18"/>
          <w:szCs w:val="18"/>
          <w:color w:val="auto"/>
        </w:rPr>
      </w:pPr>
    </w:p>
    <w:p>
      <w:pPr>
        <w:ind w:left="1280" w:hanging="312"/>
        <w:spacing w:after="0"/>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VOXX Revenue estimate: $240 – $280 million</w:t>
      </w:r>
    </w:p>
    <w:p>
      <w:pPr>
        <w:spacing w:after="0" w:line="234"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Gross Margin: 33% – 34% </w:t>
      </w:r>
      <w:r>
        <w:rPr>
          <w:rFonts w:ascii="Arial" w:cs="Arial" w:eastAsia="Arial" w:hAnsi="Arial"/>
          <w:sz w:val="18"/>
          <w:szCs w:val="18"/>
          <w:i w:val="1"/>
          <w:iCs w:val="1"/>
          <w:color w:val="auto"/>
        </w:rPr>
        <w:t>(New consolidated guidance)</w:t>
      </w:r>
    </w:p>
    <w:p>
      <w:pPr>
        <w:spacing w:after="0" w:line="27" w:lineRule="exact"/>
        <w:rPr>
          <w:rFonts w:ascii="Arial" w:cs="Arial" w:eastAsia="Arial" w:hAnsi="Arial"/>
          <w:sz w:val="18"/>
          <w:szCs w:val="18"/>
          <w:color w:val="auto"/>
        </w:rPr>
      </w:pPr>
    </w:p>
    <w:p>
      <w:pPr>
        <w:ind w:left="1280" w:hanging="312"/>
        <w:spacing w:after="0"/>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Gentex (stand-alone): 34% – 34.5% (Previously 33% - 34%)</w:t>
      </w:r>
    </w:p>
    <w:p>
      <w:pPr>
        <w:spacing w:after="0" w:line="9" w:lineRule="exact"/>
        <w:rPr>
          <w:rFonts w:ascii="Arial" w:cs="Arial" w:eastAsia="Arial" w:hAnsi="Arial"/>
          <w:sz w:val="18"/>
          <w:szCs w:val="18"/>
          <w:color w:val="auto"/>
        </w:rPr>
      </w:pPr>
    </w:p>
    <w:p>
      <w:pPr>
        <w:ind w:left="1280" w:hanging="312"/>
        <w:spacing w:after="0"/>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VOXX (stand-alone): 27% – 29%</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40" w:hanging="32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Operating Expenses </w:t>
      </w:r>
      <w:r>
        <w:rPr>
          <w:rFonts w:ascii="Arial" w:cs="Arial" w:eastAsia="Arial" w:hAnsi="Arial"/>
          <w:sz w:val="18"/>
          <w:szCs w:val="18"/>
          <w:i w:val="1"/>
          <w:iCs w:val="1"/>
          <w:color w:val="auto"/>
        </w:rPr>
        <w:t>(excluding severance</w:t>
      </w:r>
      <w:r>
        <w:rPr>
          <w:rFonts w:ascii="Arial" w:cs="Arial" w:eastAsia="Arial" w:hAnsi="Arial"/>
          <w:sz w:val="18"/>
          <w:szCs w:val="18"/>
          <w:color w:val="auto"/>
        </w:rPr>
        <w:t>): $370 – $390 million</w:t>
      </w:r>
    </w:p>
    <w:p>
      <w:pPr>
        <w:spacing w:after="0" w:line="9" w:lineRule="exact"/>
        <w:rPr>
          <w:rFonts w:ascii="Arial" w:cs="Arial" w:eastAsia="Arial" w:hAnsi="Arial"/>
          <w:sz w:val="18"/>
          <w:szCs w:val="18"/>
          <w:color w:val="auto"/>
        </w:rPr>
      </w:pPr>
    </w:p>
    <w:p>
      <w:pPr>
        <w:ind w:left="1280" w:hanging="312"/>
        <w:spacing w:after="0"/>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Gentex: $300 – $310 million </w:t>
      </w:r>
      <w:r>
        <w:rPr>
          <w:rFonts w:ascii="Arial" w:cs="Arial" w:eastAsia="Arial" w:hAnsi="Arial"/>
          <w:sz w:val="18"/>
          <w:szCs w:val="18"/>
          <w:i w:val="1"/>
          <w:iCs w:val="1"/>
          <w:color w:val="auto"/>
        </w:rPr>
        <w:t>(unchanged)</w:t>
      </w:r>
    </w:p>
    <w:p>
      <w:pPr>
        <w:spacing w:after="0" w:line="9" w:lineRule="exact"/>
        <w:rPr>
          <w:rFonts w:ascii="Arial" w:cs="Arial" w:eastAsia="Arial" w:hAnsi="Arial"/>
          <w:sz w:val="18"/>
          <w:szCs w:val="18"/>
          <w:color w:val="auto"/>
        </w:rPr>
      </w:pPr>
    </w:p>
    <w:p>
      <w:pPr>
        <w:ind w:left="1280" w:hanging="312"/>
        <w:spacing w:after="0"/>
        <w:tabs>
          <w:tab w:leader="none" w:pos="1280" w:val="left"/>
        </w:tabs>
        <w:numPr>
          <w:ilvl w:val="1"/>
          <w:numId w:val="22"/>
        </w:numPr>
        <w:rPr>
          <w:rFonts w:ascii="Arial" w:cs="Arial" w:eastAsia="Arial" w:hAnsi="Arial"/>
          <w:sz w:val="18"/>
          <w:szCs w:val="18"/>
          <w:i w:val="1"/>
          <w:iCs w:val="1"/>
          <w:color w:val="auto"/>
        </w:rPr>
      </w:pPr>
      <w:r>
        <w:rPr>
          <w:rFonts w:ascii="Arial" w:cs="Arial" w:eastAsia="Arial" w:hAnsi="Arial"/>
          <w:sz w:val="18"/>
          <w:szCs w:val="18"/>
          <w:color w:val="auto"/>
        </w:rPr>
        <w:t>VOXX: $70 – $80 million</w:t>
      </w:r>
    </w:p>
    <w:p>
      <w:pPr>
        <w:spacing w:after="0" w:line="234" w:lineRule="exact"/>
        <w:rPr>
          <w:rFonts w:ascii="Arial" w:cs="Arial" w:eastAsia="Arial" w:hAnsi="Arial"/>
          <w:sz w:val="18"/>
          <w:szCs w:val="18"/>
          <w:i w:val="1"/>
          <w:iCs w:val="1"/>
          <w:color w:val="auto"/>
        </w:rPr>
      </w:pPr>
    </w:p>
    <w:p>
      <w:pPr>
        <w:ind w:left="640" w:hanging="32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Tax Rate: 16% – 17% </w:t>
      </w:r>
      <w:r>
        <w:rPr>
          <w:rFonts w:ascii="Arial" w:cs="Arial" w:eastAsia="Arial" w:hAnsi="Arial"/>
          <w:sz w:val="18"/>
          <w:szCs w:val="18"/>
          <w:i w:val="1"/>
          <w:iCs w:val="1"/>
          <w:color w:val="auto"/>
        </w:rPr>
        <w:t>(previously: 15% – 17%)</w:t>
      </w:r>
    </w:p>
    <w:p>
      <w:pPr>
        <w:spacing w:after="0" w:line="252" w:lineRule="exact"/>
        <w:rPr>
          <w:rFonts w:ascii="Arial" w:cs="Arial" w:eastAsia="Arial" w:hAnsi="Arial"/>
          <w:sz w:val="18"/>
          <w:szCs w:val="18"/>
          <w:color w:val="auto"/>
        </w:rPr>
      </w:pPr>
    </w:p>
    <w:p>
      <w:pPr>
        <w:ind w:left="640" w:hanging="320"/>
        <w:spacing w:after="0"/>
        <w:tabs>
          <w:tab w:leader="none" w:pos="64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 xml:space="preserve">Capital Expenditures: $100 – $125 million </w:t>
      </w:r>
      <w:r>
        <w:rPr>
          <w:rFonts w:ascii="Arial" w:cs="Arial" w:eastAsia="Arial" w:hAnsi="Arial"/>
          <w:sz w:val="18"/>
          <w:szCs w:val="18"/>
          <w:i w:val="1"/>
          <w:iCs w:val="1"/>
          <w:color w:val="auto"/>
        </w:rPr>
        <w:t>(unchanged</w:t>
      </w:r>
      <w:r>
        <w:rPr>
          <w:rFonts w:ascii="Arial" w:cs="Arial" w:eastAsia="Arial" w:hAnsi="Arial"/>
          <w:sz w:val="18"/>
          <w:szCs w:val="18"/>
          <w:color w:val="auto"/>
        </w:rPr>
        <w:t>)</w:t>
      </w:r>
    </w:p>
    <w:p>
      <w:pPr>
        <w:spacing w:after="0" w:line="252" w:lineRule="exact"/>
        <w:rPr>
          <w:rFonts w:ascii="Arial" w:cs="Arial" w:eastAsia="Arial" w:hAnsi="Arial"/>
          <w:sz w:val="18"/>
          <w:szCs w:val="18"/>
          <w:i w:val="1"/>
          <w:iCs w:val="1"/>
          <w:color w:val="auto"/>
        </w:rPr>
      </w:pPr>
    </w:p>
    <w:p>
      <w:pPr>
        <w:ind w:left="640" w:hanging="32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Depreciation &amp; Amortization: $91 – $96 million </w:t>
      </w:r>
      <w:r>
        <w:rPr>
          <w:rFonts w:ascii="Arial" w:cs="Arial" w:eastAsia="Arial" w:hAnsi="Arial"/>
          <w:sz w:val="18"/>
          <w:szCs w:val="18"/>
          <w:i w:val="1"/>
          <w:iCs w:val="1"/>
          <w:color w:val="auto"/>
        </w:rPr>
        <w:t>(New consolidated guidance)</w:t>
      </w:r>
    </w:p>
    <w:p>
      <w:pPr>
        <w:spacing w:after="0" w:line="27" w:lineRule="exact"/>
        <w:rPr>
          <w:rFonts w:ascii="Arial" w:cs="Arial" w:eastAsia="Arial" w:hAnsi="Arial"/>
          <w:sz w:val="18"/>
          <w:szCs w:val="18"/>
          <w:color w:val="auto"/>
        </w:rPr>
      </w:pPr>
    </w:p>
    <w:p>
      <w:pPr>
        <w:ind w:left="1280" w:hanging="312"/>
        <w:spacing w:after="0"/>
        <w:tabs>
          <w:tab w:leader="none" w:pos="1280" w:val="left"/>
        </w:tabs>
        <w:numPr>
          <w:ilvl w:val="1"/>
          <w:numId w:val="22"/>
        </w:numPr>
        <w:rPr>
          <w:rFonts w:ascii="Arial" w:cs="Arial" w:eastAsia="Arial" w:hAnsi="Arial"/>
          <w:sz w:val="18"/>
          <w:szCs w:val="18"/>
          <w:i w:val="1"/>
          <w:iCs w:val="1"/>
          <w:color w:val="auto"/>
        </w:rPr>
      </w:pPr>
      <w:r>
        <w:rPr>
          <w:rFonts w:ascii="Arial" w:cs="Arial" w:eastAsia="Arial" w:hAnsi="Arial"/>
          <w:sz w:val="18"/>
          <w:szCs w:val="18"/>
          <w:color w:val="auto"/>
        </w:rPr>
        <w:t>Gentex: $90 – $95 million</w:t>
      </w:r>
    </w:p>
    <w:p>
      <w:pPr>
        <w:spacing w:after="0" w:line="9" w:lineRule="exact"/>
        <w:rPr>
          <w:rFonts w:ascii="Arial" w:cs="Arial" w:eastAsia="Arial" w:hAnsi="Arial"/>
          <w:sz w:val="18"/>
          <w:szCs w:val="18"/>
          <w:i w:val="1"/>
          <w:iCs w:val="1"/>
          <w:color w:val="auto"/>
        </w:rPr>
      </w:pPr>
    </w:p>
    <w:p>
      <w:pPr>
        <w:ind w:left="1280" w:hanging="312"/>
        <w:spacing w:after="0"/>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VOXX: $1 - $3 million</w:t>
      </w:r>
    </w:p>
    <w:p>
      <w:pPr>
        <w:spacing w:after="0" w:line="23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Due to ongoing volatility in customer orders and vehicle production volumes, uncertainty related to tariffs, the Ukraine-Russia war, Israel-Hamas war, supply-end labor shortages, and overall economic uncertainty,</w:t>
      </w:r>
    </w:p>
    <w:p>
      <w:pPr>
        <w:sectPr>
          <w:pgSz w:w="11900" w:h="16838" w:orient="portrait"/>
          <w:cols w:equalWidth="0" w:num="1">
            <w:col w:w="10580"/>
          </w:cols>
          <w:pgMar w:left="980" w:top="118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80645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type w:val="continuous"/>
        </w:sectPr>
      </w:pPr>
    </w:p>
    <w:bookmarkStart w:id="45" w:name="page46"/>
    <w:bookmarkEnd w:id="45"/>
    <w:p>
      <w:pPr>
        <w:jc w:val="both"/>
        <w:spacing w:after="0" w:line="248" w:lineRule="auto"/>
        <w:rPr>
          <w:sz w:val="20"/>
          <w:szCs w:val="20"/>
          <w:color w:val="auto"/>
        </w:rPr>
      </w:pPr>
      <w:r>
        <w:rPr>
          <w:rFonts w:ascii="Arial" w:cs="Arial" w:eastAsia="Arial" w:hAnsi="Arial"/>
          <w:sz w:val="18"/>
          <w:szCs w:val="18"/>
          <w:color w:val="auto"/>
        </w:rPr>
        <w:t>the Company believes that revenue remains difficult to forecast for the remainder of the year and beyond. Ongoing uncertainties remain, including: prolonged and intensifying trade wars, including the impacts of already in place, and potential additional future tariffs, trade restrictions, and retaliatory measures; light vehicle production levels; impacts of regulation changes; automotive plant shutdowns; vehicle sales rates in Europe, Asia and North America; OEM strategies and cost pressures; customer inventory management and the impact of potential automotive customer (including their Tier 1 suppliers) and supplier bankruptcies; etc., all of which are disrupting and will further disrupt shipments to customers, disrupt global capital flows, and heighten market volatility.</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Given the current geopolitical environment, tariff landscape, and evolving customer sourcing strategies, the Company will continue to withhold revenue guidance for calendar year 2026, until the needed visibility to support future guidance is available.</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accordance with the previously announced share repurchase plan, the Company will consider the appropriateness of continuing to repurchase additional shares of common stock in the future in support of the capital allocation strategy, but share repurchases will vary from time to time and will take into account macroeconomic events, market trends, and other factors the Company deems appropriate (including the market price of the stock, anti-dilutive effect of repurchases, and available cash). As of June 30, 2025, the Company had 0.6 million shares remaining available for repurchase under the previously announced share repurchase plan. On July 16, 2025, the Company announced a new share repurchase authorization of 40 million shares in addition to the Company's prior repurchase authorization. With the new authorization on July 16, 2025, the Company has approximately 40.6 million shares available for repurchase under its share repurchase plan.</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4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17"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herein and in its Annual Report on Form 10-K for the fiscal year ended December 31, 2024.</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interest rate risk, commodity price risk, and tariffs. For the quarter ended June 30, 2025, any material changes in risk factors that were disclosed in the Company's report on Form 10-K for the year ended December 31, 2024 are set forth herein.</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Fluctuating interest rates could negatively impact the Company's financial performance due to realized losses on the sale of fixed income investments and/or recognized losses due to an impairment adjustment on investment securities, as well as the impact on demand for light vehicles.</w:t>
      </w:r>
    </w:p>
    <w:p>
      <w:pPr>
        <w:spacing w:after="0" w:line="10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and Chinese Yuan Renminbi accounts, which currently are not significant overall to the Company as a whole. Because the Company sells its automotive mirrors throughout the world, and automotive manufacturing is highly dependent on general economic conditions and the global supply chain, the Company has been and will continue to be affected by uncertain economic conditions in North American and foreign markets, including tariffs and inflation, that have reduced, and will continue to reduce, demand for its products, to the extent they persist.</w:t>
      </w:r>
    </w:p>
    <w:p>
      <w:pPr>
        <w:spacing w:after="0" w:line="101"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The geopolitical environment between the Unites States and other jurisdictions, most significantly China, continues to cause uncertainty, especially in light of recently imposed incremental tariffs and tariffs threatened to be imposed, in addition to those already existing. One example of the impact on the Company is the proactive decision to halt production and sales of products intended for the China market until customer agreements can be reached. Company input costs are already, and will continue to be, affected by a variety of factors, including: economic and market conditions; inflation; changes in customer demand; supply shortages, constraints, and disruptions; interest rate changes; foreign currency fluctuations; industry actions; and uncertainties in vehicle production schedules, as well as the aforementioned tariffs, trade regulatory actions, and changes in international trade policies, agreements, and/or regulation and competitor activity. Previously enacted tariffs have already increased the Company's input costs and challenge the Company's competitive position. The Executive Branch of the U.S. federal government has suggested the possibility of even more tariffs and tariff increases. While the Company continues to assess the impact of the current tariff and trade environment, tariffs and trade disputes in the geopolitical environment have interfered with and have disrupted automotive supply chains. While further actions regarding tariffs or trade relations between the U.S. and other governments are impossible to predict, the current trade environment has already, and will continue to, negatively impacted the Company’s business, financial condition, and results of operations, especially since the Company primarily manufactures and ships from one location. Any continuance of tariffs currently in place and/or escalation of tariffs and trade disputes will have further adverse impact on the Company’s business.</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47" w:name="page48"/>
    <w:bookmarkEnd w:id="47"/>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June 30, 2025, and have concluded that as of that date, the Company's disclosure controls and procedures are effective.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June 30, 2025 that materially affected, or are reasonably likely to materially affect, the Company's internal control over financial reporting.</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85"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This Quarterly Report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"likely",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including the impact of inflation; import and export duty and tariff rates with the countries with which we conduct business; changes in consumer and customer preferences for our products (such as cameras replacing mirrors and/or</w:t>
      </w:r>
    </w:p>
    <w:p>
      <w:pPr>
        <w:spacing w:after="0" w:line="8" w:lineRule="exact"/>
        <w:rPr>
          <w:sz w:val="20"/>
          <w:szCs w:val="20"/>
          <w:color w:val="auto"/>
        </w:rPr>
      </w:pPr>
    </w:p>
    <w:p>
      <w:pPr>
        <w:jc w:val="both"/>
        <w:ind w:left="660" w:right="20"/>
        <w:spacing w:after="0" w:line="226" w:lineRule="auto"/>
        <w:rPr>
          <w:sz w:val="20"/>
          <w:szCs w:val="20"/>
          <w:color w:val="auto"/>
        </w:rPr>
      </w:pPr>
      <w:r>
        <w:rPr>
          <w:rFonts w:ascii="Arial" w:cs="Arial" w:eastAsia="Arial" w:hAnsi="Arial"/>
          <w:sz w:val="18"/>
          <w:szCs w:val="18"/>
          <w:color w:val="auto"/>
        </w:rPr>
        <w:t>autonomous driving); our ability to be awarded new business; continued uncertainty in pricing negotiations with customers and suppliers; loss of business from increased competition; changes in strategic relationships; customer bankruptcies or divestiture of</w:t>
      </w:r>
    </w:p>
    <w:p>
      <w:pPr>
        <w:spacing w:after="0" w:line="2"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negative impact of any governmental investigations and associated litigation, including securities litigation relating to the conduct of our business; and force majeure events. Readers are cautioned not to place undue reliance on these forward-looking statements, which speak only as of the date they are made.</w:t>
      </w:r>
    </w:p>
    <w:p>
      <w:pPr>
        <w:spacing w:after="0" w:line="4"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include tariffs that have affected, are affecting, and will continue to affect, general economic and industry conditions, customers, suppliers, and the regulatory environment in which the Company operates. Includes content supplied by S&amp;P Global Mobility Light Vehicle Production Forecast of July 16, 2025 (http://www.gentex.com/forecast-disclaimer).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2024. There have been no material changes to the risk factors previously disclosed in the Company’s report on Form 10-K for the year ended December 31, 2024, except to the extent described in Part I – Item 2 and Item 3 of this Form 10-Q, and otherwise herein.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 of Equity Securities</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During the first six months of 2025, the Company repurchased 8.8 million shares under the share repurchase plan. As previously disclosed, the Company will consider the appropriateness of continuing to repurchase additional shares of common stock in the future in support of the capital allocation strategy, but share repurchases will vary from time to time and will take into account macroeconomic events, market trends, and other factors the Company deems appropriate (including the market price of the stock, anti-dilutive effect of repurchases, and available cash).</w:t>
      </w:r>
    </w:p>
    <w:p>
      <w:pPr>
        <w:spacing w:after="0" w:line="21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After the Company repurchased 8,802,415 shares during the first six months of 2025, the Company had 646,983 shares remaining under the plan as of June 30, 2025.</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share repurchase activity during each month of the six-month period ended June 30, 2025:</w:t>
      </w:r>
    </w:p>
    <w:p>
      <w:pPr>
        <w:spacing w:after="0" w:line="55"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400" w:type="dxa"/>
            <w:vAlign w:val="bottom"/>
            <w:shd w:val="clear" w:color="auto" w:fill="CCEEFF"/>
          </w:tcPr>
          <w:p>
            <w:pPr>
              <w:spacing w:after="0"/>
              <w:rPr>
                <w:sz w:val="17"/>
                <w:szCs w:val="17"/>
                <w:color w:val="auto"/>
              </w:rPr>
            </w:pPr>
          </w:p>
        </w:tc>
        <w:tc>
          <w:tcPr>
            <w:tcW w:w="5320" w:type="dxa"/>
            <w:vAlign w:val="bottom"/>
            <w:gridSpan w:val="4"/>
            <w:shd w:val="clear" w:color="auto" w:fill="CCEEFF"/>
          </w:tcPr>
          <w:p>
            <w:pPr>
              <w:jc w:val="right"/>
              <w:ind w:right="1502"/>
              <w:spacing w:after="0"/>
              <w:rPr>
                <w:sz w:val="20"/>
                <w:szCs w:val="20"/>
                <w:color w:val="auto"/>
              </w:rPr>
            </w:pPr>
            <w:r>
              <w:rPr>
                <w:rFonts w:ascii="Arial" w:cs="Arial" w:eastAsia="Arial" w:hAnsi="Arial"/>
                <w:sz w:val="14"/>
                <w:szCs w:val="14"/>
                <w:b w:val="1"/>
                <w:bCs w:val="1"/>
                <w:color w:val="auto"/>
              </w:rPr>
              <w:t>Issuer Purchase of Equity Securities</w:t>
            </w:r>
          </w:p>
        </w:tc>
        <w:tc>
          <w:tcPr>
            <w:tcW w:w="2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4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rPr>
              <w:t>Weighted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8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Total Number of Shares</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4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Purchased As Part of aMaximum Number of Shares</w:t>
            </w:r>
          </w:p>
        </w:tc>
        <w:tc>
          <w:tcPr>
            <w:tcW w:w="0" w:type="dxa"/>
            <w:vAlign w:val="bottom"/>
          </w:tcPr>
          <w:p>
            <w:pPr>
              <w:spacing w:after="0"/>
              <w:rPr>
                <w:sz w:val="1"/>
                <w:szCs w:val="1"/>
                <w:color w:val="auto"/>
              </w:rPr>
            </w:pPr>
          </w:p>
        </w:tc>
      </w:tr>
      <w:tr>
        <w:trPr>
          <w:trHeight w:val="144"/>
        </w:trPr>
        <w:tc>
          <w:tcPr>
            <w:tcW w:w="2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vMerge w:val="continue"/>
          </w:tcPr>
          <w:p>
            <w:pPr>
              <w:spacing w:after="0"/>
              <w:rPr>
                <w:sz w:val="12"/>
                <w:szCs w:val="12"/>
                <w:color w:val="auto"/>
              </w:rPr>
            </w:pPr>
          </w:p>
        </w:tc>
        <w:tc>
          <w:tcPr>
            <w:tcW w:w="14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Average Price Paid</w:t>
            </w:r>
          </w:p>
        </w:tc>
        <w:tc>
          <w:tcPr>
            <w:tcW w:w="2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Publicly Announced Plan or</w:t>
            </w:r>
          </w:p>
        </w:tc>
        <w:tc>
          <w:tcPr>
            <w:tcW w:w="206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89"/>
        </w:trPr>
        <w:tc>
          <w:tcPr>
            <w:tcW w:w="240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Purchased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Per 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20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2025</w:t>
            </w:r>
          </w:p>
        </w:tc>
        <w:tc>
          <w:tcPr>
            <w:tcW w:w="20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9,449,398</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February 2025</w:t>
            </w:r>
          </w:p>
        </w:tc>
        <w:tc>
          <w:tcPr>
            <w:tcW w:w="1800" w:type="dxa"/>
            <w:vAlign w:val="bottom"/>
          </w:tcPr>
          <w:p>
            <w:pPr>
              <w:jc w:val="right"/>
              <w:spacing w:after="0"/>
              <w:rPr>
                <w:sz w:val="20"/>
                <w:szCs w:val="20"/>
                <w:color w:val="auto"/>
              </w:rPr>
            </w:pPr>
            <w:r>
              <w:rPr>
                <w:rFonts w:ascii="Arial" w:cs="Arial" w:eastAsia="Arial" w:hAnsi="Arial"/>
                <w:sz w:val="18"/>
                <w:szCs w:val="18"/>
                <w:color w:val="auto"/>
              </w:rPr>
              <w:t>250,015</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24.74</w:t>
            </w:r>
          </w:p>
        </w:tc>
        <w:tc>
          <w:tcPr>
            <w:tcW w:w="2060" w:type="dxa"/>
            <w:vAlign w:val="bottom"/>
          </w:tcPr>
          <w:p>
            <w:pPr>
              <w:jc w:val="right"/>
              <w:ind w:right="2"/>
              <w:spacing w:after="0"/>
              <w:rPr>
                <w:sz w:val="20"/>
                <w:szCs w:val="20"/>
                <w:color w:val="auto"/>
              </w:rPr>
            </w:pPr>
            <w:r>
              <w:rPr>
                <w:rFonts w:ascii="Arial" w:cs="Arial" w:eastAsia="Arial" w:hAnsi="Arial"/>
                <w:sz w:val="18"/>
                <w:szCs w:val="18"/>
                <w:color w:val="auto"/>
              </w:rPr>
              <w:t>250,015</w:t>
            </w:r>
          </w:p>
        </w:tc>
        <w:tc>
          <w:tcPr>
            <w:tcW w:w="2060" w:type="dxa"/>
            <w:vAlign w:val="bottom"/>
          </w:tcPr>
          <w:p>
            <w:pPr>
              <w:jc w:val="right"/>
              <w:spacing w:after="0"/>
              <w:rPr>
                <w:sz w:val="20"/>
                <w:szCs w:val="20"/>
                <w:color w:val="auto"/>
              </w:rPr>
            </w:pPr>
            <w:r>
              <w:rPr>
                <w:rFonts w:ascii="Arial" w:cs="Arial" w:eastAsia="Arial" w:hAnsi="Arial"/>
                <w:sz w:val="18"/>
                <w:szCs w:val="18"/>
                <w:color w:val="auto"/>
              </w:rPr>
              <w:t>9,199,383</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2025</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2,850,336</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2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2,850,336</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6,349,047</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color w:val="auto"/>
              </w:rPr>
              <w:t>1st Quarter 2025 Total</w:t>
            </w:r>
          </w:p>
        </w:tc>
        <w:tc>
          <w:tcPr>
            <w:tcW w:w="1800" w:type="dxa"/>
            <w:vAlign w:val="bottom"/>
          </w:tcPr>
          <w:p>
            <w:pPr>
              <w:jc w:val="right"/>
              <w:spacing w:after="0"/>
              <w:rPr>
                <w:sz w:val="20"/>
                <w:szCs w:val="20"/>
                <w:color w:val="auto"/>
              </w:rPr>
            </w:pPr>
            <w:r>
              <w:rPr>
                <w:rFonts w:ascii="Arial" w:cs="Arial" w:eastAsia="Arial" w:hAnsi="Arial"/>
                <w:sz w:val="18"/>
                <w:szCs w:val="18"/>
                <w:color w:val="auto"/>
              </w:rPr>
              <w:t>3,100,351</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24.52</w:t>
            </w:r>
          </w:p>
        </w:tc>
        <w:tc>
          <w:tcPr>
            <w:tcW w:w="2060" w:type="dxa"/>
            <w:vAlign w:val="bottom"/>
          </w:tcPr>
          <w:p>
            <w:pPr>
              <w:jc w:val="right"/>
              <w:ind w:right="2"/>
              <w:spacing w:after="0"/>
              <w:rPr>
                <w:sz w:val="20"/>
                <w:szCs w:val="20"/>
                <w:color w:val="auto"/>
              </w:rPr>
            </w:pPr>
            <w:r>
              <w:rPr>
                <w:rFonts w:ascii="Arial" w:cs="Arial" w:eastAsia="Arial" w:hAnsi="Arial"/>
                <w:sz w:val="18"/>
                <w:szCs w:val="18"/>
                <w:color w:val="auto"/>
              </w:rPr>
              <w:t>3,100,351</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April 2025</w:t>
            </w:r>
          </w:p>
        </w:tc>
        <w:tc>
          <w:tcPr>
            <w:tcW w:w="1800" w:type="dxa"/>
            <w:vAlign w:val="bottom"/>
          </w:tcPr>
          <w:p>
            <w:pPr>
              <w:jc w:val="right"/>
              <w:spacing w:after="0"/>
              <w:rPr>
                <w:sz w:val="20"/>
                <w:szCs w:val="20"/>
                <w:color w:val="auto"/>
              </w:rPr>
            </w:pPr>
            <w:r>
              <w:rPr>
                <w:rFonts w:ascii="Arial" w:cs="Arial" w:eastAsia="Arial" w:hAnsi="Arial"/>
                <w:sz w:val="18"/>
                <w:szCs w:val="18"/>
                <w:color w:val="auto"/>
              </w:rPr>
              <w:t>300,084</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22.02</w:t>
            </w:r>
          </w:p>
        </w:tc>
        <w:tc>
          <w:tcPr>
            <w:tcW w:w="2060" w:type="dxa"/>
            <w:vAlign w:val="bottom"/>
          </w:tcPr>
          <w:p>
            <w:pPr>
              <w:jc w:val="right"/>
              <w:ind w:right="2"/>
              <w:spacing w:after="0"/>
              <w:rPr>
                <w:sz w:val="20"/>
                <w:szCs w:val="20"/>
                <w:color w:val="auto"/>
              </w:rPr>
            </w:pPr>
            <w:r>
              <w:rPr>
                <w:rFonts w:ascii="Arial" w:cs="Arial" w:eastAsia="Arial" w:hAnsi="Arial"/>
                <w:sz w:val="18"/>
                <w:szCs w:val="18"/>
                <w:color w:val="auto"/>
              </w:rPr>
              <w:t>300,084</w:t>
            </w:r>
          </w:p>
        </w:tc>
        <w:tc>
          <w:tcPr>
            <w:tcW w:w="2060" w:type="dxa"/>
            <w:vAlign w:val="bottom"/>
          </w:tcPr>
          <w:p>
            <w:pPr>
              <w:jc w:val="right"/>
              <w:spacing w:after="0"/>
              <w:rPr>
                <w:sz w:val="20"/>
                <w:szCs w:val="20"/>
                <w:color w:val="auto"/>
              </w:rPr>
            </w:pPr>
            <w:r>
              <w:rPr>
                <w:rFonts w:ascii="Arial" w:cs="Arial" w:eastAsia="Arial" w:hAnsi="Arial"/>
                <w:sz w:val="18"/>
                <w:szCs w:val="18"/>
                <w:color w:val="auto"/>
              </w:rPr>
              <w:t>6,048,963</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2025</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2,400,790</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2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2,400,790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3,648,173</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June 2025</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3,001,190</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20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3,001,190</w:t>
            </w: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646,983</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2nd Quarter 2025 Total</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5,702,064</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2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5,702,064</w:t>
            </w: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 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8,802,415</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8,802,415</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646,983</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right="920"/>
        <w:spacing w:after="0" w:line="287" w:lineRule="auto"/>
        <w:rPr>
          <w:sz w:val="20"/>
          <w:szCs w:val="20"/>
          <w:color w:val="auto"/>
        </w:rPr>
      </w:pPr>
      <w:r>
        <w:rPr>
          <w:rFonts w:ascii="Arial" w:cs="Arial" w:eastAsia="Arial" w:hAnsi="Arial"/>
          <w:sz w:val="18"/>
          <w:szCs w:val="18"/>
          <w:color w:val="auto"/>
        </w:rPr>
        <w:t>As of June 30, 2025, the Company has repurchased 171,352,745 shares at a total cost of $3,154,959,796 under its share repurchase plan or as otherwise previously disclosed.</w:t>
      </w:r>
    </w:p>
    <w:p>
      <w:pPr>
        <w:spacing w:after="0" w:line="180"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On July 16, 2025, the Company announced a new share repurchase authorization of 40 million shares in addition to the Company's prior repurchase authorization. With the new authorization on July 16, 2025, the Company has approximately 40.6 million shares available for repurchase under its share repurchase plan.</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See Exhibit Index on Page </w:t>
      </w:r>
      <w:r>
        <w:rPr>
          <w:rFonts w:ascii="Arial" w:cs="Arial" w:eastAsia="Arial" w:hAnsi="Arial"/>
          <w:sz w:val="18"/>
          <w:szCs w:val="18"/>
          <w:u w:val="single" w:color="auto"/>
          <w:color w:val="0000FF"/>
        </w:rPr>
        <w:t>51</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9" w:name="page50"/>
    <w:bookmarkEnd w:id="49"/>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GENTEX CORPORATION</w:t>
            </w: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00"/>
              <w:spacing w:after="0"/>
              <w:rPr>
                <w:sz w:val="20"/>
                <w:szCs w:val="20"/>
                <w:color w:val="auto"/>
              </w:rPr>
            </w:pPr>
            <w:r>
              <w:rPr>
                <w:rFonts w:ascii="Arial" w:cs="Arial" w:eastAsia="Arial" w:hAnsi="Arial"/>
                <w:sz w:val="18"/>
                <w:szCs w:val="18"/>
                <w:color w:val="auto"/>
              </w:rPr>
              <w:t>August 8, 2025</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Downing</w:t>
            </w:r>
          </w:p>
        </w:tc>
      </w:tr>
      <w:tr>
        <w:trPr>
          <w:trHeight w:val="218"/>
        </w:trPr>
        <w:tc>
          <w:tcPr>
            <w:tcW w:w="5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Steven R. Downing</w:t>
            </w:r>
          </w:p>
        </w:tc>
      </w:tr>
      <w:tr>
        <w:trPr>
          <w:trHeight w:val="230"/>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(Principal Executive Officer) on behalf of Gentex Corporation</w:t>
            </w: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00"/>
              <w:spacing w:after="0"/>
              <w:rPr>
                <w:sz w:val="20"/>
                <w:szCs w:val="20"/>
                <w:color w:val="auto"/>
              </w:rPr>
            </w:pPr>
            <w:r>
              <w:rPr>
                <w:rFonts w:ascii="Arial" w:cs="Arial" w:eastAsia="Arial" w:hAnsi="Arial"/>
                <w:sz w:val="18"/>
                <w:szCs w:val="18"/>
                <w:color w:val="auto"/>
              </w:rPr>
              <w:t>August 8, 2025</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Nash</w:t>
            </w:r>
          </w:p>
        </w:tc>
      </w:tr>
      <w:tr>
        <w:trPr>
          <w:trHeight w:val="218"/>
        </w:trPr>
        <w:tc>
          <w:tcPr>
            <w:tcW w:w="5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Kevin C. Nash</w:t>
            </w:r>
          </w:p>
        </w:tc>
      </w:tr>
      <w:tr>
        <w:trPr>
          <w:trHeight w:val="229"/>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Vice President, Finance, Chief Financial Officer and Treasurer</w:t>
            </w:r>
          </w:p>
        </w:tc>
      </w:tr>
      <w:tr>
        <w:trPr>
          <w:trHeight w:val="181"/>
        </w:trPr>
        <w:tc>
          <w:tcPr>
            <w:tcW w:w="5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6680" w:type="dxa"/>
            <w:vAlign w:val="bottom"/>
          </w:tcPr>
          <w:p>
            <w:pPr>
              <w:ind w:left="20"/>
              <w:spacing w:after="0" w:line="181" w:lineRule="exact"/>
              <w:rPr>
                <w:sz w:val="20"/>
                <w:szCs w:val="20"/>
                <w:color w:val="auto"/>
              </w:rPr>
            </w:pPr>
            <w:r>
              <w:rPr>
                <w:rFonts w:ascii="Arial" w:cs="Arial" w:eastAsia="Arial" w:hAnsi="Arial"/>
                <w:sz w:val="18"/>
                <w:szCs w:val="18"/>
                <w:color w:val="auto"/>
              </w:rPr>
              <w:t>(Principal Financial Officer and Principal Accounting Officer) on behalf of Gentex</w:t>
            </w:r>
          </w:p>
        </w:tc>
      </w:tr>
      <w:tr>
        <w:trPr>
          <w:trHeight w:val="239"/>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47"/>
        </w:trPr>
        <w:tc>
          <w:tcPr>
            <w:tcW w:w="1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80" w:type="dxa"/>
            <w:vAlign w:val="bottom"/>
            <w:gridSpan w:val="3"/>
          </w:tcPr>
          <w:p>
            <w:pPr>
              <w:ind w:left="2240"/>
              <w:spacing w:after="0"/>
              <w:rPr>
                <w:sz w:val="20"/>
                <w:szCs w:val="20"/>
                <w:color w:val="auto"/>
              </w:rPr>
            </w:pPr>
            <w:r>
              <w:rPr>
                <w:rFonts w:ascii="Arial" w:cs="Arial" w:eastAsia="Arial" w:hAnsi="Arial"/>
                <w:sz w:val="18"/>
                <w:szCs w:val="18"/>
                <w:b w:val="1"/>
                <w:bCs w:val="1"/>
                <w:color w:val="auto"/>
              </w:rPr>
              <w:t>EXHIBIT INDEX</w:t>
            </w:r>
          </w:p>
        </w:tc>
      </w:tr>
      <w:tr>
        <w:trPr>
          <w:trHeight w:val="406"/>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480" w:type="dxa"/>
            <w:vAlign w:val="bottom"/>
            <w:gridSpan w:val="3"/>
          </w:tcPr>
          <w:p>
            <w:pPr>
              <w:ind w:left="3140"/>
              <w:spacing w:after="0"/>
              <w:rPr>
                <w:sz w:val="20"/>
                <w:szCs w:val="20"/>
                <w:color w:val="auto"/>
              </w:rPr>
            </w:pPr>
            <w:r>
              <w:rPr>
                <w:rFonts w:ascii="Arial" w:cs="Arial" w:eastAsia="Arial" w:hAnsi="Arial"/>
                <w:sz w:val="14"/>
                <w:szCs w:val="14"/>
                <w:b w:val="1"/>
                <w:bCs w:val="1"/>
                <w:color w:val="auto"/>
              </w:rPr>
              <w:t>Description</w:t>
            </w:r>
          </w:p>
        </w:tc>
      </w:tr>
      <w:tr>
        <w:trPr>
          <w:trHeight w:val="190"/>
        </w:trPr>
        <w:tc>
          <w:tcPr>
            <w:tcW w:w="13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31.1</w:t>
            </w:r>
          </w:p>
        </w:tc>
        <w:tc>
          <w:tcPr>
            <w:tcW w:w="9880" w:type="dxa"/>
            <w:vAlign w:val="bottom"/>
            <w:gridSpan w:val="4"/>
            <w:shd w:val="clear" w:color="auto" w:fill="CCEEFF"/>
          </w:tcPr>
          <w:p>
            <w:pPr>
              <w:spacing w:after="0" w:line="190" w:lineRule="exact"/>
              <w:rPr>
                <w:sz w:val="20"/>
                <w:szCs w:val="20"/>
                <w:color w:val="auto"/>
              </w:rPr>
            </w:pPr>
            <w:r>
              <w:rPr>
                <w:rFonts w:ascii="Arial" w:cs="Arial" w:eastAsia="Arial" w:hAnsi="Arial"/>
                <w:sz w:val="18"/>
                <w:szCs w:val="18"/>
                <w:color w:val="0000FF"/>
              </w:rPr>
              <w:t>Certificate of the Chief Executive Officer of Gentex Corporation pursuant to Section 302 of the Sarbanes-Oxley Act of 2002</w:t>
            </w:r>
          </w:p>
        </w:tc>
      </w:tr>
      <w:tr>
        <w:trPr>
          <w:trHeight w:val="169"/>
        </w:trPr>
        <w:tc>
          <w:tcPr>
            <w:tcW w:w="1320" w:type="dxa"/>
            <w:vAlign w:val="bottom"/>
            <w:tcBorders>
              <w:top w:val="single" w:sz="8" w:color="CCEEFF"/>
            </w:tcBorders>
            <w:shd w:val="clear" w:color="auto" w:fill="CCEEFF"/>
          </w:tcPr>
          <w:p>
            <w:pPr>
              <w:spacing w:after="0"/>
              <w:rPr>
                <w:sz w:val="14"/>
                <w:szCs w:val="14"/>
                <w:color w:val="auto"/>
              </w:rPr>
            </w:pPr>
          </w:p>
        </w:tc>
        <w:tc>
          <w:tcPr>
            <w:tcW w:w="9760" w:type="dxa"/>
            <w:vAlign w:val="bottom"/>
            <w:tcBorders>
              <w:top w:val="single" w:sz="8" w:color="0000FF"/>
            </w:tcBorders>
            <w:gridSpan w:val="3"/>
            <w:shd w:val="clear" w:color="auto" w:fill="CCEEFF"/>
          </w:tcPr>
          <w:p>
            <w:pPr>
              <w:spacing w:after="0" w:line="169" w:lineRule="exact"/>
              <w:rPr>
                <w:sz w:val="20"/>
                <w:szCs w:val="20"/>
                <w:color w:val="auto"/>
              </w:rPr>
            </w:pPr>
            <w:r>
              <w:rPr>
                <w:rFonts w:ascii="Arial" w:cs="Arial" w:eastAsia="Arial" w:hAnsi="Arial"/>
                <w:sz w:val="18"/>
                <w:szCs w:val="18"/>
                <w:color w:val="0000FF"/>
              </w:rPr>
              <w:t>(18 U.S.C. 1350).</w:t>
            </w:r>
          </w:p>
        </w:tc>
        <w:tc>
          <w:tcPr>
            <w:tcW w:w="120" w:type="dxa"/>
            <w:vAlign w:val="bottom"/>
            <w:tcBorders>
              <w:top w:val="single" w:sz="8" w:color="CCEEFF"/>
            </w:tcBorders>
            <w:shd w:val="clear" w:color="auto" w:fill="CCEEFF"/>
          </w:tcPr>
          <w:p>
            <w:pPr>
              <w:spacing w:after="0"/>
              <w:rPr>
                <w:sz w:val="14"/>
                <w:szCs w:val="14"/>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2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9880" w:type="dxa"/>
            <w:vAlign w:val="bottom"/>
            <w:gridSpan w:val="4"/>
          </w:tcPr>
          <w:p>
            <w:pPr>
              <w:spacing w:after="0" w:line="189" w:lineRule="exact"/>
              <w:rPr>
                <w:sz w:val="20"/>
                <w:szCs w:val="20"/>
                <w:color w:val="auto"/>
              </w:rPr>
            </w:pPr>
            <w:r>
              <w:rPr>
                <w:rFonts w:ascii="Arial" w:cs="Arial" w:eastAsia="Arial" w:hAnsi="Arial"/>
                <w:sz w:val="18"/>
                <w:szCs w:val="18"/>
                <w:color w:val="0000FF"/>
              </w:rPr>
              <w:t>Certificate of the Chief Financial Officer of Gentex Corporation pursuant to Section 302 of the Sarbanes-Oxley Act of 2002</w:t>
            </w:r>
          </w:p>
        </w:tc>
      </w:tr>
      <w:tr>
        <w:trPr>
          <w:trHeight w:val="169"/>
        </w:trPr>
        <w:tc>
          <w:tcPr>
            <w:tcW w:w="1320" w:type="dxa"/>
            <w:vAlign w:val="bottom"/>
          </w:tcPr>
          <w:p>
            <w:pPr>
              <w:spacing w:after="0"/>
              <w:rPr>
                <w:sz w:val="14"/>
                <w:szCs w:val="14"/>
                <w:color w:val="auto"/>
              </w:rPr>
            </w:pPr>
          </w:p>
        </w:tc>
        <w:tc>
          <w:tcPr>
            <w:tcW w:w="970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8"/>
                <w:szCs w:val="18"/>
                <w:color w:val="0000FF"/>
              </w:rPr>
              <w:t>(18 U.S.C. 1350).</w:t>
            </w:r>
          </w:p>
        </w:tc>
        <w:tc>
          <w:tcPr>
            <w:tcW w:w="18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 w:lineRule="exact"/>
        <w:rPr>
          <w:sz w:val="20"/>
          <w:szCs w:val="20"/>
          <w:color w:val="auto"/>
        </w:rPr>
      </w:pPr>
    </w:p>
    <w:p>
      <w:pPr>
        <w:ind w:left="1320" w:right="300" w:hanging="1294"/>
        <w:spacing w:after="0" w:line="248" w:lineRule="auto"/>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0000FF"/>
        </w:rPr>
        <w:t>Certificate of the Chief Executive Officer and Chief Financial Officer of Gentex Corporation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06285" cy="265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1040" w:type="dxa"/>
            <w:vAlign w:val="bottom"/>
          </w:tcPr>
          <w:p>
            <w:pPr>
              <w:ind w:left="20"/>
              <w:spacing w:after="0" w:line="180" w:lineRule="exact"/>
              <w:rPr>
                <w:sz w:val="20"/>
                <w:szCs w:val="20"/>
                <w:color w:val="auto"/>
              </w:rPr>
            </w:pPr>
            <w:r>
              <w:rPr>
                <w:rFonts w:ascii="Arial" w:cs="Arial" w:eastAsia="Arial" w:hAnsi="Arial"/>
                <w:sz w:val="18"/>
                <w:szCs w:val="18"/>
                <w:color w:val="auto"/>
              </w:rPr>
              <w:t>101.INS</w:t>
            </w:r>
          </w:p>
        </w:tc>
        <w:tc>
          <w:tcPr>
            <w:tcW w:w="10160" w:type="dxa"/>
            <w:vAlign w:val="bottom"/>
          </w:tcPr>
          <w:p>
            <w:pPr>
              <w:ind w:left="280"/>
              <w:spacing w:after="0" w:line="180"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5"/>
        </w:trPr>
        <w:tc>
          <w:tcPr>
            <w:tcW w:w="1040" w:type="dxa"/>
            <w:vAlign w:val="bottom"/>
          </w:tcPr>
          <w:p>
            <w:pPr>
              <w:spacing w:after="0"/>
              <w:rPr>
                <w:sz w:val="20"/>
                <w:szCs w:val="20"/>
                <w:color w:val="auto"/>
              </w:rPr>
            </w:pPr>
          </w:p>
        </w:tc>
        <w:tc>
          <w:tcPr>
            <w:tcW w:w="10160" w:type="dxa"/>
            <w:vAlign w:val="bottom"/>
          </w:tcPr>
          <w:p>
            <w:pPr>
              <w:ind w:left="280"/>
              <w:spacing w:after="0"/>
              <w:rPr>
                <w:sz w:val="20"/>
                <w:szCs w:val="20"/>
                <w:color w:val="auto"/>
              </w:rPr>
            </w:pPr>
            <w:r>
              <w:rPr>
                <w:rFonts w:ascii="Arial" w:cs="Arial" w:eastAsia="Arial" w:hAnsi="Arial"/>
                <w:sz w:val="18"/>
                <w:szCs w:val="18"/>
                <w:color w:val="auto"/>
              </w:rPr>
              <w:t>tags are embedded within the Inline XBRL document</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Definition Linkbase</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93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3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240"/>
          </w:cols>
          <w:pgMar w:left="320" w:top="931"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80" w:lineRule="exact"/>
        <w:rPr>
          <w:sz w:val="20"/>
          <w:szCs w:val="20"/>
          <w:color w:val="auto"/>
        </w:rPr>
      </w:pPr>
    </w:p>
    <w:p>
      <w:pPr>
        <w:ind w:left="240" w:hanging="232"/>
        <w:spacing w:after="0" w:line="287" w:lineRule="auto"/>
        <w:tabs>
          <w:tab w:leader="none" w:pos="28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30, 2025, which this statement accompanies, fully complies with the requirements of Section 13(a) or 15(d) of the Securities Exchange Act of 1934; and</w:t>
      </w:r>
    </w:p>
    <w:p>
      <w:pPr>
        <w:spacing w:after="0" w:line="179" w:lineRule="exact"/>
        <w:rPr>
          <w:rFonts w:ascii="Arial" w:cs="Arial" w:eastAsia="Arial" w:hAnsi="Arial"/>
          <w:sz w:val="18"/>
          <w:szCs w:val="18"/>
          <w:color w:val="auto"/>
        </w:rPr>
      </w:pPr>
    </w:p>
    <w:p>
      <w:pPr>
        <w:ind w:left="240" w:hanging="232"/>
        <w:spacing w:after="0" w:line="287" w:lineRule="auto"/>
        <w:tabs>
          <w:tab w:leader="none" w:pos="2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June 30, 2025,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decimal"/>
      <w:start w:val="4"/>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1)"/>
      <w:numFmt w:val="decimal"/>
      <w:start w:val="6"/>
    </w:lvl>
  </w:abstractNum>
  <w:abstractNum w:abstractNumId="9">
    <w:nsid w:val="3F2DBA31"/>
    <w:multiLevelType w:val="hybridMultilevel"/>
    <w:lvl w:ilvl="0">
      <w:lvlJc w:val="left"/>
      <w:lvlText w:val="(%1)"/>
      <w:numFmt w:val="decimal"/>
      <w:start w:val="7"/>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8"/>
    </w:lvl>
  </w:abstractNum>
  <w:abstractNum w:abstractNumId="12">
    <w:nsid w:val="62BBD95A"/>
    <w:multiLevelType w:val="hybridMultilevel"/>
    <w:lvl w:ilvl="0">
      <w:lvlJc w:val="left"/>
      <w:lvlText w:val="(%1)"/>
      <w:numFmt w:val="decimal"/>
      <w:start w:val="9"/>
    </w:lvl>
  </w:abstractNum>
  <w:abstractNum w:abstractNumId="13">
    <w:nsid w:val="436C6125"/>
    <w:multiLevelType w:val="hybridMultilevel"/>
    <w:lvl w:ilvl="0">
      <w:lvlJc w:val="left"/>
      <w:lvlText w:val="%1"/>
      <w:numFmt w:val="decimal"/>
      <w:start w:val="1"/>
    </w:lvl>
    <w:lvl w:ilvl="1">
      <w:lvlJc w:val="left"/>
      <w:lvlText w:val="%2"/>
      <w:numFmt w:val="upperLetter"/>
      <w:start w:val="37"/>
    </w:lvl>
  </w:abstractNum>
  <w:abstractNum w:abstractNumId="14">
    <w:nsid w:val="628C895D"/>
    <w:multiLevelType w:val="hybridMultilevel"/>
    <w:lvl w:ilvl="0">
      <w:lvlJc w:val="left"/>
      <w:lvlText w:val="(%1)"/>
      <w:numFmt w:val="decimal"/>
      <w:start w:val="10"/>
    </w:lvl>
    <w:lvl w:ilvl="1">
      <w:lvlJc w:val="left"/>
      <w:lvlText w:val="%2"/>
      <w:numFmt w:val="upperLetter"/>
      <w:start w:val="1"/>
    </w:lvl>
  </w:abstractNum>
  <w:abstractNum w:abstractNumId="15">
    <w:nsid w:val="333AB105"/>
    <w:multiLevelType w:val="hybridMultilevel"/>
    <w:lvl w:ilvl="0">
      <w:lvlJc w:val="left"/>
      <w:lvlText w:val="(%1)"/>
      <w:numFmt w:val="decimal"/>
      <w:start w:val="11"/>
    </w:lvl>
  </w:abstractNum>
  <w:abstractNum w:abstractNumId="16">
    <w:nsid w:val="721DA317"/>
    <w:multiLevelType w:val="hybridMultilevel"/>
    <w:lvl w:ilvl="0">
      <w:lvlJc w:val="left"/>
      <w:lvlText w:val="(%1)"/>
      <w:numFmt w:val="decimal"/>
      <w:start w:val="12"/>
    </w:lvl>
  </w:abstractNum>
  <w:abstractNum w:abstractNumId="17">
    <w:nsid w:val="2443A858"/>
    <w:multiLevelType w:val="hybridMultilevel"/>
    <w:lvl w:ilvl="0">
      <w:lvlJc w:val="left"/>
      <w:lvlText w:val="(%1)"/>
      <w:numFmt w:val="decimal"/>
      <w:start w:val="13"/>
    </w:lvl>
  </w:abstractNum>
  <w:abstractNum w:abstractNumId="18">
    <w:nsid w:val="2D1D5AE9"/>
    <w:multiLevelType w:val="hybridMultilevel"/>
    <w:lvl w:ilvl="0">
      <w:lvlJc w:val="left"/>
      <w:lvlText w:val="(%1)"/>
      <w:numFmt w:val="decimal"/>
      <w:start w:val="14"/>
    </w:lvl>
  </w:abstractNum>
  <w:abstractNum w:abstractNumId="19">
    <w:nsid w:val="6763845E"/>
    <w:multiLevelType w:val="hybridMultilevel"/>
    <w:lvl w:ilvl="0">
      <w:lvlJc w:val="left"/>
      <w:lvlText w:val="(%1)"/>
      <w:numFmt w:val="decimal"/>
      <w:start w:val="15"/>
    </w:lvl>
  </w:abstractNum>
  <w:abstractNum w:abstractNumId="20">
    <w:nsid w:val="75A2A8D4"/>
    <w:multiLevelType w:val="hybridMultilevel"/>
    <w:lvl w:ilvl="0">
      <w:lvlJc w:val="left"/>
      <w:lvlText w:val="•"/>
      <w:numFmt w:val="bullet"/>
      <w:start w:val="1"/>
    </w:lvl>
    <w:lvl w:ilvl="1">
      <w:lvlJc w:val="left"/>
      <w:lvlText w:val="◦"/>
      <w:numFmt w:val="bullet"/>
      <w:start w:val="1"/>
    </w:lvl>
  </w:abstractNum>
  <w:abstractNum w:abstractNumId="21">
    <w:nsid w:val="8EDBDAB"/>
    <w:multiLevelType w:val="hybridMultilevel"/>
    <w:lvl w:ilvl="0">
      <w:lvlJc w:val="left"/>
      <w:lvlText w:val="•"/>
      <w:numFmt w:val="bullet"/>
      <w:start w:val="1"/>
    </w:lvl>
    <w:lvl w:ilvl="1">
      <w:lvlJc w:val="left"/>
      <w:lvlText w:val="◦"/>
      <w:numFmt w:val="bullet"/>
      <w:start w:val="1"/>
    </w:lvl>
  </w:abstractNum>
  <w:abstractNum w:abstractNumId="22">
    <w:nsid w:val="79838CB2"/>
    <w:multiLevelType w:val="hybridMultilevel"/>
    <w:lvl w:ilvl="0">
      <w:lvlJc w:val="left"/>
      <w:lvlText w:val="(%1)"/>
      <w:numFmt w:val="lowerLetter"/>
      <w:start w:val="3"/>
    </w:lvl>
  </w:abstractNum>
  <w:abstractNum w:abstractNumId="23">
    <w:nsid w:val="4353D0CD"/>
    <w:multiLevelType w:val="hybridMultilevel"/>
    <w:lvl w:ilvl="0">
      <w:lvlJc w:val="left"/>
      <w:lvlText w:val="%1"/>
      <w:numFmt w:val="decimal"/>
      <w:start w:val="32"/>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2025-08-08T13:03:29Z</dcterms:created>
  <dcterms:modified xsi:type="dcterms:W3CDTF">2025-08-08T13:03:29Z</dcterms:modified>
</cp:coreProperties>
</file>