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For the quarterly period ended June 30, 2022 or</w:t>
      </w:r>
    </w:p>
    <w:p>
      <w:pPr>
        <w:spacing w:after="0" w:line="289" w:lineRule="exact"/>
        <w:rPr>
          <w:sz w:val="24"/>
          <w:szCs w:val="24"/>
          <w:color w:val="auto"/>
        </w:rPr>
      </w:pPr>
    </w:p>
    <w:p>
      <w:pPr>
        <w:ind w:left="720" w:hanging="694"/>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420" w:type="dxa"/>
            <w:vAlign w:val="bottom"/>
          </w:tcPr>
          <w:p>
            <w:pPr>
              <w:ind w:left="340"/>
              <w:spacing w:after="0"/>
              <w:rPr>
                <w:sz w:val="20"/>
                <w:szCs w:val="20"/>
                <w:color w:val="auto"/>
              </w:rPr>
            </w:pPr>
            <w:r>
              <w:rPr>
                <w:rFonts w:ascii="Arial" w:cs="Arial" w:eastAsia="Arial" w:hAnsi="Arial"/>
                <w:sz w:val="16"/>
                <w:szCs w:val="16"/>
                <w:color w:val="auto"/>
              </w:rPr>
              <w:t>For the transition period from</w:t>
            </w:r>
          </w:p>
        </w:tc>
        <w:tc>
          <w:tcPr>
            <w:tcW w:w="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to</w:t>
            </w:r>
          </w:p>
        </w:tc>
        <w:tc>
          <w:tcPr>
            <w:tcW w:w="5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4280" w:type="dxa"/>
            <w:vAlign w:val="bottom"/>
            <w:gridSpan w:val="6"/>
          </w:tcPr>
          <w:p>
            <w:pPr>
              <w:ind w:left="340"/>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6980" w:type="dxa"/>
            <w:vAlign w:val="bottom"/>
            <w:gridSpan w:val="2"/>
            <w:vMerge w:val="restart"/>
          </w:tcPr>
          <w:p>
            <w:pPr>
              <w:jc w:val="center"/>
              <w:ind w:right="4223"/>
              <w:spacing w:after="0"/>
              <w:rPr>
                <w:sz w:val="20"/>
                <w:szCs w:val="20"/>
                <w:color w:val="auto"/>
              </w:rPr>
            </w:pPr>
            <w:r>
              <w:rPr>
                <w:rFonts w:ascii="Arial" w:cs="Arial" w:eastAsia="Arial" w:hAnsi="Arial"/>
                <w:sz w:val="22"/>
                <w:szCs w:val="22"/>
                <w:b w:val="1"/>
                <w:bCs w:val="1"/>
                <w:color w:val="auto"/>
                <w:w w:val="97"/>
              </w:rPr>
              <w:t>GENTEX CORPORATION</w:t>
            </w: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540" w:type="dxa"/>
            <w:vAlign w:val="bottom"/>
            <w:gridSpan w:val="3"/>
          </w:tcPr>
          <w:p>
            <w:pPr>
              <w:jc w:val="center"/>
              <w:ind w:right="3663"/>
              <w:spacing w:after="0"/>
              <w:rPr>
                <w:sz w:val="20"/>
                <w:szCs w:val="20"/>
                <w:color w:val="auto"/>
              </w:rPr>
            </w:pPr>
            <w:r>
              <w:rPr>
                <w:rFonts w:ascii="Arial" w:cs="Arial" w:eastAsia="Arial" w:hAnsi="Arial"/>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55"/>
        </w:trPr>
        <w:tc>
          <w:tcPr>
            <w:tcW w:w="4280" w:type="dxa"/>
            <w:vAlign w:val="bottom"/>
            <w:gridSpan w:val="6"/>
          </w:tcPr>
          <w:p>
            <w:pPr>
              <w:jc w:val="center"/>
              <w:ind w:left="1224"/>
              <w:spacing w:after="0"/>
              <w:rPr>
                <w:sz w:val="20"/>
                <w:szCs w:val="20"/>
                <w:color w:val="auto"/>
              </w:rPr>
            </w:pPr>
            <w:r>
              <w:rPr>
                <w:rFonts w:ascii="Arial" w:cs="Arial" w:eastAsia="Arial" w:hAnsi="Arial"/>
                <w:sz w:val="18"/>
                <w:szCs w:val="18"/>
                <w:b w:val="1"/>
                <w:bCs w:val="1"/>
                <w:color w:val="auto"/>
                <w:w w:val="99"/>
              </w:rPr>
              <w:t>Michigan</w:t>
            </w:r>
          </w:p>
        </w:tc>
        <w:tc>
          <w:tcPr>
            <w:tcW w:w="2200" w:type="dxa"/>
            <w:vAlign w:val="bottom"/>
          </w:tcPr>
          <w:p>
            <w:pPr>
              <w:spacing w:after="0"/>
              <w:rPr>
                <w:sz w:val="22"/>
                <w:szCs w:val="22"/>
                <w:color w:val="auto"/>
              </w:rPr>
            </w:pPr>
          </w:p>
        </w:tc>
        <w:tc>
          <w:tcPr>
            <w:tcW w:w="4780" w:type="dxa"/>
            <w:vAlign w:val="bottom"/>
          </w:tcPr>
          <w:p>
            <w:pPr>
              <w:jc w:val="right"/>
              <w:ind w:right="2263"/>
              <w:spacing w:after="0"/>
              <w:rPr>
                <w:sz w:val="20"/>
                <w:szCs w:val="20"/>
                <w:color w:val="auto"/>
              </w:rPr>
            </w:pPr>
            <w:r>
              <w:rPr>
                <w:rFonts w:ascii="Arial" w:cs="Arial" w:eastAsia="Arial" w:hAnsi="Arial"/>
                <w:sz w:val="18"/>
                <w:szCs w:val="18"/>
                <w:b w:val="1"/>
                <w:bCs w:val="1"/>
                <w:color w:val="auto"/>
              </w:rPr>
              <w:t>38-2030505</w:t>
            </w:r>
          </w:p>
        </w:tc>
        <w:tc>
          <w:tcPr>
            <w:tcW w:w="0" w:type="dxa"/>
            <w:vAlign w:val="bottom"/>
          </w:tcPr>
          <w:p>
            <w:pPr>
              <w:spacing w:after="0"/>
              <w:rPr>
                <w:sz w:val="1"/>
                <w:szCs w:val="1"/>
                <w:color w:val="auto"/>
              </w:rPr>
            </w:pPr>
          </w:p>
        </w:tc>
      </w:tr>
      <w:tr>
        <w:trPr>
          <w:trHeight w:val="148"/>
        </w:trPr>
        <w:tc>
          <w:tcPr>
            <w:tcW w:w="4280" w:type="dxa"/>
            <w:vAlign w:val="bottom"/>
            <w:gridSpan w:val="6"/>
          </w:tcPr>
          <w:p>
            <w:pPr>
              <w:jc w:val="center"/>
              <w:ind w:left="1244"/>
              <w:spacing w:after="0" w:line="149" w:lineRule="exact"/>
              <w:rPr>
                <w:sz w:val="20"/>
                <w:szCs w:val="20"/>
                <w:color w:val="auto"/>
              </w:rPr>
            </w:pPr>
            <w:r>
              <w:rPr>
                <w:rFonts w:ascii="Arial" w:cs="Arial" w:eastAsia="Arial" w:hAnsi="Arial"/>
                <w:sz w:val="14"/>
                <w:szCs w:val="14"/>
                <w:color w:val="auto"/>
              </w:rPr>
              <w:t>(State or other jurisdiction of</w:t>
            </w:r>
          </w:p>
        </w:tc>
        <w:tc>
          <w:tcPr>
            <w:tcW w:w="2200" w:type="dxa"/>
            <w:vAlign w:val="bottom"/>
          </w:tcPr>
          <w:p>
            <w:pPr>
              <w:spacing w:after="0"/>
              <w:rPr>
                <w:sz w:val="12"/>
                <w:szCs w:val="12"/>
                <w:color w:val="auto"/>
              </w:rPr>
            </w:pPr>
          </w:p>
        </w:tc>
        <w:tc>
          <w:tcPr>
            <w:tcW w:w="4780" w:type="dxa"/>
            <w:vAlign w:val="bottom"/>
          </w:tcPr>
          <w:p>
            <w:pPr>
              <w:jc w:val="center"/>
              <w:ind w:right="783"/>
              <w:spacing w:after="0" w:line="149"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44"/>
              <w:spacing w:after="0"/>
              <w:rPr>
                <w:sz w:val="20"/>
                <w:szCs w:val="20"/>
                <w:color w:val="auto"/>
              </w:rPr>
            </w:pPr>
            <w:r>
              <w:rPr>
                <w:rFonts w:ascii="Arial" w:cs="Arial" w:eastAsia="Arial" w:hAnsi="Arial"/>
                <w:sz w:val="14"/>
                <w:szCs w:val="14"/>
                <w:color w:val="auto"/>
              </w:rPr>
              <w:t>incorporation or organization)</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64"/>
        </w:trPr>
        <w:tc>
          <w:tcPr>
            <w:tcW w:w="4280" w:type="dxa"/>
            <w:vAlign w:val="bottom"/>
            <w:gridSpan w:val="6"/>
          </w:tcPr>
          <w:p>
            <w:pPr>
              <w:jc w:val="center"/>
              <w:ind w:left="1244"/>
              <w:spacing w:after="0"/>
              <w:rPr>
                <w:sz w:val="20"/>
                <w:szCs w:val="20"/>
                <w:color w:val="auto"/>
              </w:rPr>
            </w:pPr>
            <w:r>
              <w:rPr>
                <w:rFonts w:ascii="Arial" w:cs="Arial" w:eastAsia="Arial" w:hAnsi="Arial"/>
                <w:sz w:val="16"/>
                <w:szCs w:val="16"/>
                <w:b w:val="1"/>
                <w:bCs w:val="1"/>
                <w:color w:val="auto"/>
              </w:rPr>
              <w:t>600 N. Centennial</w:t>
            </w:r>
          </w:p>
        </w:tc>
        <w:tc>
          <w:tcPr>
            <w:tcW w:w="220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4"/>
          </w:tcPr>
          <w:p>
            <w:pPr>
              <w:jc w:val="center"/>
              <w:ind w:right="1088"/>
              <w:spacing w:after="0"/>
              <w:rPr>
                <w:sz w:val="20"/>
                <w:szCs w:val="20"/>
                <w:color w:val="auto"/>
              </w:rPr>
            </w:pPr>
            <w:r>
              <w:rPr>
                <w:rFonts w:ascii="Arial" w:cs="Arial" w:eastAsia="Arial" w:hAnsi="Arial"/>
                <w:sz w:val="16"/>
                <w:szCs w:val="16"/>
                <w:b w:val="1"/>
                <w:bCs w:val="1"/>
                <w:color w:val="auto"/>
              </w:rPr>
              <w:t>Zeeland</w:t>
            </w:r>
          </w:p>
        </w:tc>
        <w:tc>
          <w:tcPr>
            <w:tcW w:w="2200" w:type="dxa"/>
            <w:vAlign w:val="bottom"/>
          </w:tcPr>
          <w:p>
            <w:pPr>
              <w:spacing w:after="0"/>
              <w:rPr>
                <w:sz w:val="18"/>
                <w:szCs w:val="18"/>
                <w:color w:val="auto"/>
              </w:rPr>
            </w:pPr>
          </w:p>
        </w:tc>
        <w:tc>
          <w:tcPr>
            <w:tcW w:w="4780" w:type="dxa"/>
            <w:vAlign w:val="bottom"/>
            <w:vMerge w:val="restart"/>
          </w:tcPr>
          <w:p>
            <w:pPr>
              <w:jc w:val="right"/>
              <w:ind w:right="2503"/>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860" w:type="dxa"/>
            <w:vAlign w:val="bottom"/>
            <w:gridSpan w:val="5"/>
          </w:tcPr>
          <w:p>
            <w:pPr>
              <w:jc w:val="center"/>
              <w:ind w:right="1048"/>
              <w:spacing w:after="0"/>
              <w:rPr>
                <w:sz w:val="20"/>
                <w:szCs w:val="20"/>
                <w:color w:val="auto"/>
              </w:rPr>
            </w:pPr>
            <w:r>
              <w:rPr>
                <w:rFonts w:ascii="Arial" w:cs="Arial" w:eastAsia="Arial" w:hAnsi="Arial"/>
                <w:sz w:val="16"/>
                <w:szCs w:val="16"/>
                <w:b w:val="1"/>
                <w:bCs w:val="1"/>
                <w:color w:val="auto"/>
              </w:rPr>
              <w:t>Michigan</w:t>
            </w:r>
          </w:p>
        </w:tc>
        <w:tc>
          <w:tcPr>
            <w:tcW w:w="2200" w:type="dxa"/>
            <w:vAlign w:val="bottom"/>
          </w:tcPr>
          <w:p>
            <w:pPr>
              <w:spacing w:after="0"/>
              <w:rPr>
                <w:sz w:val="20"/>
                <w:szCs w:val="20"/>
                <w:color w:val="auto"/>
              </w:rPr>
            </w:pP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24"/>
              <w:spacing w:after="0"/>
              <w:rPr>
                <w:sz w:val="20"/>
                <w:szCs w:val="20"/>
                <w:color w:val="auto"/>
              </w:rPr>
            </w:pPr>
            <w:r>
              <w:rPr>
                <w:rFonts w:ascii="Arial" w:cs="Arial" w:eastAsia="Arial" w:hAnsi="Arial"/>
                <w:sz w:val="14"/>
                <w:szCs w:val="14"/>
                <w:color w:val="auto"/>
              </w:rPr>
              <w:t>(Address of principal executive offices)</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09"/>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tcPr>
          <w:p>
            <w:pPr>
              <w:jc w:val="right"/>
              <w:ind w:right="155"/>
              <w:spacing w:after="0"/>
              <w:rPr>
                <w:sz w:val="20"/>
                <w:szCs w:val="20"/>
                <w:color w:val="auto"/>
              </w:rPr>
            </w:pPr>
            <w:r>
              <w:rPr>
                <w:rFonts w:ascii="Arial" w:cs="Arial" w:eastAsia="Arial" w:hAnsi="Arial"/>
                <w:sz w:val="18"/>
                <w:szCs w:val="18"/>
                <w:b w:val="1"/>
                <w:bCs w:val="1"/>
                <w:color w:val="auto"/>
              </w:rPr>
              <w:t>(616) 772-1800</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40" w:type="dxa"/>
            <w:vAlign w:val="bottom"/>
            <w:gridSpan w:val="3"/>
          </w:tcPr>
          <w:p>
            <w:pPr>
              <w:jc w:val="center"/>
              <w:ind w:right="3643"/>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8840" w:type="dxa"/>
            <w:vAlign w:val="bottom"/>
            <w:gridSpan w:val="7"/>
          </w:tcPr>
          <w:p>
            <w:pPr>
              <w:jc w:val="right"/>
              <w:ind w:right="3883"/>
              <w:spacing w:after="0"/>
              <w:rPr>
                <w:sz w:val="20"/>
                <w:szCs w:val="20"/>
                <w:color w:val="auto"/>
              </w:rPr>
            </w:pPr>
            <w:r>
              <w:rPr>
                <w:rFonts w:ascii="Arial" w:cs="Arial" w:eastAsia="Arial" w:hAnsi="Arial"/>
                <w:sz w:val="11"/>
                <w:szCs w:val="11"/>
                <w:color w:val="auto"/>
              </w:rPr>
              <w:t>________________________________________________________</w:t>
            </w:r>
          </w:p>
        </w:tc>
        <w:tc>
          <w:tcPr>
            <w:tcW w:w="0" w:type="dxa"/>
            <w:vAlign w:val="bottom"/>
          </w:tcPr>
          <w:p>
            <w:pPr>
              <w:spacing w:after="0"/>
              <w:rPr>
                <w:sz w:val="1"/>
                <w:szCs w:val="1"/>
                <w:color w:val="auto"/>
              </w:rPr>
            </w:pPr>
          </w:p>
        </w:tc>
      </w:tr>
      <w:tr>
        <w:trPr>
          <w:trHeight w:val="417"/>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60" w:type="dxa"/>
            <w:vAlign w:val="bottom"/>
            <w:gridSpan w:val="5"/>
          </w:tcPr>
          <w:p>
            <w:pPr>
              <w:jc w:val="center"/>
              <w:ind w:right="2923"/>
              <w:spacing w:after="0"/>
              <w:rPr>
                <w:sz w:val="20"/>
                <w:szCs w:val="20"/>
                <w:color w:val="auto"/>
              </w:rPr>
            </w:pPr>
            <w:r>
              <w:rPr>
                <w:rFonts w:ascii="Arial" w:cs="Arial" w:eastAsia="Arial" w:hAnsi="Arial"/>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580"/>
        </w:trPr>
        <w:tc>
          <w:tcPr>
            <w:tcW w:w="4280" w:type="dxa"/>
            <w:vAlign w:val="bottom"/>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2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Trading Symbol(s)</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96"/>
        </w:trPr>
        <w:tc>
          <w:tcPr>
            <w:tcW w:w="4280" w:type="dxa"/>
            <w:vAlign w:val="bottom"/>
            <w:tcBorders>
              <w:left w:val="single" w:sz="8" w:color="auto"/>
              <w:bottom w:val="single" w:sz="8" w:color="auto"/>
              <w:right w:val="single" w:sz="8" w:color="auto"/>
            </w:tcBorders>
            <w:gridSpan w:val="6"/>
          </w:tcPr>
          <w:p>
            <w:pPr>
              <w:ind w:left="40"/>
              <w:spacing w:after="0"/>
              <w:rPr>
                <w:sz w:val="20"/>
                <w:szCs w:val="20"/>
                <w:color w:val="auto"/>
              </w:rPr>
            </w:pPr>
            <w:r>
              <w:rPr>
                <w:rFonts w:ascii="Arial" w:cs="Arial" w:eastAsia="Arial" w:hAnsi="Arial"/>
                <w:sz w:val="14"/>
                <w:szCs w:val="14"/>
                <w:color w:val="auto"/>
              </w:rPr>
              <w:t>Common Stock, par value $0.06 per share</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GNTX</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bl>
    <w:p>
      <w:pPr>
        <w:spacing w:after="0" w:line="234" w:lineRule="exact"/>
        <w:rPr>
          <w:sz w:val="24"/>
          <w:szCs w:val="24"/>
          <w:color w:val="auto"/>
        </w:rPr>
      </w:pPr>
    </w:p>
    <w:p>
      <w:pPr>
        <w:ind w:right="12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tabs>
          <w:tab w:leader="none" w:pos="6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o</w:t>
      </w:r>
    </w:p>
    <w:p>
      <w:pPr>
        <w:spacing w:after="0" w:line="166" w:lineRule="exact"/>
        <w:rPr>
          <w:sz w:val="24"/>
          <w:szCs w:val="24"/>
          <w:color w:val="auto"/>
        </w:rPr>
      </w:pPr>
    </w:p>
    <w:p>
      <w:pPr>
        <w:ind w:right="540"/>
        <w:spacing w:after="0" w:line="18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3" w:lineRule="exact"/>
        <w:rPr>
          <w:sz w:val="24"/>
          <w:szCs w:val="24"/>
          <w:color w:val="auto"/>
        </w:rPr>
      </w:pPr>
    </w:p>
    <w:p>
      <w:pPr>
        <w:ind w:right="26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40" w:type="dxa"/>
            <w:vAlign w:val="bottom"/>
          </w:tcPr>
          <w:p>
            <w:pPr>
              <w:ind w:left="294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5"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5" w:lineRule="exact"/>
        <w:rPr>
          <w:sz w:val="24"/>
          <w:szCs w:val="24"/>
          <w:color w:val="auto"/>
        </w:rPr>
      </w:pPr>
    </w:p>
    <w:p>
      <w:pPr>
        <w:spacing w:after="0" w:line="161" w:lineRule="exact"/>
        <w:tabs>
          <w:tab w:leader="none" w:pos="828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sz w:val="20"/>
          <w:szCs w:val="20"/>
          <w:color w:val="auto"/>
        </w:rPr>
        <w:tab/>
      </w:r>
      <w:r>
        <w:rPr>
          <w:rFonts w:ascii="MS PGothic" w:cs="MS PGothic" w:eastAsia="MS PGothic" w:hAnsi="MS PGothic"/>
          <w:sz w:val="14"/>
          <w:szCs w:val="14"/>
          <w:color w:val="auto"/>
        </w:rPr>
        <w:t>☑</w:t>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PRECEDING FIVE YEARS:</w:t>
      </w:r>
    </w:p>
    <w:p>
      <w:pPr>
        <w:spacing w:after="0" w:line="177" w:lineRule="exact"/>
        <w:rPr>
          <w:sz w:val="24"/>
          <w:szCs w:val="24"/>
          <w:color w:val="auto"/>
        </w:rPr>
      </w:pPr>
    </w:p>
    <w:p>
      <w:pPr>
        <w:ind w:right="560"/>
        <w:spacing w:after="0" w:line="305" w:lineRule="auto"/>
        <w:rPr>
          <w:sz w:val="20"/>
          <w:szCs w:val="20"/>
          <w:color w:val="auto"/>
        </w:rPr>
      </w:pPr>
      <w:r>
        <w:rPr>
          <w:rFonts w:ascii="Arial" w:cs="Arial" w:eastAsia="Arial" w:hAnsi="Arial"/>
          <w:sz w:val="14"/>
          <w:szCs w:val="14"/>
          <w:color w:val="auto"/>
        </w:rPr>
        <w:t>Indicate by check mark whether the registrant has filed all documents and reports required to be filed by Sections 12, 13 or 15(d) of the Securities Exchange Act of 1934 subsequent to the distribution of securities under a plan confirmed by a court. Yes: o No: o</w:t>
      </w:r>
    </w:p>
    <w:p>
      <w:pPr>
        <w:spacing w:after="0" w:line="90"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CORPORATE ISSUERS:</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7"/>
                <w:szCs w:val="17"/>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Outstanding, July 22, 2022</w:t>
            </w:r>
          </w:p>
        </w:tc>
      </w:tr>
      <w:tr>
        <w:trPr>
          <w:trHeight w:val="189"/>
        </w:trPr>
        <w:tc>
          <w:tcPr>
            <w:tcW w:w="528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$.06 Par Value</w:t>
            </w:r>
          </w:p>
        </w:tc>
        <w:tc>
          <w:tcPr>
            <w:tcW w:w="5520" w:type="dxa"/>
            <w:vAlign w:val="bottom"/>
          </w:tcPr>
          <w:p>
            <w:pPr>
              <w:jc w:val="right"/>
              <w:ind w:right="2288"/>
              <w:spacing w:after="0"/>
              <w:rPr>
                <w:sz w:val="20"/>
                <w:szCs w:val="20"/>
                <w:color w:val="auto"/>
              </w:rPr>
            </w:pPr>
            <w:r>
              <w:rPr>
                <w:rFonts w:ascii="Arial" w:cs="Arial" w:eastAsia="Arial" w:hAnsi="Arial"/>
                <w:sz w:val="14"/>
                <w:szCs w:val="14"/>
                <w:color w:val="auto"/>
              </w:rPr>
              <w:t>235,129,597</w:t>
            </w:r>
          </w:p>
        </w:tc>
      </w:tr>
    </w:tbl>
    <w:p>
      <w:pPr>
        <w:spacing w:after="0" w:line="200" w:lineRule="exact"/>
        <w:rPr>
          <w:sz w:val="24"/>
          <w:szCs w:val="24"/>
          <w:color w:val="auto"/>
        </w:rPr>
      </w:pPr>
    </w:p>
    <w:p>
      <w:pPr>
        <w:sectPr>
          <w:pgSz w:w="11900" w:h="16838" w:orient="portrait"/>
          <w:cols w:equalWidth="0" w:num="1">
            <w:col w:w="11260"/>
          </w:cols>
          <w:pgMar w:left="320" w:top="607"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GENTEX CORPORATION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040" w:type="dxa"/>
            <w:vAlign w:val="bottom"/>
            <w:gridSpan w:val="16"/>
          </w:tcPr>
          <w:p>
            <w:pPr>
              <w:spacing w:after="0"/>
              <w:rPr>
                <w:sz w:val="20"/>
                <w:szCs w:val="20"/>
                <w:color w:val="auto"/>
              </w:rPr>
            </w:pPr>
            <w:r>
              <w:rPr>
                <w:rFonts w:ascii="Arial" w:cs="Arial" w:eastAsia="Arial" w:hAnsi="Arial"/>
                <w:sz w:val="22"/>
                <w:szCs w:val="22"/>
                <w:b w:val="1"/>
                <w:bCs w:val="1"/>
                <w:color w:val="auto"/>
              </w:rPr>
              <w:t>Part I - Financial Information</w:t>
            </w:r>
          </w:p>
        </w:tc>
        <w:tc>
          <w:tcPr>
            <w:tcW w:w="1480" w:type="dxa"/>
            <w:vAlign w:val="bottom"/>
            <w:gridSpan w:val="3"/>
          </w:tcPr>
          <w:p>
            <w:pPr>
              <w:ind w:left="960"/>
              <w:spacing w:after="0"/>
              <w:rPr>
                <w:sz w:val="20"/>
                <w:szCs w:val="20"/>
                <w:color w:val="auto"/>
              </w:rPr>
            </w:pPr>
            <w:r>
              <w:rPr>
                <w:rFonts w:ascii="Arial" w:cs="Arial" w:eastAsia="Arial" w:hAnsi="Arial"/>
                <w:sz w:val="22"/>
                <w:szCs w:val="22"/>
                <w:b w:val="1"/>
                <w:bCs w:val="1"/>
                <w:color w:val="auto"/>
                <w:w w:val="94"/>
              </w:rPr>
              <w:t>Page</w:t>
            </w:r>
          </w:p>
        </w:tc>
      </w:tr>
      <w:tr>
        <w:trPr>
          <w:trHeight w:val="194"/>
        </w:trPr>
        <w:tc>
          <w:tcPr>
            <w:tcW w:w="1000" w:type="dxa"/>
            <w:vAlign w:val="bottom"/>
          </w:tcPr>
          <w:p>
            <w:pPr>
              <w:spacing w:after="0" w:line="195" w:lineRule="exact"/>
              <w:rPr>
                <w:sz w:val="20"/>
                <w:szCs w:val="20"/>
                <w:color w:val="auto"/>
              </w:rPr>
            </w:pPr>
            <w:r>
              <w:rPr>
                <w:rFonts w:ascii="Arial" w:cs="Arial" w:eastAsia="Arial" w:hAnsi="Arial"/>
                <w:sz w:val="18"/>
                <w:szCs w:val="18"/>
                <w:color w:val="auto"/>
              </w:rPr>
              <w:t>Item 1.</w:t>
            </w:r>
          </w:p>
        </w:tc>
        <w:tc>
          <w:tcPr>
            <w:tcW w:w="4620" w:type="dxa"/>
            <w:vAlign w:val="bottom"/>
            <w:gridSpan w:val="6"/>
          </w:tcPr>
          <w:p>
            <w:pPr>
              <w:spacing w:after="0" w:line="195" w:lineRule="exact"/>
              <w:rPr>
                <w:sz w:val="20"/>
                <w:szCs w:val="20"/>
                <w:color w:val="auto"/>
              </w:rPr>
            </w:pPr>
            <w:r>
              <w:rPr>
                <w:rFonts w:ascii="Arial" w:cs="Arial" w:eastAsia="Arial" w:hAnsi="Arial"/>
                <w:sz w:val="18"/>
                <w:szCs w:val="18"/>
                <w:color w:val="0000FF"/>
                <w:w w:val="99"/>
              </w:rPr>
              <w:t>Unaudited Condensed Consolidated Financial Statements</w:t>
            </w:r>
          </w:p>
        </w:tc>
        <w:tc>
          <w:tcPr>
            <w:tcW w:w="3420" w:type="dxa"/>
            <w:vAlign w:val="bottom"/>
            <w:gridSpan w:val="9"/>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jc w:val="center"/>
              <w:spacing w:after="0" w:line="195" w:lineRule="exact"/>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0000FF"/>
                <w:w w:val="99"/>
              </w:rPr>
              <w:t>Unaudited Condensed Consolidated Balance Sheets</w:t>
            </w:r>
          </w:p>
        </w:tc>
        <w:tc>
          <w:tcPr>
            <w:tcW w:w="420" w:type="dxa"/>
            <w:vAlign w:val="bottom"/>
          </w:tcPr>
          <w:p>
            <w:pPr>
              <w:spacing w:after="0"/>
              <w:rPr>
                <w:sz w:val="18"/>
                <w:szCs w:val="18"/>
                <w:color w:val="auto"/>
              </w:rPr>
            </w:pPr>
          </w:p>
        </w:tc>
        <w:tc>
          <w:tcPr>
            <w:tcW w:w="3420" w:type="dxa"/>
            <w:vAlign w:val="bottom"/>
            <w:gridSpan w:val="9"/>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Income</w:t>
            </w:r>
          </w:p>
        </w:tc>
        <w:tc>
          <w:tcPr>
            <w:tcW w:w="1260" w:type="dxa"/>
            <w:vAlign w:val="bottom"/>
            <w:gridSpan w:val="2"/>
          </w:tcPr>
          <w:p>
            <w:pPr>
              <w:jc w:val="center"/>
              <w:ind w:left="1068"/>
              <w:spacing w:after="0"/>
              <w:rPr>
                <w:sz w:val="20"/>
                <w:szCs w:val="20"/>
                <w:color w:val="auto"/>
              </w:rPr>
            </w:pPr>
            <w:r>
              <w:rPr>
                <w:rFonts w:ascii="Arial" w:cs="Arial" w:eastAsia="Arial" w:hAnsi="Arial"/>
                <w:sz w:val="18"/>
                <w:szCs w:val="18"/>
                <w:color w:val="0000FF"/>
                <w:w w:val="99"/>
              </w:rPr>
              <w:t>4</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6000" w:type="dxa"/>
            <w:vAlign w:val="bottom"/>
            <w:gridSpan w:val="12"/>
          </w:tcPr>
          <w:p>
            <w:pPr>
              <w:spacing w:after="0"/>
              <w:rPr>
                <w:sz w:val="20"/>
                <w:szCs w:val="20"/>
                <w:color w:val="auto"/>
              </w:rPr>
            </w:pPr>
            <w:r>
              <w:rPr>
                <w:rFonts w:ascii="Arial" w:cs="Arial" w:eastAsia="Arial" w:hAnsi="Arial"/>
                <w:sz w:val="18"/>
                <w:szCs w:val="18"/>
                <w:color w:val="0000FF"/>
                <w:w w:val="99"/>
              </w:rPr>
              <w:t>Unaudited Condensed Consolidated Statements of Comprehensive Income</w:t>
            </w:r>
          </w:p>
        </w:tc>
        <w:tc>
          <w:tcPr>
            <w:tcW w:w="2040" w:type="dxa"/>
            <w:vAlign w:val="bottom"/>
            <w:gridSpan w:val="3"/>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Shareholders' Investment</w:t>
            </w:r>
          </w:p>
        </w:tc>
        <w:tc>
          <w:tcPr>
            <w:tcW w:w="1260" w:type="dxa"/>
            <w:vAlign w:val="bottom"/>
            <w:gridSpan w:val="2"/>
          </w:tcPr>
          <w:p>
            <w:pPr>
              <w:jc w:val="center"/>
              <w:ind w:left="1068"/>
              <w:spacing w:after="0"/>
              <w:rPr>
                <w:sz w:val="20"/>
                <w:szCs w:val="20"/>
                <w:color w:val="auto"/>
              </w:rPr>
            </w:pPr>
            <w:r>
              <w:rPr>
                <w:rFonts w:ascii="Arial" w:cs="Arial" w:eastAsia="Arial" w:hAnsi="Arial"/>
                <w:sz w:val="18"/>
                <w:szCs w:val="18"/>
                <w:color w:val="0000FF"/>
                <w:w w:val="99"/>
              </w:rPr>
              <w:t>6</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040" w:type="dxa"/>
            <w:vAlign w:val="bottom"/>
            <w:gridSpan w:val="10"/>
          </w:tcPr>
          <w:p>
            <w:pPr>
              <w:spacing w:after="0"/>
              <w:rPr>
                <w:sz w:val="20"/>
                <w:szCs w:val="20"/>
                <w:color w:val="auto"/>
              </w:rPr>
            </w:pPr>
            <w:r>
              <w:rPr>
                <w:rFonts w:ascii="Arial" w:cs="Arial" w:eastAsia="Arial" w:hAnsi="Arial"/>
                <w:sz w:val="18"/>
                <w:szCs w:val="18"/>
                <w:color w:val="0000FF"/>
                <w:w w:val="99"/>
              </w:rPr>
              <w:t>Unaudited Condensed Consolidated Statements of Cash Flows</w:t>
            </w:r>
          </w:p>
        </w:tc>
        <w:tc>
          <w:tcPr>
            <w:tcW w:w="1080" w:type="dxa"/>
            <w:vAlign w:val="bottom"/>
            <w:gridSpan w:val="3"/>
          </w:tcPr>
          <w:p>
            <w:pPr>
              <w:spacing w:after="0"/>
              <w:rPr>
                <w:sz w:val="18"/>
                <w:szCs w:val="18"/>
                <w:color w:val="auto"/>
              </w:rPr>
            </w:pPr>
          </w:p>
        </w:tc>
        <w:tc>
          <w:tcPr>
            <w:tcW w:w="192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8</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340" w:type="dxa"/>
            <w:vAlign w:val="bottom"/>
            <w:gridSpan w:val="11"/>
          </w:tcPr>
          <w:p>
            <w:pPr>
              <w:spacing w:after="0"/>
              <w:rPr>
                <w:sz w:val="20"/>
                <w:szCs w:val="20"/>
                <w:color w:val="auto"/>
              </w:rPr>
            </w:pPr>
            <w:r>
              <w:rPr>
                <w:rFonts w:ascii="Arial" w:cs="Arial" w:eastAsia="Arial" w:hAnsi="Arial"/>
                <w:sz w:val="18"/>
                <w:szCs w:val="18"/>
                <w:color w:val="0000FF"/>
                <w:w w:val="99"/>
              </w:rPr>
              <w:t>Notes to Unaudited Condensed Consolidated Financial Statements</w:t>
            </w:r>
          </w:p>
        </w:tc>
        <w:tc>
          <w:tcPr>
            <w:tcW w:w="2700" w:type="dxa"/>
            <w:vAlign w:val="bottom"/>
            <w:gridSpan w:val="4"/>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9</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1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23</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7060" w:type="dxa"/>
            <w:vAlign w:val="bottom"/>
            <w:gridSpan w:val="1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80" w:type="dxa"/>
            <w:vAlign w:val="bottom"/>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34</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8"/>
          </w:tcPr>
          <w:p>
            <w:pPr>
              <w:spacing w:after="0"/>
              <w:rPr>
                <w:sz w:val="20"/>
                <w:szCs w:val="20"/>
                <w:color w:val="auto"/>
              </w:rPr>
            </w:pPr>
            <w:r>
              <w:rPr>
                <w:rFonts w:ascii="Arial" w:cs="Arial" w:eastAsia="Arial" w:hAnsi="Arial"/>
                <w:sz w:val="18"/>
                <w:szCs w:val="18"/>
                <w:color w:val="0000FF"/>
              </w:rPr>
              <w:t>Controls and Procedures</w:t>
            </w:r>
          </w:p>
        </w:tc>
        <w:tc>
          <w:tcPr>
            <w:tcW w:w="3340" w:type="dxa"/>
            <w:vAlign w:val="bottom"/>
            <w:gridSpan w:val="7"/>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34</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555"/>
        </w:trPr>
        <w:tc>
          <w:tcPr>
            <w:tcW w:w="9040" w:type="dxa"/>
            <w:vAlign w:val="bottom"/>
            <w:gridSpan w:val="16"/>
          </w:tcPr>
          <w:p>
            <w:pPr>
              <w:spacing w:after="0"/>
              <w:rPr>
                <w:sz w:val="20"/>
                <w:szCs w:val="20"/>
                <w:color w:val="auto"/>
              </w:rPr>
            </w:pPr>
            <w:r>
              <w:rPr>
                <w:rFonts w:ascii="Arial" w:cs="Arial" w:eastAsia="Arial" w:hAnsi="Arial"/>
                <w:sz w:val="22"/>
                <w:szCs w:val="22"/>
                <w:b w:val="1"/>
                <w:bCs w:val="1"/>
                <w:color w:val="auto"/>
              </w:rPr>
              <w:t>Part II - Other Information</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4"/>
        </w:trPr>
        <w:tc>
          <w:tcPr>
            <w:tcW w:w="1000" w:type="dxa"/>
            <w:vAlign w:val="bottom"/>
          </w:tcPr>
          <w:p>
            <w:pPr>
              <w:spacing w:after="0" w:line="195" w:lineRule="exact"/>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line="195" w:lineRule="exact"/>
              <w:rPr>
                <w:sz w:val="20"/>
                <w:szCs w:val="20"/>
                <w:color w:val="auto"/>
              </w:rPr>
            </w:pPr>
            <w:r>
              <w:rPr>
                <w:rFonts w:ascii="Arial" w:cs="Arial" w:eastAsia="Arial" w:hAnsi="Arial"/>
                <w:sz w:val="18"/>
                <w:szCs w:val="18"/>
                <w:color w:val="0000FF"/>
                <w:w w:val="95"/>
              </w:rPr>
              <w:t>Risk Factors</w:t>
            </w:r>
          </w:p>
        </w:tc>
        <w:tc>
          <w:tcPr>
            <w:tcW w:w="7040" w:type="dxa"/>
            <w:vAlign w:val="bottom"/>
            <w:gridSpan w:val="12"/>
          </w:tcPr>
          <w:p>
            <w:pPr>
              <w:spacing w:after="0"/>
              <w:rPr>
                <w:sz w:val="16"/>
                <w:szCs w:val="16"/>
                <w:color w:val="auto"/>
              </w:rPr>
            </w:pPr>
          </w:p>
        </w:tc>
        <w:tc>
          <w:tcPr>
            <w:tcW w:w="1480" w:type="dxa"/>
            <w:vAlign w:val="bottom"/>
            <w:gridSpan w:val="3"/>
          </w:tcPr>
          <w:p>
            <w:pPr>
              <w:jc w:val="center"/>
              <w:ind w:left="868"/>
              <w:spacing w:after="0" w:line="195" w:lineRule="exact"/>
              <w:rPr>
                <w:sz w:val="20"/>
                <w:szCs w:val="20"/>
                <w:color w:val="auto"/>
              </w:rPr>
            </w:pPr>
            <w:r>
              <w:rPr>
                <w:rFonts w:ascii="Arial" w:cs="Arial" w:eastAsia="Arial" w:hAnsi="Arial"/>
                <w:sz w:val="18"/>
                <w:szCs w:val="18"/>
                <w:color w:val="0000FF"/>
                <w:w w:val="99"/>
              </w:rPr>
              <w:t>36</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15"/>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36</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tcBorders>
              <w:left w:val="single" w:sz="8" w:color="0000FF"/>
            </w:tcBorders>
            <w:gridSpan w:val="6"/>
            <w:shd w:val="clear" w:color="auto" w:fill="0000FF"/>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4840" w:type="dxa"/>
            <w:vAlign w:val="bottom"/>
            <w:gridSpan w:val="9"/>
          </w:tcPr>
          <w:p>
            <w:pPr>
              <w:spacing w:after="0"/>
              <w:rPr>
                <w:sz w:val="20"/>
                <w:szCs w:val="20"/>
                <w:color w:val="auto"/>
              </w:rPr>
            </w:pPr>
            <w:r>
              <w:rPr>
                <w:rFonts w:ascii="Arial" w:cs="Arial" w:eastAsia="Arial" w:hAnsi="Arial"/>
                <w:sz w:val="18"/>
                <w:szCs w:val="18"/>
                <w:color w:val="0000FF"/>
              </w:rPr>
              <w:t>Exhibits</w:t>
            </w:r>
          </w:p>
        </w:tc>
        <w:tc>
          <w:tcPr>
            <w:tcW w:w="3200" w:type="dxa"/>
            <w:vAlign w:val="bottom"/>
            <w:gridSpan w:val="6"/>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37</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40" w:type="dxa"/>
            <w:vAlign w:val="bottom"/>
            <w:gridSpan w:val="12"/>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302FF"/>
                <w:w w:val="97"/>
              </w:rPr>
              <w:t>Signatures</w:t>
            </w:r>
          </w:p>
        </w:tc>
        <w:tc>
          <w:tcPr>
            <w:tcW w:w="7180" w:type="dxa"/>
            <w:vAlign w:val="bottom"/>
            <w:gridSpan w:val="13"/>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37</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302FF"/>
          </w:tcPr>
          <w:p>
            <w:pPr>
              <w:spacing w:after="0" w:line="20" w:lineRule="exact"/>
              <w:rPr>
                <w:sz w:val="1"/>
                <w:szCs w:val="1"/>
                <w:color w:val="auto"/>
              </w:rPr>
            </w:pPr>
          </w:p>
        </w:tc>
        <w:tc>
          <w:tcPr>
            <w:tcW w:w="240" w:type="dxa"/>
            <w:vAlign w:val="bottom"/>
            <w:shd w:val="clear" w:color="auto" w:fill="0302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Exhibit Index</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38</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931" w:right="339" w:bottom="1440" w:gutter="0" w:footer="0" w:header="0"/>
        </w:sectPr>
      </w:pPr>
    </w:p>
    <w:bookmarkStart w:id="2" w:name="page3"/>
    <w:bookmarkEnd w:id="2"/>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33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As of June 30, 2022 and December 31, 2021</w:t>
      </w:r>
    </w:p>
    <w:p>
      <w:pPr>
        <w:spacing w:after="0" w:line="4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June 30, 2022 (Unaudited)</w:t>
            </w:r>
          </w:p>
        </w:tc>
        <w:tc>
          <w:tcPr>
            <w:tcW w:w="280" w:type="dxa"/>
            <w:vAlign w:val="bottom"/>
            <w:shd w:val="clear" w:color="auto" w:fill="CCEEFF"/>
          </w:tcPr>
          <w:p>
            <w:pPr>
              <w:spacing w:after="0"/>
              <w:rPr>
                <w:sz w:val="14"/>
                <w:szCs w:val="14"/>
                <w:color w:val="auto"/>
              </w:rPr>
            </w:pPr>
          </w:p>
        </w:tc>
        <w:tc>
          <w:tcPr>
            <w:tcW w:w="1880" w:type="dxa"/>
            <w:vAlign w:val="bottom"/>
            <w:shd w:val="clear" w:color="auto" w:fill="CCEEFF"/>
          </w:tcPr>
          <w:p>
            <w:pPr>
              <w:jc w:val="right"/>
              <w:ind w:right="351"/>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209"/>
        </w:trPr>
        <w:tc>
          <w:tcPr>
            <w:tcW w:w="6780" w:type="dxa"/>
            <w:vAlign w:val="bottom"/>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269,372,471</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262,311,670</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11,992,154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5,423,612</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274,404,572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249,794,906</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392,577,825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316,267,442</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43,539,709</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39,178,119</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991,886,731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872,975,749</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EQUIPMENT—NET</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488,913,960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464,121,676</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313,857,650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313,960,209</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investments</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157,704,267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207,693,147</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Equity method investments</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39,940,046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229,010,910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239,189,627</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Patents and other assets, net</w:t>
            </w: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63,140,670</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33,450,758</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803,653,543</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794,293,741</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2,284,454,234</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2,131,391,166</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LIABILITIES AND SHAREHOLDERS’ INVESTMENT</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186,623,085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98,342,928</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liabilities</w:t>
            </w: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99,548,802</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83,313,172</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286,171,887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181,656,100</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11,707,867</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11,746,599</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297,879,754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193,402,699</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SHAREHOLDERS’ INVESTMENT</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14,107,936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14,186,450</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900,576,404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879,413,385</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1,082,846,019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1,042,461,388</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(10,955,879)</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1,927,244</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shareholders’ investment</w:t>
            </w: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1,986,574,480</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1,937,988,467</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investment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2,284,454,234</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2,131,391,166</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00"/>
        <w:spacing w:after="0" w:line="286" w:lineRule="auto"/>
        <w:rPr>
          <w:sz w:val="20"/>
          <w:szCs w:val="20"/>
          <w:color w:val="auto"/>
        </w:rPr>
      </w:pPr>
      <w:r>
        <w:rPr>
          <w:rFonts w:ascii="Arial" w:cs="Arial" w:eastAsia="Arial" w:hAnsi="Arial"/>
          <w:sz w:val="13"/>
          <w:szCs w:val="13"/>
          <w:color w:val="auto"/>
        </w:rPr>
        <w:t>Note: The condensed consolidated balance sheet at December 31, 2021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line="461"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INCOME For the Three and Six Months Ended June 30, 2022 and 2021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68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Six Months Ended June 30,</w:t>
            </w:r>
          </w:p>
        </w:tc>
      </w:tr>
      <w:tr>
        <w:trPr>
          <w:trHeight w:val="204"/>
        </w:trPr>
        <w:tc>
          <w:tcPr>
            <w:tcW w:w="53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463,423,002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428,005,026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931,673,777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911,729,865</w:t>
            </w:r>
          </w:p>
        </w:tc>
      </w:tr>
      <w:tr>
        <w:trPr>
          <w:trHeight w:val="230"/>
        </w:trPr>
        <w:tc>
          <w:tcPr>
            <w:tcW w:w="5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315,055,988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276,408,285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622,894,804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576,832,956</w:t>
            </w:r>
          </w:p>
        </w:tc>
      </w:tr>
      <w:tr>
        <w:trPr>
          <w:trHeight w:val="223"/>
        </w:trPr>
        <w:tc>
          <w:tcPr>
            <w:tcW w:w="5300" w:type="dxa"/>
            <w:vAlign w:val="bottom"/>
          </w:tcPr>
          <w:p>
            <w:pPr>
              <w:ind w:left="46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148,367,014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151,596,741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308,778,973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334,896,909</w:t>
            </w:r>
          </w:p>
        </w:tc>
      </w:tr>
      <w:tr>
        <w:trPr>
          <w:trHeight w:val="229"/>
        </w:trPr>
        <w:tc>
          <w:tcPr>
            <w:tcW w:w="5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Engineering, research and development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32,857,419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29,059,058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64,832,406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56,711,139</w:t>
            </w:r>
          </w:p>
        </w:tc>
      </w:tr>
      <w:tr>
        <w:trPr>
          <w:trHeight w:val="229"/>
        </w:trPr>
        <w:tc>
          <w:tcPr>
            <w:tcW w:w="5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&amp; administrative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29,718,626</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22,613,062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54,849,694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44,527,448</w:t>
            </w:r>
          </w:p>
        </w:tc>
      </w:tr>
      <w:tr>
        <w:trPr>
          <w:trHeight w:val="223"/>
        </w:trPr>
        <w:tc>
          <w:tcPr>
            <w:tcW w:w="53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62,576,045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51,672,120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119,682,100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101,238,587</w:t>
            </w:r>
          </w:p>
        </w:tc>
      </w:tr>
      <w:tr>
        <w:trPr>
          <w:trHeight w:val="209"/>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85,790,969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99,924,621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189,096,873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233,658,322</w:t>
            </w:r>
          </w:p>
        </w:tc>
      </w:tr>
      <w:tr>
        <w:trPr>
          <w:trHeight w:val="229"/>
        </w:trPr>
        <w:tc>
          <w:tcPr>
            <w:tcW w:w="5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(LOSS) INCOME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Investment income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920,284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903,139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1,708,600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1,926,549</w:t>
            </w:r>
          </w:p>
        </w:tc>
      </w:tr>
      <w:tr>
        <w:trPr>
          <w:trHeight w:val="229"/>
        </w:trPr>
        <w:tc>
          <w:tcPr>
            <w:tcW w:w="5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(loss) income, net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(1,903,269)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987,959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(2,702,079)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1,497,584</w:t>
            </w:r>
          </w:p>
        </w:tc>
      </w:tr>
      <w:tr>
        <w:trPr>
          <w:trHeight w:val="223"/>
        </w:trPr>
        <w:tc>
          <w:tcPr>
            <w:tcW w:w="53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(loss) income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(982,985)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1,891,098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(993,479)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3,424,133</w:t>
            </w:r>
          </w:p>
        </w:tc>
      </w:tr>
      <w:tr>
        <w:trPr>
          <w:trHeight w:val="209"/>
        </w:trPr>
        <w:tc>
          <w:tcPr>
            <w:tcW w:w="5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84,807,984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101,815,719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188,103,394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237,082,455</w:t>
            </w:r>
          </w:p>
        </w:tc>
      </w:tr>
      <w:tr>
        <w:trPr>
          <w:trHeight w:val="230"/>
        </w:trPr>
        <w:tc>
          <w:tcPr>
            <w:tcW w:w="5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12,403,581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15,309,301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28,170,366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37,125,167</w:t>
            </w:r>
          </w:p>
        </w:tc>
      </w:tr>
      <w:tr>
        <w:trPr>
          <w:trHeight w:val="230"/>
        </w:trPr>
        <w:tc>
          <w:tcPr>
            <w:tcW w:w="5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72,404,403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86,506,418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159,933,028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199,957,288</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5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53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0.82</w:t>
            </w:r>
          </w:p>
        </w:tc>
      </w:tr>
      <w:tr>
        <w:trPr>
          <w:trHeight w:val="230"/>
        </w:trPr>
        <w:tc>
          <w:tcPr>
            <w:tcW w:w="5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9"/>
        </w:trPr>
        <w:tc>
          <w:tcPr>
            <w:tcW w:w="530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0.120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0.120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0.240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0.240</w:t>
            </w:r>
          </w:p>
        </w:tc>
      </w:tr>
    </w:tbl>
    <w:p>
      <w:pPr>
        <w:spacing w:after="0" w:line="265" w:lineRule="exact"/>
        <w:rPr>
          <w:sz w:val="20"/>
          <w:szCs w:val="20"/>
          <w:color w:val="auto"/>
        </w:rPr>
      </w:pPr>
    </w:p>
    <w:p>
      <w:pPr>
        <w:ind w:left="180" w:hanging="154"/>
        <w:spacing w:after="0"/>
        <w:tabs>
          <w:tab w:leader="none" w:pos="180" w:val="left"/>
        </w:tabs>
        <w:numPr>
          <w:ilvl w:val="0"/>
          <w:numId w:val="3"/>
        </w:numPr>
        <w:rPr>
          <w:rFonts w:ascii="Arial" w:cs="Arial" w:eastAsia="Arial" w:hAnsi="Arial"/>
          <w:sz w:val="9"/>
          <w:szCs w:val="9"/>
          <w:color w:val="auto"/>
        </w:rPr>
      </w:pPr>
      <w:r>
        <w:rPr>
          <w:rFonts w:ascii="Arial" w:cs="Arial" w:eastAsia="Arial" w:hAnsi="Arial"/>
          <w:sz w:val="14"/>
          <w:szCs w:val="14"/>
          <w:color w:val="auto"/>
        </w:rPr>
        <w:t>Earnings Per Share has been adjusted to exclude the portion of net income allocated to participating securities as a result of share-based payment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ind w:right="120"/>
        <w:spacing w:after="0" w:line="457"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COMPREHENSIVE INCOME For the Three and Six Months Ended June 30, 2022 and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78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3"/>
        </w:trPr>
        <w:tc>
          <w:tcPr>
            <w:tcW w:w="49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72,404,403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86,506,418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159,933,028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199,957,288</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before tax:</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(3,131,326)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963,199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(4,027,746)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110,787</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(losses) gains on debt securities, net</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(3,414,108)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1,705,281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(11,209,338)</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(3,413,672)</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before tax</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(6,545,434)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2,668,480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(15,237,084)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(3,302,885)</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Income tax impact related to components of other</w:t>
            </w:r>
          </w:p>
        </w:tc>
        <w:tc>
          <w:tcPr>
            <w:tcW w:w="3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(716,963)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358,109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(2,353,961)</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(716,871)</w:t>
            </w: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(5,828,471)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2,310,371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(12,883,123)</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(2,586,014)</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66,575,932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88,816,789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147,049,905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197,371,274</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255" w:right="339" w:bottom="1440" w:gutter="0" w:footer="0" w:header="0"/>
        </w:sectPr>
      </w:pPr>
    </w:p>
    <w:bookmarkStart w:id="5" w:name="page6"/>
    <w:bookmarkEnd w:id="5"/>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June 30, 2022 and 2021</w:t>
      </w: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BALANCE AS OF APRIL 1, 2022</w:t>
      </w:r>
    </w:p>
    <w:p>
      <w:pPr>
        <w:spacing w:after="0" w:line="3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ind w:right="700"/>
        <w:spacing w:after="0" w:line="246" w:lineRule="auto"/>
        <w:rPr>
          <w:sz w:val="20"/>
          <w:szCs w:val="20"/>
          <w:color w:val="auto"/>
        </w:rPr>
      </w:pPr>
      <w:r>
        <w:rPr>
          <w:rFonts w:ascii="Arial" w:cs="Arial" w:eastAsia="Arial" w:hAnsi="Arial"/>
          <w:sz w:val="16"/>
          <w:szCs w:val="16"/>
          <w:color w:val="auto"/>
        </w:rPr>
        <w:t>Issuance of common stock for equity investment purchases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right="900"/>
        <w:spacing w:after="0" w:line="356" w:lineRule="auto"/>
        <w:rPr>
          <w:sz w:val="20"/>
          <w:szCs w:val="20"/>
          <w:color w:val="auto"/>
        </w:rPr>
      </w:pPr>
      <w:r>
        <w:rPr>
          <w:rFonts w:ascii="Arial" w:cs="Arial" w:eastAsia="Arial" w:hAnsi="Arial"/>
          <w:sz w:val="16"/>
          <w:szCs w:val="16"/>
          <w:color w:val="auto"/>
        </w:rPr>
        <w:t>Other comprehensive loss BALANCE AS OF JUNE 30, 2022</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0" w:type="dxa"/>
            <w:vAlign w:val="bottom"/>
            <w:vMerge w:val="restart"/>
          </w:tcPr>
          <w:p>
            <w:pPr>
              <w:jc w:val="center"/>
              <w:ind w:right="26"/>
              <w:spacing w:after="0"/>
              <w:rPr>
                <w:sz w:val="20"/>
                <w:szCs w:val="20"/>
                <w:color w:val="auto"/>
              </w:rPr>
            </w:pPr>
            <w:r>
              <w:rPr>
                <w:rFonts w:ascii="Arial" w:cs="Arial" w:eastAsia="Arial" w:hAnsi="Arial"/>
                <w:sz w:val="16"/>
                <w:szCs w:val="16"/>
                <w:b w:val="1"/>
                <w:bCs w:val="1"/>
                <w:color w:val="auto"/>
              </w:rPr>
              <w:t>Common</w:t>
            </w:r>
          </w:p>
        </w:tc>
        <w:tc>
          <w:tcPr>
            <w:tcW w:w="260" w:type="dxa"/>
            <w:vAlign w:val="bottom"/>
          </w:tcPr>
          <w:p>
            <w:pPr>
              <w:spacing w:after="0"/>
              <w:rPr>
                <w:sz w:val="16"/>
                <w:szCs w:val="16"/>
                <w:color w:val="auto"/>
              </w:rPr>
            </w:pPr>
          </w:p>
        </w:tc>
        <w:tc>
          <w:tcPr>
            <w:tcW w:w="1060" w:type="dxa"/>
            <w:vAlign w:val="bottom"/>
            <w:vMerge w:val="restart"/>
          </w:tcPr>
          <w:p>
            <w:pPr>
              <w:jc w:val="center"/>
              <w:ind w:right="206"/>
              <w:spacing w:after="0"/>
              <w:rPr>
                <w:sz w:val="20"/>
                <w:szCs w:val="20"/>
                <w:color w:val="auto"/>
              </w:rPr>
            </w:pPr>
            <w:r>
              <w:rPr>
                <w:rFonts w:ascii="Arial" w:cs="Arial" w:eastAsia="Arial" w:hAnsi="Arial"/>
                <w:sz w:val="16"/>
                <w:szCs w:val="16"/>
                <w:b w:val="1"/>
                <w:bCs w:val="1"/>
                <w:color w:val="auto"/>
              </w:rPr>
              <w:t>Common</w:t>
            </w:r>
          </w:p>
        </w:tc>
        <w:tc>
          <w:tcPr>
            <w:tcW w:w="200" w:type="dxa"/>
            <w:vAlign w:val="bottom"/>
          </w:tcPr>
          <w:p>
            <w:pPr>
              <w:spacing w:after="0"/>
              <w:rPr>
                <w:sz w:val="16"/>
                <w:szCs w:val="16"/>
                <w:color w:val="auto"/>
              </w:rPr>
            </w:pPr>
          </w:p>
        </w:tc>
        <w:tc>
          <w:tcPr>
            <w:tcW w:w="1080" w:type="dxa"/>
            <w:vAlign w:val="bottom"/>
            <w:vMerge w:val="restart"/>
          </w:tcPr>
          <w:p>
            <w:pPr>
              <w:jc w:val="right"/>
              <w:ind w:right="186"/>
              <w:spacing w:after="0"/>
              <w:rPr>
                <w:sz w:val="20"/>
                <w:szCs w:val="20"/>
                <w:color w:val="auto"/>
              </w:rPr>
            </w:pPr>
            <w:r>
              <w:rPr>
                <w:rFonts w:ascii="Arial" w:cs="Arial" w:eastAsia="Arial" w:hAnsi="Arial"/>
                <w:sz w:val="16"/>
                <w:szCs w:val="16"/>
                <w:b w:val="1"/>
                <w:bCs w:val="1"/>
                <w:color w:val="auto"/>
              </w:rPr>
              <w:t>Additional</w:t>
            </w: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46"/>
              <w:spacing w:after="0"/>
              <w:rPr>
                <w:sz w:val="20"/>
                <w:szCs w:val="20"/>
                <w:color w:val="auto"/>
              </w:rPr>
            </w:pPr>
            <w:r>
              <w:rPr>
                <w:rFonts w:ascii="Arial" w:cs="Arial" w:eastAsia="Arial" w:hAnsi="Arial"/>
                <w:sz w:val="16"/>
                <w:szCs w:val="16"/>
                <w:b w:val="1"/>
                <w:bCs w:val="1"/>
                <w:color w:val="auto"/>
              </w:rPr>
              <w:t>Accumulated</w:t>
            </w: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2"/>
        </w:trPr>
        <w:tc>
          <w:tcPr>
            <w:tcW w:w="1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300" w:type="dxa"/>
            <w:vAlign w:val="bottom"/>
            <w:vMerge w:val="restart"/>
          </w:tcPr>
          <w:p>
            <w:pPr>
              <w:jc w:val="right"/>
              <w:ind w:right="246"/>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1320" w:type="dxa"/>
            <w:vAlign w:val="bottom"/>
          </w:tcPr>
          <w:p>
            <w:pPr>
              <w:jc w:val="center"/>
              <w:ind w:right="106"/>
              <w:spacing w:after="0" w:line="162" w:lineRule="exact"/>
              <w:rPr>
                <w:sz w:val="20"/>
                <w:szCs w:val="20"/>
                <w:color w:val="auto"/>
              </w:rPr>
            </w:pPr>
            <w:r>
              <w:rPr>
                <w:rFonts w:ascii="Arial" w:cs="Arial" w:eastAsia="Arial" w:hAnsi="Arial"/>
                <w:sz w:val="16"/>
                <w:szCs w:val="16"/>
                <w:b w:val="1"/>
                <w:bCs w:val="1"/>
                <w:color w:val="auto"/>
                <w:w w:val="98"/>
              </w:rPr>
              <w:t>Other</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Stock</w:t>
            </w:r>
          </w:p>
        </w:tc>
        <w:tc>
          <w:tcPr>
            <w:tcW w:w="260" w:type="dxa"/>
            <w:vAlign w:val="bottom"/>
          </w:tcPr>
          <w:p>
            <w:pPr>
              <w:spacing w:after="0"/>
              <w:rPr>
                <w:sz w:val="14"/>
                <w:szCs w:val="14"/>
                <w:color w:val="auto"/>
              </w:rPr>
            </w:pPr>
          </w:p>
        </w:tc>
        <w:tc>
          <w:tcPr>
            <w:tcW w:w="1060" w:type="dxa"/>
            <w:vAlign w:val="bottom"/>
          </w:tcPr>
          <w:p>
            <w:pPr>
              <w:jc w:val="center"/>
              <w:ind w:right="146"/>
              <w:spacing w:after="0" w:line="162" w:lineRule="exact"/>
              <w:rPr>
                <w:sz w:val="20"/>
                <w:szCs w:val="20"/>
                <w:color w:val="auto"/>
              </w:rPr>
            </w:pPr>
            <w:r>
              <w:rPr>
                <w:rFonts w:ascii="Arial" w:cs="Arial" w:eastAsia="Arial" w:hAnsi="Arial"/>
                <w:sz w:val="16"/>
                <w:szCs w:val="16"/>
                <w:b w:val="1"/>
                <w:bCs w:val="1"/>
                <w:color w:val="auto"/>
              </w:rPr>
              <w:t>Stock</w:t>
            </w:r>
          </w:p>
        </w:tc>
        <w:tc>
          <w:tcPr>
            <w:tcW w:w="200" w:type="dxa"/>
            <w:vAlign w:val="bottom"/>
          </w:tcPr>
          <w:p>
            <w:pPr>
              <w:spacing w:after="0"/>
              <w:rPr>
                <w:sz w:val="14"/>
                <w:szCs w:val="14"/>
                <w:color w:val="auto"/>
              </w:rPr>
            </w:pPr>
          </w:p>
        </w:tc>
        <w:tc>
          <w:tcPr>
            <w:tcW w:w="1080" w:type="dxa"/>
            <w:vAlign w:val="bottom"/>
          </w:tcPr>
          <w:p>
            <w:pPr>
              <w:jc w:val="right"/>
              <w:ind w:right="286"/>
              <w:spacing w:after="0" w:line="162" w:lineRule="exact"/>
              <w:rPr>
                <w:sz w:val="20"/>
                <w:szCs w:val="20"/>
                <w:color w:val="auto"/>
              </w:rPr>
            </w:pPr>
            <w:r>
              <w:rPr>
                <w:rFonts w:ascii="Arial" w:cs="Arial" w:eastAsia="Arial" w:hAnsi="Arial"/>
                <w:sz w:val="16"/>
                <w:szCs w:val="16"/>
                <w:b w:val="1"/>
                <w:bCs w:val="1"/>
                <w:color w:val="auto"/>
              </w:rPr>
              <w:t>Paid-In</w:t>
            </w:r>
          </w:p>
        </w:tc>
        <w:tc>
          <w:tcPr>
            <w:tcW w:w="1300" w:type="dxa"/>
            <w:vAlign w:val="bottom"/>
            <w:vMerge w:val="continue"/>
          </w:tcPr>
          <w:p>
            <w:pPr>
              <w:spacing w:after="0"/>
              <w:rPr>
                <w:sz w:val="14"/>
                <w:szCs w:val="14"/>
                <w:color w:val="auto"/>
              </w:rPr>
            </w:pPr>
          </w:p>
        </w:tc>
        <w:tc>
          <w:tcPr>
            <w:tcW w:w="1520" w:type="dxa"/>
            <w:vAlign w:val="bottom"/>
            <w:gridSpan w:val="2"/>
          </w:tcPr>
          <w:p>
            <w:pPr>
              <w:jc w:val="right"/>
              <w:ind w:right="66"/>
              <w:spacing w:after="0" w:line="162" w:lineRule="exact"/>
              <w:rPr>
                <w:sz w:val="20"/>
                <w:szCs w:val="20"/>
                <w:color w:val="auto"/>
              </w:rPr>
            </w:pPr>
            <w:r>
              <w:rPr>
                <w:rFonts w:ascii="Arial" w:cs="Arial" w:eastAsia="Arial" w:hAnsi="Arial"/>
                <w:sz w:val="16"/>
                <w:szCs w:val="16"/>
                <w:b w:val="1"/>
                <w:bCs w:val="1"/>
                <w:color w:val="auto"/>
              </w:rPr>
              <w:t>Comprehensive</w:t>
            </w:r>
          </w:p>
        </w:tc>
        <w:tc>
          <w:tcPr>
            <w:tcW w:w="1220" w:type="dxa"/>
            <w:vAlign w:val="bottom"/>
          </w:tcPr>
          <w:p>
            <w:pPr>
              <w:jc w:val="center"/>
              <w:ind w:left="26"/>
              <w:spacing w:after="0" w:line="162"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216"/>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66"/>
              <w:spacing w:after="0"/>
              <w:rPr>
                <w:sz w:val="20"/>
                <w:szCs w:val="20"/>
                <w:color w:val="auto"/>
              </w:rPr>
            </w:pPr>
            <w:r>
              <w:rPr>
                <w:rFonts w:ascii="Arial" w:cs="Arial" w:eastAsia="Arial" w:hAnsi="Arial"/>
                <w:sz w:val="16"/>
                <w:szCs w:val="16"/>
                <w:b w:val="1"/>
                <w:bCs w:val="1"/>
                <w:color w:val="auto"/>
              </w:rPr>
              <w:t>Amount</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6"/>
              <w:spacing w:after="0"/>
              <w:rPr>
                <w:sz w:val="20"/>
                <w:szCs w:val="20"/>
                <w:color w:val="auto"/>
              </w:rPr>
            </w:pPr>
            <w:r>
              <w:rPr>
                <w:rFonts w:ascii="Arial" w:cs="Arial" w:eastAsia="Arial" w:hAnsi="Arial"/>
                <w:sz w:val="16"/>
                <w:szCs w:val="16"/>
                <w:b w:val="1"/>
                <w:bCs w:val="1"/>
                <w:color w:val="auto"/>
              </w:rPr>
              <w:t>Capital</w:t>
            </w:r>
          </w:p>
        </w:tc>
        <w:tc>
          <w:tcPr>
            <w:tcW w:w="130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6"/>
              <w:spacing w:after="0"/>
              <w:rPr>
                <w:sz w:val="20"/>
                <w:szCs w:val="20"/>
                <w:color w:val="auto"/>
              </w:rPr>
            </w:pPr>
            <w:r>
              <w:rPr>
                <w:rFonts w:ascii="Arial" w:cs="Arial" w:eastAsia="Arial" w:hAnsi="Arial"/>
                <w:sz w:val="16"/>
                <w:szCs w:val="16"/>
                <w:b w:val="1"/>
                <w:bCs w:val="1"/>
                <w:color w:val="auto"/>
              </w:rPr>
              <w:t>Income (Loss)</w:t>
            </w:r>
          </w:p>
        </w:tc>
        <w:tc>
          <w:tcPr>
            <w:tcW w:w="1220" w:type="dxa"/>
            <w:vAlign w:val="bottom"/>
            <w:tcBorders>
              <w:bottom w:val="single" w:sz="8" w:color="auto"/>
            </w:tcBorders>
          </w:tcPr>
          <w:p>
            <w:pPr>
              <w:jc w:val="center"/>
              <w:ind w:left="6"/>
              <w:spacing w:after="0"/>
              <w:rPr>
                <w:sz w:val="20"/>
                <w:szCs w:val="20"/>
                <w:color w:val="auto"/>
              </w:rPr>
            </w:pPr>
            <w:r>
              <w:rPr>
                <w:rFonts w:ascii="Arial" w:cs="Arial" w:eastAsia="Arial" w:hAnsi="Arial"/>
                <w:sz w:val="16"/>
                <w:szCs w:val="16"/>
                <w:b w:val="1"/>
                <w:bCs w:val="1"/>
                <w:color w:val="auto"/>
              </w:rPr>
              <w:t>Investment</w:t>
            </w:r>
          </w:p>
        </w:tc>
        <w:tc>
          <w:tcPr>
            <w:tcW w:w="0" w:type="dxa"/>
            <w:vAlign w:val="bottom"/>
          </w:tcPr>
          <w:p>
            <w:pPr>
              <w:spacing w:after="0"/>
              <w:rPr>
                <w:sz w:val="1"/>
                <w:szCs w:val="1"/>
                <w:color w:val="auto"/>
              </w:rPr>
            </w:pPr>
          </w:p>
        </w:tc>
      </w:tr>
      <w:tr>
        <w:trPr>
          <w:trHeight w:val="188"/>
        </w:trPr>
        <w:tc>
          <w:tcPr>
            <w:tcW w:w="1200" w:type="dxa"/>
            <w:vAlign w:val="bottom"/>
          </w:tcPr>
          <w:p>
            <w:pPr>
              <w:jc w:val="right"/>
              <w:ind w:right="46"/>
              <w:spacing w:after="0"/>
              <w:rPr>
                <w:sz w:val="20"/>
                <w:szCs w:val="20"/>
                <w:color w:val="auto"/>
              </w:rPr>
            </w:pPr>
            <w:r>
              <w:rPr>
                <w:rFonts w:ascii="Arial" w:cs="Arial" w:eastAsia="Arial" w:hAnsi="Arial"/>
                <w:sz w:val="14"/>
                <w:szCs w:val="14"/>
                <w:color w:val="auto"/>
              </w:rPr>
              <w:t>234,477,338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14,068,640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6"/>
              <w:spacing w:after="0"/>
              <w:rPr>
                <w:sz w:val="20"/>
                <w:szCs w:val="20"/>
                <w:color w:val="auto"/>
              </w:rPr>
            </w:pPr>
            <w:r>
              <w:rPr>
                <w:rFonts w:ascii="Arial" w:cs="Arial" w:eastAsia="Arial" w:hAnsi="Arial"/>
                <w:sz w:val="14"/>
                <w:szCs w:val="14"/>
                <w:color w:val="auto"/>
              </w:rPr>
              <w:t>881,371,438</w:t>
            </w:r>
          </w:p>
        </w:tc>
        <w:tc>
          <w:tcPr>
            <w:tcW w:w="1300" w:type="dxa"/>
            <w:vAlign w:val="bottom"/>
          </w:tcPr>
          <w:p>
            <w:pPr>
              <w:jc w:val="right"/>
              <w:ind w:right="66"/>
              <w:spacing w:after="0"/>
              <w:rPr>
                <w:sz w:val="20"/>
                <w:szCs w:val="20"/>
                <w:color w:val="auto"/>
              </w:rPr>
            </w:pPr>
            <w:r>
              <w:rPr>
                <w:rFonts w:ascii="Arial" w:cs="Arial" w:eastAsia="Arial" w:hAnsi="Arial"/>
                <w:sz w:val="14"/>
                <w:szCs w:val="14"/>
                <w:color w:val="auto"/>
              </w:rPr>
              <w:t>$ 1,038,656,230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6"/>
              <w:spacing w:after="0"/>
              <w:rPr>
                <w:sz w:val="20"/>
                <w:szCs w:val="20"/>
                <w:color w:val="auto"/>
              </w:rPr>
            </w:pPr>
            <w:r>
              <w:rPr>
                <w:rFonts w:ascii="Arial" w:cs="Arial" w:eastAsia="Arial" w:hAnsi="Arial"/>
                <w:sz w:val="14"/>
                <w:szCs w:val="14"/>
                <w:color w:val="auto"/>
              </w:rPr>
              <w:t>(5,127,408)</w:t>
            </w:r>
          </w:p>
        </w:tc>
        <w:tc>
          <w:tcPr>
            <w:tcW w:w="1220" w:type="dxa"/>
            <w:vAlign w:val="bottom"/>
          </w:tcPr>
          <w:p>
            <w:pPr>
              <w:jc w:val="right"/>
              <w:spacing w:after="0"/>
              <w:rPr>
                <w:sz w:val="20"/>
                <w:szCs w:val="20"/>
                <w:color w:val="auto"/>
              </w:rPr>
            </w:pPr>
            <w:r>
              <w:rPr>
                <w:rFonts w:ascii="Arial" w:cs="Arial" w:eastAsia="Arial" w:hAnsi="Arial"/>
                <w:sz w:val="14"/>
                <w:szCs w:val="14"/>
                <w:color w:val="auto"/>
              </w:rPr>
              <w:t>$ 1,928,968,900</w:t>
            </w:r>
          </w:p>
        </w:tc>
        <w:tc>
          <w:tcPr>
            <w:tcW w:w="0" w:type="dxa"/>
            <w:vAlign w:val="bottom"/>
          </w:tcPr>
          <w:p>
            <w:pPr>
              <w:spacing w:after="0"/>
              <w:rPr>
                <w:sz w:val="1"/>
                <w:szCs w:val="1"/>
                <w:color w:val="auto"/>
              </w:rPr>
            </w:pPr>
          </w:p>
        </w:tc>
      </w:tr>
      <w:tr>
        <w:trPr>
          <w:trHeight w:val="378"/>
        </w:trPr>
        <w:tc>
          <w:tcPr>
            <w:tcW w:w="1200" w:type="dxa"/>
            <w:vAlign w:val="bottom"/>
          </w:tcPr>
          <w:p>
            <w:pPr>
              <w:jc w:val="right"/>
              <w:ind w:right="46"/>
              <w:spacing w:after="0"/>
              <w:rPr>
                <w:sz w:val="20"/>
                <w:szCs w:val="20"/>
                <w:color w:val="auto"/>
              </w:rPr>
            </w:pPr>
            <w:r>
              <w:rPr>
                <w:rFonts w:ascii="Arial" w:cs="Arial" w:eastAsia="Arial" w:hAnsi="Arial"/>
                <w:sz w:val="14"/>
                <w:szCs w:val="14"/>
                <w:color w:val="auto"/>
              </w:rPr>
              <w:t>492,494</w:t>
            </w:r>
          </w:p>
        </w:tc>
        <w:tc>
          <w:tcPr>
            <w:tcW w:w="260" w:type="dxa"/>
            <w:vAlign w:val="bottom"/>
          </w:tcPr>
          <w:p>
            <w:pPr>
              <w:spacing w:after="0"/>
              <w:rPr>
                <w:sz w:val="24"/>
                <w:szCs w:val="24"/>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29,550</w:t>
            </w:r>
          </w:p>
        </w:tc>
        <w:tc>
          <w:tcPr>
            <w:tcW w:w="200" w:type="dxa"/>
            <w:vAlign w:val="bottom"/>
          </w:tcPr>
          <w:p>
            <w:pPr>
              <w:spacing w:after="0"/>
              <w:rPr>
                <w:sz w:val="24"/>
                <w:szCs w:val="24"/>
                <w:color w:val="auto"/>
              </w:rPr>
            </w:pPr>
          </w:p>
        </w:tc>
        <w:tc>
          <w:tcPr>
            <w:tcW w:w="1080" w:type="dxa"/>
            <w:vAlign w:val="bottom"/>
          </w:tcPr>
          <w:p>
            <w:pPr>
              <w:jc w:val="right"/>
              <w:ind w:right="66"/>
              <w:spacing w:after="0"/>
              <w:rPr>
                <w:sz w:val="20"/>
                <w:szCs w:val="20"/>
                <w:color w:val="auto"/>
              </w:rPr>
            </w:pPr>
            <w:r>
              <w:rPr>
                <w:rFonts w:ascii="Arial" w:cs="Arial" w:eastAsia="Arial" w:hAnsi="Arial"/>
                <w:sz w:val="14"/>
                <w:szCs w:val="14"/>
                <w:color w:val="auto"/>
              </w:rPr>
              <w:t>5,641,470</w:t>
            </w:r>
          </w:p>
        </w:tc>
        <w:tc>
          <w:tcPr>
            <w:tcW w:w="130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5,671,020</w:t>
            </w:r>
          </w:p>
        </w:tc>
        <w:tc>
          <w:tcPr>
            <w:tcW w:w="0" w:type="dxa"/>
            <w:vAlign w:val="bottom"/>
          </w:tcPr>
          <w:p>
            <w:pPr>
              <w:spacing w:after="0"/>
              <w:rPr>
                <w:sz w:val="1"/>
                <w:szCs w:val="1"/>
                <w:color w:val="auto"/>
              </w:rPr>
            </w:pPr>
          </w:p>
        </w:tc>
      </w:tr>
      <w:tr>
        <w:trPr>
          <w:trHeight w:val="378"/>
        </w:trPr>
        <w:tc>
          <w:tcPr>
            <w:tcW w:w="1200" w:type="dxa"/>
            <w:vAlign w:val="bottom"/>
          </w:tcPr>
          <w:p>
            <w:pPr>
              <w:jc w:val="right"/>
              <w:ind w:right="46"/>
              <w:spacing w:after="0"/>
              <w:rPr>
                <w:sz w:val="20"/>
                <w:szCs w:val="20"/>
                <w:color w:val="auto"/>
              </w:rPr>
            </w:pPr>
            <w:r>
              <w:rPr>
                <w:rFonts w:ascii="Arial" w:cs="Arial" w:eastAsia="Arial" w:hAnsi="Arial"/>
                <w:sz w:val="14"/>
                <w:szCs w:val="14"/>
                <w:color w:val="auto"/>
              </w:rPr>
              <w:t>162,433</w:t>
            </w:r>
          </w:p>
        </w:tc>
        <w:tc>
          <w:tcPr>
            <w:tcW w:w="260" w:type="dxa"/>
            <w:vAlign w:val="bottom"/>
          </w:tcPr>
          <w:p>
            <w:pPr>
              <w:spacing w:after="0"/>
              <w:rPr>
                <w:sz w:val="24"/>
                <w:szCs w:val="24"/>
                <w:color w:val="auto"/>
              </w:rPr>
            </w:pPr>
          </w:p>
        </w:tc>
        <w:tc>
          <w:tcPr>
            <w:tcW w:w="1060" w:type="dxa"/>
            <w:vAlign w:val="bottom"/>
          </w:tcPr>
          <w:p>
            <w:pPr>
              <w:jc w:val="right"/>
              <w:ind w:right="26"/>
              <w:spacing w:after="0"/>
              <w:rPr>
                <w:sz w:val="20"/>
                <w:szCs w:val="20"/>
                <w:color w:val="auto"/>
              </w:rPr>
            </w:pPr>
            <w:r>
              <w:rPr>
                <w:rFonts w:ascii="Arial" w:cs="Arial" w:eastAsia="Arial" w:hAnsi="Arial"/>
                <w:sz w:val="14"/>
                <w:szCs w:val="14"/>
                <w:color w:val="auto"/>
              </w:rPr>
              <w:t>9,746</w:t>
            </w:r>
          </w:p>
        </w:tc>
        <w:tc>
          <w:tcPr>
            <w:tcW w:w="200" w:type="dxa"/>
            <w:vAlign w:val="bottom"/>
          </w:tcPr>
          <w:p>
            <w:pPr>
              <w:spacing w:after="0"/>
              <w:rPr>
                <w:sz w:val="24"/>
                <w:szCs w:val="24"/>
                <w:color w:val="auto"/>
              </w:rPr>
            </w:pPr>
          </w:p>
        </w:tc>
        <w:tc>
          <w:tcPr>
            <w:tcW w:w="1080" w:type="dxa"/>
            <w:vAlign w:val="bottom"/>
          </w:tcPr>
          <w:p>
            <w:pPr>
              <w:jc w:val="right"/>
              <w:ind w:right="66"/>
              <w:spacing w:after="0"/>
              <w:rPr>
                <w:sz w:val="20"/>
                <w:szCs w:val="20"/>
                <w:color w:val="auto"/>
              </w:rPr>
            </w:pPr>
            <w:r>
              <w:rPr>
                <w:rFonts w:ascii="Arial" w:cs="Arial" w:eastAsia="Arial" w:hAnsi="Arial"/>
                <w:sz w:val="14"/>
                <w:szCs w:val="14"/>
                <w:color w:val="auto"/>
              </w:rPr>
              <w:t>4,990,266</w:t>
            </w:r>
          </w:p>
        </w:tc>
        <w:tc>
          <w:tcPr>
            <w:tcW w:w="130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5,000,012</w:t>
            </w:r>
          </w:p>
        </w:tc>
        <w:tc>
          <w:tcPr>
            <w:tcW w:w="0" w:type="dxa"/>
            <w:vAlign w:val="bottom"/>
          </w:tcPr>
          <w:p>
            <w:pPr>
              <w:spacing w:after="0"/>
              <w:rPr>
                <w:sz w:val="1"/>
                <w:szCs w:val="1"/>
                <w:color w:val="auto"/>
              </w:rPr>
            </w:pPr>
          </w:p>
        </w:tc>
      </w:tr>
      <w:tr>
        <w:trPr>
          <w:trHeight w:val="540"/>
        </w:trPr>
        <w:tc>
          <w:tcPr>
            <w:tcW w:w="12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80" w:type="dxa"/>
            <w:vAlign w:val="bottom"/>
          </w:tcPr>
          <w:p>
            <w:pPr>
              <w:jc w:val="right"/>
              <w:ind w:right="66"/>
              <w:spacing w:after="0"/>
              <w:rPr>
                <w:sz w:val="20"/>
                <w:szCs w:val="20"/>
                <w:color w:val="auto"/>
              </w:rPr>
            </w:pPr>
            <w:r>
              <w:rPr>
                <w:rFonts w:ascii="Arial" w:cs="Arial" w:eastAsia="Arial" w:hAnsi="Arial"/>
                <w:sz w:val="14"/>
                <w:szCs w:val="14"/>
                <w:color w:val="auto"/>
              </w:rPr>
              <w:t>8,573,230</w:t>
            </w:r>
          </w:p>
        </w:tc>
        <w:tc>
          <w:tcPr>
            <w:tcW w:w="130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8,573,230</w:t>
            </w:r>
          </w:p>
        </w:tc>
        <w:tc>
          <w:tcPr>
            <w:tcW w:w="0" w:type="dxa"/>
            <w:vAlign w:val="bottom"/>
          </w:tcPr>
          <w:p>
            <w:pPr>
              <w:spacing w:after="0"/>
              <w:rPr>
                <w:sz w:val="1"/>
                <w:szCs w:val="1"/>
                <w:color w:val="auto"/>
              </w:rPr>
            </w:pPr>
          </w:p>
        </w:tc>
      </w:tr>
      <w:tr>
        <w:trPr>
          <w:trHeight w:val="243"/>
        </w:trPr>
        <w:tc>
          <w:tcPr>
            <w:tcW w:w="12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6"/>
              <w:spacing w:after="0"/>
              <w:rPr>
                <w:sz w:val="20"/>
                <w:szCs w:val="20"/>
                <w:color w:val="auto"/>
              </w:rPr>
            </w:pPr>
            <w:r>
              <w:rPr>
                <w:rFonts w:ascii="Arial" w:cs="Arial" w:eastAsia="Arial" w:hAnsi="Arial"/>
                <w:sz w:val="14"/>
                <w:szCs w:val="14"/>
                <w:color w:val="auto"/>
              </w:rPr>
              <w:t>(28,214,614)</w:t>
            </w:r>
          </w:p>
        </w:tc>
        <w:tc>
          <w:tcPr>
            <w:tcW w:w="200" w:type="dxa"/>
            <w:vAlign w:val="bottom"/>
          </w:tcPr>
          <w:p>
            <w:pPr>
              <w:spacing w:after="0"/>
              <w:rPr>
                <w:sz w:val="21"/>
                <w:szCs w:val="21"/>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(28,214,614)</w:t>
            </w:r>
          </w:p>
        </w:tc>
        <w:tc>
          <w:tcPr>
            <w:tcW w:w="0" w:type="dxa"/>
            <w:vAlign w:val="bottom"/>
          </w:tcPr>
          <w:p>
            <w:pPr>
              <w:spacing w:after="0"/>
              <w:rPr>
                <w:sz w:val="1"/>
                <w:szCs w:val="1"/>
                <w:color w:val="auto"/>
              </w:rPr>
            </w:pPr>
          </w:p>
        </w:tc>
      </w:tr>
      <w:tr>
        <w:trPr>
          <w:trHeight w:val="216"/>
        </w:trPr>
        <w:tc>
          <w:tcPr>
            <w:tcW w:w="12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6"/>
              <w:spacing w:after="0"/>
              <w:rPr>
                <w:sz w:val="20"/>
                <w:szCs w:val="20"/>
                <w:color w:val="auto"/>
              </w:rPr>
            </w:pPr>
            <w:r>
              <w:rPr>
                <w:rFonts w:ascii="Arial" w:cs="Arial" w:eastAsia="Arial" w:hAnsi="Arial"/>
                <w:sz w:val="14"/>
                <w:szCs w:val="14"/>
                <w:color w:val="auto"/>
              </w:rPr>
              <w:t>72,404,403</w:t>
            </w:r>
          </w:p>
        </w:tc>
        <w:tc>
          <w:tcPr>
            <w:tcW w:w="200" w:type="dxa"/>
            <w:vAlign w:val="bottom"/>
          </w:tcPr>
          <w:p>
            <w:pPr>
              <w:spacing w:after="0"/>
              <w:rPr>
                <w:sz w:val="18"/>
                <w:szCs w:val="18"/>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72,404,403</w:t>
            </w:r>
          </w:p>
        </w:tc>
        <w:tc>
          <w:tcPr>
            <w:tcW w:w="0" w:type="dxa"/>
            <w:vAlign w:val="bottom"/>
          </w:tcPr>
          <w:p>
            <w:pPr>
              <w:spacing w:after="0"/>
              <w:rPr>
                <w:sz w:val="1"/>
                <w:szCs w:val="1"/>
                <w:color w:val="auto"/>
              </w:rPr>
            </w:pPr>
          </w:p>
        </w:tc>
      </w:tr>
      <w:tr>
        <w:trPr>
          <w:trHeight w:val="220"/>
        </w:trPr>
        <w:tc>
          <w:tcPr>
            <w:tcW w:w="12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(5,828,471)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(5,828,471)</w:t>
            </w:r>
          </w:p>
        </w:tc>
        <w:tc>
          <w:tcPr>
            <w:tcW w:w="0" w:type="dxa"/>
            <w:vAlign w:val="bottom"/>
          </w:tcPr>
          <w:p>
            <w:pPr>
              <w:spacing w:after="0"/>
              <w:rPr>
                <w:sz w:val="1"/>
                <w:szCs w:val="1"/>
                <w:color w:val="auto"/>
              </w:rPr>
            </w:pPr>
          </w:p>
        </w:tc>
      </w:tr>
      <w:tr>
        <w:trPr>
          <w:trHeight w:val="196"/>
        </w:trPr>
        <w:tc>
          <w:tcPr>
            <w:tcW w:w="12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235,132,265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14,107,936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900,576,404</w:t>
            </w:r>
          </w:p>
        </w:tc>
        <w:tc>
          <w:tcPr>
            <w:tcW w:w="13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$ 1,082,846,019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(10,955,879)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$ 1,986,574,480</w:t>
            </w:r>
          </w:p>
        </w:tc>
        <w:tc>
          <w:tcPr>
            <w:tcW w:w="0" w:type="dxa"/>
            <w:vAlign w:val="bottom"/>
          </w:tcPr>
          <w:p>
            <w:pPr>
              <w:spacing w:after="0"/>
              <w:rPr>
                <w:sz w:val="1"/>
                <w:szCs w:val="1"/>
                <w:color w:val="auto"/>
              </w:rPr>
            </w:pPr>
          </w:p>
        </w:tc>
      </w:tr>
      <w:tr>
        <w:trPr>
          <w:trHeight w:val="25"/>
        </w:trPr>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-1559560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-1182370</wp:posOffset>
            </wp:positionV>
            <wp:extent cx="7132320"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-599440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-307975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-16510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3340" w:space="40"/>
            <w:col w:w="7840"/>
          </w:cols>
          <w:pgMar w:left="340" w:top="1440"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APRIL 1, 2021</w:t>
      </w:r>
    </w:p>
    <w:p>
      <w:pPr>
        <w:spacing w:after="0" w:line="3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right="900"/>
        <w:spacing w:after="0" w:line="321" w:lineRule="auto"/>
        <w:rPr>
          <w:sz w:val="20"/>
          <w:szCs w:val="20"/>
          <w:color w:val="auto"/>
        </w:rPr>
      </w:pPr>
      <w:r>
        <w:rPr>
          <w:rFonts w:ascii="Arial" w:cs="Arial" w:eastAsia="Arial" w:hAnsi="Arial"/>
          <w:sz w:val="16"/>
          <w:szCs w:val="16"/>
          <w:color w:val="auto"/>
        </w:rPr>
        <w:t>Other comprehensive income BALANCE AS OF JUNE 30,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241,538,824</w:t>
            </w:r>
          </w:p>
        </w:tc>
        <w:tc>
          <w:tcPr>
            <w:tcW w:w="3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14,492,329</w:t>
            </w:r>
          </w:p>
        </w:tc>
        <w:tc>
          <w:tcPr>
            <w:tcW w:w="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859,355,232</w:t>
            </w:r>
          </w:p>
        </w:tc>
        <w:tc>
          <w:tcPr>
            <w:tcW w:w="12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$ 1,085,178,486</w:t>
            </w:r>
          </w:p>
        </w:tc>
        <w:tc>
          <w:tcPr>
            <w:tcW w:w="4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1,954,667</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$ 1,960,980,714</w:t>
            </w:r>
          </w:p>
        </w:tc>
      </w:tr>
      <w:tr>
        <w:trPr>
          <w:trHeight w:val="378"/>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838,896</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50,334</w:t>
            </w:r>
          </w:p>
        </w:tc>
        <w:tc>
          <w:tcPr>
            <w:tcW w:w="26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4,340,710</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4,391,044</w:t>
            </w:r>
          </w:p>
        </w:tc>
      </w:tr>
      <w:tr>
        <w:trPr>
          <w:trHeight w:val="216"/>
        </w:trPr>
        <w:tc>
          <w:tcPr>
            <w:tcW w:w="1220" w:type="dxa"/>
            <w:vAlign w:val="bottom"/>
          </w:tcPr>
          <w:p>
            <w:pPr>
              <w:jc w:val="right"/>
              <w:ind w:right="28"/>
              <w:spacing w:after="0"/>
              <w:rPr>
                <w:sz w:val="20"/>
                <w:szCs w:val="20"/>
                <w:color w:val="auto"/>
              </w:rPr>
            </w:pPr>
            <w:r>
              <w:rPr>
                <w:rFonts w:ascii="Arial" w:cs="Arial" w:eastAsia="Arial" w:hAnsi="Arial"/>
                <w:sz w:val="14"/>
                <w:szCs w:val="14"/>
                <w:color w:val="auto"/>
              </w:rPr>
              <w:t>(3,411,131)</w:t>
            </w:r>
          </w:p>
        </w:tc>
        <w:tc>
          <w:tcPr>
            <w:tcW w:w="3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(204,668)</w:t>
            </w:r>
          </w:p>
        </w:tc>
        <w:tc>
          <w:tcPr>
            <w:tcW w:w="26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(10,745,063)</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(104,971,348)</w:t>
            </w:r>
          </w:p>
        </w:tc>
        <w:tc>
          <w:tcPr>
            <w:tcW w:w="46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(115,921,079)</w:t>
            </w:r>
          </w:p>
        </w:tc>
      </w:tr>
      <w:tr>
        <w:trPr>
          <w:trHeight w:val="540"/>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6,727,513</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6,727,513</w:t>
            </w:r>
          </w:p>
        </w:tc>
      </w:tr>
      <w:tr>
        <w:trPr>
          <w:trHeight w:val="243"/>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(28,675,992)</w:t>
            </w:r>
          </w:p>
        </w:tc>
        <w:tc>
          <w:tcPr>
            <w:tcW w:w="46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(28,675,992)</w:t>
            </w:r>
          </w:p>
        </w:tc>
      </w:tr>
      <w:tr>
        <w:trPr>
          <w:trHeight w:val="216"/>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86,506,418</w:t>
            </w:r>
          </w:p>
        </w:tc>
        <w:tc>
          <w:tcPr>
            <w:tcW w:w="46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86,506,418</w:t>
            </w:r>
          </w:p>
        </w:tc>
      </w:tr>
      <w:tr>
        <w:trPr>
          <w:trHeight w:val="220"/>
        </w:trPr>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2,310,371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2,310,371</w:t>
            </w:r>
          </w:p>
        </w:tc>
      </w:tr>
      <w:tr>
        <w:trPr>
          <w:trHeight w:val="196"/>
        </w:trPr>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238,966,589</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14,337,995</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859,678,392</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$ 1,038,037,564</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4,265,038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$ 1,916,318,989</w:t>
            </w:r>
          </w:p>
        </w:tc>
      </w:tr>
      <w:tr>
        <w:trPr>
          <w:trHeight w:val="25"/>
        </w:trPr>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-1319530</wp:posOffset>
            </wp:positionV>
            <wp:extent cx="713232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-942340</wp:posOffset>
            </wp:positionV>
            <wp:extent cx="713232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-445135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-170815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3340" w:space="40"/>
            <w:col w:w="784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6" w:name="page7"/>
    <w:bookmarkEnd w:id="6"/>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Six Months Ended June 30, 2022 and 2021</w:t>
      </w:r>
    </w:p>
    <w:p>
      <w:pPr>
        <w:sectPr>
          <w:pgSz w:w="11900" w:h="16838" w:orient="portrait"/>
          <w:cols w:equalWidth="0" w:num="1">
            <w:col w:w="11200"/>
          </w:cols>
          <w:pgMar w:left="36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2022</w:t>
      </w:r>
    </w:p>
    <w:p>
      <w:pPr>
        <w:spacing w:after="0" w:line="3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ind w:right="720"/>
        <w:spacing w:after="0" w:line="246" w:lineRule="auto"/>
        <w:rPr>
          <w:sz w:val="20"/>
          <w:szCs w:val="20"/>
          <w:color w:val="auto"/>
        </w:rPr>
      </w:pPr>
      <w:r>
        <w:rPr>
          <w:rFonts w:ascii="Arial" w:cs="Arial" w:eastAsia="Arial" w:hAnsi="Arial"/>
          <w:sz w:val="16"/>
          <w:szCs w:val="16"/>
          <w:color w:val="auto"/>
        </w:rPr>
        <w:t>Issuance of common stock for equity investment purchases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($0.24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right="900"/>
        <w:spacing w:after="0" w:line="356" w:lineRule="auto"/>
        <w:rPr>
          <w:sz w:val="20"/>
          <w:szCs w:val="20"/>
          <w:color w:val="auto"/>
        </w:rPr>
      </w:pPr>
      <w:r>
        <w:rPr>
          <w:rFonts w:ascii="Arial" w:cs="Arial" w:eastAsia="Arial" w:hAnsi="Arial"/>
          <w:sz w:val="16"/>
          <w:szCs w:val="16"/>
          <w:color w:val="auto"/>
        </w:rPr>
        <w:t>Other comprehensive loss BALANCE AS OF JUNE 30, 2022</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2021</w:t>
      </w:r>
    </w:p>
    <w:p>
      <w:pPr>
        <w:spacing w:after="0" w:line="3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($0.24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right="900"/>
        <w:spacing w:after="0" w:line="321" w:lineRule="auto"/>
        <w:rPr>
          <w:sz w:val="20"/>
          <w:szCs w:val="20"/>
          <w:color w:val="auto"/>
        </w:rPr>
      </w:pPr>
      <w:r>
        <w:rPr>
          <w:rFonts w:ascii="Arial" w:cs="Arial" w:eastAsia="Arial" w:hAnsi="Arial"/>
          <w:sz w:val="16"/>
          <w:szCs w:val="16"/>
          <w:color w:val="auto"/>
        </w:rPr>
        <w:t>Other comprehensive loss BALANCE AS OF JUNE 30, 2021</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4"/>
                <w:szCs w:val="14"/>
                <w:color w:val="auto"/>
              </w:rPr>
            </w:pPr>
          </w:p>
        </w:tc>
        <w:tc>
          <w:tcPr>
            <w:tcW w:w="100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8"/>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1160" w:type="dxa"/>
            <w:vAlign w:val="bottom"/>
          </w:tcPr>
          <w:p>
            <w:pPr>
              <w:jc w:val="center"/>
              <w:ind w:right="108"/>
              <w:spacing w:after="0" w:line="145"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2"/>
                <w:szCs w:val="12"/>
                <w:color w:val="auto"/>
              </w:rPr>
            </w:pPr>
          </w:p>
        </w:tc>
        <w:tc>
          <w:tcPr>
            <w:tcW w:w="100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2"/>
                <w:szCs w:val="12"/>
                <w:color w:val="auto"/>
              </w:rPr>
            </w:pPr>
          </w:p>
        </w:tc>
        <w:tc>
          <w:tcPr>
            <w:tcW w:w="1120" w:type="dxa"/>
            <w:vAlign w:val="bottom"/>
          </w:tcPr>
          <w:p>
            <w:pPr>
              <w:jc w:val="right"/>
              <w:ind w:right="368"/>
              <w:spacing w:after="0" w:line="149"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200"/>
        </w:trPr>
        <w:tc>
          <w:tcPr>
            <w:tcW w:w="1160" w:type="dxa"/>
            <w:vAlign w:val="bottom"/>
          </w:tcPr>
          <w:p>
            <w:pPr>
              <w:jc w:val="center"/>
              <w:ind w:right="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7"/>
                <w:szCs w:val="17"/>
                <w:color w:val="auto"/>
              </w:rPr>
            </w:pPr>
          </w:p>
        </w:tc>
        <w:tc>
          <w:tcPr>
            <w:tcW w:w="1000" w:type="dxa"/>
            <w:vAlign w:val="bottom"/>
          </w:tcPr>
          <w:p>
            <w:pPr>
              <w:jc w:val="center"/>
              <w:ind w:right="148"/>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7"/>
                <w:szCs w:val="17"/>
                <w:color w:val="auto"/>
              </w:rPr>
            </w:pPr>
          </w:p>
        </w:tc>
        <w:tc>
          <w:tcPr>
            <w:tcW w:w="1120" w:type="dxa"/>
            <w:vAlign w:val="bottom"/>
          </w:tcPr>
          <w:p>
            <w:pPr>
              <w:jc w:val="right"/>
              <w:ind w:right="368"/>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7"/>
                <w:szCs w:val="17"/>
                <w:color w:val="auto"/>
              </w:rPr>
            </w:pPr>
          </w:p>
        </w:tc>
        <w:tc>
          <w:tcPr>
            <w:tcW w:w="1140" w:type="dxa"/>
            <w:vAlign w:val="bottom"/>
          </w:tcPr>
          <w:p>
            <w:pPr>
              <w:jc w:val="right"/>
              <w:ind w:right="308"/>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7"/>
                <w:szCs w:val="17"/>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rPr>
              <w:t>(Loss) Income</w:t>
            </w:r>
          </w:p>
        </w:tc>
        <w:tc>
          <w:tcPr>
            <w:tcW w:w="200" w:type="dxa"/>
            <w:vAlign w:val="bottom"/>
          </w:tcPr>
          <w:p>
            <w:pPr>
              <w:spacing w:after="0"/>
              <w:rPr>
                <w:sz w:val="17"/>
                <w:szCs w:val="17"/>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97"/>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236,440,840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14,186,450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879,413,385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1,042,461,388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1,927,244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1,937,988,467</w:t>
            </w:r>
          </w:p>
        </w:tc>
        <w:tc>
          <w:tcPr>
            <w:tcW w:w="0" w:type="dxa"/>
            <w:vAlign w:val="bottom"/>
          </w:tcPr>
          <w:p>
            <w:pPr>
              <w:spacing w:after="0"/>
              <w:rPr>
                <w:sz w:val="1"/>
                <w:szCs w:val="1"/>
                <w:color w:val="auto"/>
              </w:rPr>
            </w:pPr>
          </w:p>
        </w:tc>
      </w:tr>
      <w:tr>
        <w:trPr>
          <w:trHeight w:val="37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969,182</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58,151</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8,937,016</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8,995,167</w:t>
            </w:r>
          </w:p>
        </w:tc>
        <w:tc>
          <w:tcPr>
            <w:tcW w:w="0" w:type="dxa"/>
            <w:vAlign w:val="bottom"/>
          </w:tcPr>
          <w:p>
            <w:pPr>
              <w:spacing w:after="0"/>
              <w:rPr>
                <w:sz w:val="1"/>
                <w:szCs w:val="1"/>
                <w:color w:val="auto"/>
              </w:rPr>
            </w:pPr>
          </w:p>
        </w:tc>
      </w:tr>
      <w:tr>
        <w:trPr>
          <w:trHeight w:val="37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162,433</w:t>
            </w:r>
          </w:p>
        </w:tc>
        <w:tc>
          <w:tcPr>
            <w:tcW w:w="24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9,746</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4,990,266</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5,000,012</w:t>
            </w:r>
          </w:p>
        </w:tc>
        <w:tc>
          <w:tcPr>
            <w:tcW w:w="0" w:type="dxa"/>
            <w:vAlign w:val="bottom"/>
          </w:tcPr>
          <w:p>
            <w:pPr>
              <w:spacing w:after="0"/>
              <w:rPr>
                <w:sz w:val="1"/>
                <w:szCs w:val="1"/>
                <w:color w:val="auto"/>
              </w:rPr>
            </w:pPr>
          </w:p>
        </w:tc>
      </w:tr>
      <w:tr>
        <w:trPr>
          <w:trHeight w:val="216"/>
        </w:trPr>
        <w:tc>
          <w:tcPr>
            <w:tcW w:w="1160" w:type="dxa"/>
            <w:vAlign w:val="bottom"/>
          </w:tcPr>
          <w:p>
            <w:pPr>
              <w:jc w:val="right"/>
              <w:ind w:right="28"/>
              <w:spacing w:after="0"/>
              <w:rPr>
                <w:sz w:val="20"/>
                <w:szCs w:val="20"/>
                <w:color w:val="auto"/>
              </w:rPr>
            </w:pPr>
            <w:r>
              <w:rPr>
                <w:rFonts w:ascii="Arial" w:cs="Arial" w:eastAsia="Arial" w:hAnsi="Arial"/>
                <w:sz w:val="14"/>
                <w:szCs w:val="14"/>
                <w:color w:val="auto"/>
              </w:rPr>
              <w:t>(2,440,190)</w:t>
            </w:r>
          </w:p>
        </w:tc>
        <w:tc>
          <w:tcPr>
            <w:tcW w:w="24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(146,411)</w:t>
            </w:r>
          </w:p>
        </w:tc>
        <w:tc>
          <w:tcPr>
            <w:tcW w:w="2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(8,125,830)</w:t>
            </w:r>
          </w:p>
        </w:tc>
        <w:tc>
          <w:tcPr>
            <w:tcW w:w="2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(62,979,781)</w:t>
            </w:r>
          </w:p>
        </w:tc>
        <w:tc>
          <w:tcPr>
            <w:tcW w:w="1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(71,252,022)</w:t>
            </w:r>
          </w:p>
        </w:tc>
        <w:tc>
          <w:tcPr>
            <w:tcW w:w="0" w:type="dxa"/>
            <w:vAlign w:val="bottom"/>
          </w:tcPr>
          <w:p>
            <w:pPr>
              <w:spacing w:after="0"/>
              <w:rPr>
                <w:sz w:val="1"/>
                <w:szCs w:val="1"/>
                <w:color w:val="auto"/>
              </w:rPr>
            </w:pPr>
          </w:p>
        </w:tc>
      </w:tr>
      <w:tr>
        <w:trPr>
          <w:trHeight w:val="540"/>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15,361,567</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15,361,567</w:t>
            </w:r>
          </w:p>
        </w:tc>
        <w:tc>
          <w:tcPr>
            <w:tcW w:w="0" w:type="dxa"/>
            <w:vAlign w:val="bottom"/>
          </w:tcPr>
          <w:p>
            <w:pPr>
              <w:spacing w:after="0"/>
              <w:rPr>
                <w:sz w:val="1"/>
                <w:szCs w:val="1"/>
                <w:color w:val="auto"/>
              </w:rPr>
            </w:pPr>
          </w:p>
        </w:tc>
      </w:tr>
      <w:tr>
        <w:trPr>
          <w:trHeight w:val="243"/>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(56,568,616)</w:t>
            </w:r>
          </w:p>
        </w:tc>
        <w:tc>
          <w:tcPr>
            <w:tcW w:w="18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(56,568,616)</w:t>
            </w:r>
          </w:p>
        </w:tc>
        <w:tc>
          <w:tcPr>
            <w:tcW w:w="0" w:type="dxa"/>
            <w:vAlign w:val="bottom"/>
          </w:tcPr>
          <w:p>
            <w:pPr>
              <w:spacing w:after="0"/>
              <w:rPr>
                <w:sz w:val="1"/>
                <w:szCs w:val="1"/>
                <w:color w:val="auto"/>
              </w:rPr>
            </w:pPr>
          </w:p>
        </w:tc>
      </w:tr>
      <w:tr>
        <w:trPr>
          <w:trHeight w:val="216"/>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159,933,028</w:t>
            </w:r>
          </w:p>
        </w:tc>
        <w:tc>
          <w:tcPr>
            <w:tcW w:w="1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159,933,028</w:t>
            </w:r>
          </w:p>
        </w:tc>
        <w:tc>
          <w:tcPr>
            <w:tcW w:w="0" w:type="dxa"/>
            <w:vAlign w:val="bottom"/>
          </w:tcPr>
          <w:p>
            <w:pPr>
              <w:spacing w:after="0"/>
              <w:rPr>
                <w:sz w:val="1"/>
                <w:szCs w:val="1"/>
                <w:color w:val="auto"/>
              </w:rPr>
            </w:pPr>
          </w:p>
        </w:tc>
      </w:tr>
      <w:tr>
        <w:trPr>
          <w:trHeight w:val="220"/>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(12,883,123)</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(12,883,123)</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235,132,265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14,107,936</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900,576,404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1,082,846,019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(10,955,879)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1,986,574,480</w:t>
            </w:r>
          </w:p>
        </w:tc>
        <w:tc>
          <w:tcPr>
            <w:tcW w:w="0" w:type="dxa"/>
            <w:vAlign w:val="bottom"/>
          </w:tcPr>
          <w:p>
            <w:pPr>
              <w:spacing w:after="0"/>
              <w:rPr>
                <w:sz w:val="1"/>
                <w:szCs w:val="1"/>
                <w:color w:val="auto"/>
              </w:rPr>
            </w:pPr>
          </w:p>
        </w:tc>
      </w:tr>
      <w:tr>
        <w:trPr>
          <w:trHeight w:val="24"/>
        </w:trPr>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5"/>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243,692,869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14,621,572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852,771,508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1,089,698,996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6,851,052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1,963,943,128</w:t>
            </w:r>
          </w:p>
        </w:tc>
        <w:tc>
          <w:tcPr>
            <w:tcW w:w="0" w:type="dxa"/>
            <w:vAlign w:val="bottom"/>
          </w:tcPr>
          <w:p>
            <w:pPr>
              <w:spacing w:after="0"/>
              <w:rPr>
                <w:sz w:val="1"/>
                <w:szCs w:val="1"/>
                <w:color w:val="auto"/>
              </w:rPr>
            </w:pPr>
          </w:p>
        </w:tc>
      </w:tr>
      <w:tr>
        <w:trPr>
          <w:trHeight w:val="37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1,439,916</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86,395</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13,570,489</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13,656,884</w:t>
            </w:r>
          </w:p>
        </w:tc>
        <w:tc>
          <w:tcPr>
            <w:tcW w:w="0" w:type="dxa"/>
            <w:vAlign w:val="bottom"/>
          </w:tcPr>
          <w:p>
            <w:pPr>
              <w:spacing w:after="0"/>
              <w:rPr>
                <w:sz w:val="1"/>
                <w:szCs w:val="1"/>
                <w:color w:val="auto"/>
              </w:rPr>
            </w:pPr>
          </w:p>
        </w:tc>
      </w:tr>
      <w:tr>
        <w:trPr>
          <w:trHeight w:val="216"/>
        </w:trPr>
        <w:tc>
          <w:tcPr>
            <w:tcW w:w="1160" w:type="dxa"/>
            <w:vAlign w:val="bottom"/>
          </w:tcPr>
          <w:p>
            <w:pPr>
              <w:jc w:val="right"/>
              <w:ind w:right="28"/>
              <w:spacing w:after="0"/>
              <w:rPr>
                <w:sz w:val="20"/>
                <w:szCs w:val="20"/>
                <w:color w:val="auto"/>
              </w:rPr>
            </w:pPr>
            <w:r>
              <w:rPr>
                <w:rFonts w:ascii="Arial" w:cs="Arial" w:eastAsia="Arial" w:hAnsi="Arial"/>
                <w:sz w:val="14"/>
                <w:szCs w:val="14"/>
                <w:color w:val="auto"/>
              </w:rPr>
              <w:t>(6,166,196)</w:t>
            </w:r>
          </w:p>
        </w:tc>
        <w:tc>
          <w:tcPr>
            <w:tcW w:w="24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(369,972)</w:t>
            </w:r>
          </w:p>
        </w:tc>
        <w:tc>
          <w:tcPr>
            <w:tcW w:w="2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(19,285,763)</w:t>
            </w:r>
          </w:p>
        </w:tc>
        <w:tc>
          <w:tcPr>
            <w:tcW w:w="2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(193,958,107)</w:t>
            </w:r>
          </w:p>
        </w:tc>
        <w:tc>
          <w:tcPr>
            <w:tcW w:w="1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(213,613,842)</w:t>
            </w:r>
          </w:p>
        </w:tc>
        <w:tc>
          <w:tcPr>
            <w:tcW w:w="0" w:type="dxa"/>
            <w:vAlign w:val="bottom"/>
          </w:tcPr>
          <w:p>
            <w:pPr>
              <w:spacing w:after="0"/>
              <w:rPr>
                <w:sz w:val="1"/>
                <w:szCs w:val="1"/>
                <w:color w:val="auto"/>
              </w:rPr>
            </w:pPr>
          </w:p>
        </w:tc>
      </w:tr>
      <w:tr>
        <w:trPr>
          <w:trHeight w:val="540"/>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12,622,158</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12,622,158</w:t>
            </w:r>
          </w:p>
        </w:tc>
        <w:tc>
          <w:tcPr>
            <w:tcW w:w="0" w:type="dxa"/>
            <w:vAlign w:val="bottom"/>
          </w:tcPr>
          <w:p>
            <w:pPr>
              <w:spacing w:after="0"/>
              <w:rPr>
                <w:sz w:val="1"/>
                <w:szCs w:val="1"/>
                <w:color w:val="auto"/>
              </w:rPr>
            </w:pPr>
          </w:p>
        </w:tc>
      </w:tr>
      <w:tr>
        <w:trPr>
          <w:trHeight w:val="243"/>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(57,660,613)</w:t>
            </w:r>
          </w:p>
        </w:tc>
        <w:tc>
          <w:tcPr>
            <w:tcW w:w="18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(57,660,613)</w:t>
            </w:r>
          </w:p>
        </w:tc>
        <w:tc>
          <w:tcPr>
            <w:tcW w:w="0" w:type="dxa"/>
            <w:vAlign w:val="bottom"/>
          </w:tcPr>
          <w:p>
            <w:pPr>
              <w:spacing w:after="0"/>
              <w:rPr>
                <w:sz w:val="1"/>
                <w:szCs w:val="1"/>
                <w:color w:val="auto"/>
              </w:rPr>
            </w:pPr>
          </w:p>
        </w:tc>
      </w:tr>
      <w:tr>
        <w:trPr>
          <w:trHeight w:val="216"/>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199,957,288</w:t>
            </w:r>
          </w:p>
        </w:tc>
        <w:tc>
          <w:tcPr>
            <w:tcW w:w="1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199,957,288</w:t>
            </w:r>
          </w:p>
        </w:tc>
        <w:tc>
          <w:tcPr>
            <w:tcW w:w="0" w:type="dxa"/>
            <w:vAlign w:val="bottom"/>
          </w:tcPr>
          <w:p>
            <w:pPr>
              <w:spacing w:after="0"/>
              <w:rPr>
                <w:sz w:val="1"/>
                <w:szCs w:val="1"/>
                <w:color w:val="auto"/>
              </w:rPr>
            </w:pPr>
          </w:p>
        </w:tc>
      </w:tr>
      <w:tr>
        <w:trPr>
          <w:trHeight w:val="220"/>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(2,586,014)</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(2,586,014)</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238,966,589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14,337,995</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859,678,392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1,038,037,564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4,265,038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1,916,318,989</w:t>
            </w:r>
          </w:p>
        </w:tc>
        <w:tc>
          <w:tcPr>
            <w:tcW w:w="0" w:type="dxa"/>
            <w:vAlign w:val="bottom"/>
          </w:tcPr>
          <w:p>
            <w:pPr>
              <w:spacing w:after="0"/>
              <w:rPr>
                <w:sz w:val="1"/>
                <w:szCs w:val="1"/>
                <w:color w:val="auto"/>
              </w:rPr>
            </w:pPr>
          </w:p>
        </w:tc>
      </w:tr>
      <w:tr>
        <w:trPr>
          <w:trHeight w:val="25"/>
        </w:trPr>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-3308350</wp:posOffset>
            </wp:positionV>
            <wp:extent cx="711517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-2931160</wp:posOffset>
            </wp:positionV>
            <wp:extent cx="7115175"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-2553970</wp:posOffset>
            </wp:positionV>
            <wp:extent cx="7115175" cy="342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34290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-2056765</wp:posOffset>
            </wp:positionV>
            <wp:extent cx="711517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-1782445</wp:posOffset>
            </wp:positionV>
            <wp:extent cx="711517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-1456690</wp:posOffset>
            </wp:positionV>
            <wp:extent cx="711517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-1079500</wp:posOffset>
            </wp:positionV>
            <wp:extent cx="711517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-599440</wp:posOffset>
            </wp:positionV>
            <wp:extent cx="71151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-307975</wp:posOffset>
            </wp:positionV>
            <wp:extent cx="711517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3340" w:space="40"/>
            <w:col w:w="7820"/>
          </w:cols>
          <w:pgMar w:left="36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80645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type w:val="continuous"/>
        </w:sectPr>
      </w:pPr>
    </w:p>
    <w:bookmarkStart w:id="7" w:name="page8"/>
    <w:bookmarkEnd w:id="7"/>
    <w:p>
      <w:pPr>
        <w:jc w:val="center"/>
        <w:ind w:right="60"/>
        <w:spacing w:after="0" w:line="395"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CASH FLOWS For the Six Months Ended June 30, 2022 and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30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159,933,028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199,957,288</w:t>
            </w:r>
          </w:p>
        </w:tc>
        <w:tc>
          <w:tcPr>
            <w:tcW w:w="0" w:type="dxa"/>
            <w:vAlign w:val="bottom"/>
          </w:tcPr>
          <w:p>
            <w:pPr>
              <w:spacing w:after="0"/>
              <w:rPr>
                <w:sz w:val="1"/>
                <w:szCs w:val="1"/>
                <w:color w:val="auto"/>
              </w:rPr>
            </w:pPr>
          </w:p>
        </w:tc>
      </w:tr>
      <w:tr>
        <w:trPr>
          <w:trHeight w:val="229"/>
        </w:trPr>
        <w:tc>
          <w:tcPr>
            <w:tcW w:w="730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50,052,518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51,497,665</w:t>
            </w:r>
          </w:p>
        </w:tc>
        <w:tc>
          <w:tcPr>
            <w:tcW w:w="0" w:type="dxa"/>
            <w:vAlign w:val="bottom"/>
          </w:tcPr>
          <w:p>
            <w:pPr>
              <w:spacing w:after="0"/>
              <w:rPr>
                <w:sz w:val="1"/>
                <w:szCs w:val="1"/>
                <w:color w:val="auto"/>
              </w:rPr>
            </w:pPr>
          </w:p>
        </w:tc>
      </w:tr>
      <w:tr>
        <w:trPr>
          <w:trHeight w:val="230"/>
        </w:trPr>
        <w:tc>
          <w:tcPr>
            <w:tcW w:w="7300" w:type="dxa"/>
            <w:vAlign w:val="bottom"/>
          </w:tcPr>
          <w:p>
            <w:pPr>
              <w:ind w:left="560"/>
              <w:spacing w:after="0"/>
              <w:rPr>
                <w:sz w:val="20"/>
                <w:szCs w:val="20"/>
                <w:color w:val="auto"/>
              </w:rPr>
            </w:pPr>
            <w:r>
              <w:rPr>
                <w:rFonts w:ascii="Arial" w:cs="Arial" w:eastAsia="Arial" w:hAnsi="Arial"/>
                <w:sz w:val="18"/>
                <w:szCs w:val="18"/>
                <w:color w:val="auto"/>
              </w:rPr>
              <w:t>(Gain) on disposal of assets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(45,214)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(19,891)</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disposal of assets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133,036</w:t>
            </w:r>
          </w:p>
        </w:tc>
        <w:tc>
          <w:tcPr>
            <w:tcW w:w="0" w:type="dxa"/>
            <w:vAlign w:val="bottom"/>
          </w:tcPr>
          <w:p>
            <w:pPr>
              <w:spacing w:after="0"/>
              <w:rPr>
                <w:sz w:val="1"/>
                <w:szCs w:val="1"/>
                <w:color w:val="auto"/>
              </w:rPr>
            </w:pPr>
          </w:p>
        </w:tc>
      </w:tr>
      <w:tr>
        <w:trPr>
          <w:trHeight w:val="229"/>
        </w:trPr>
        <w:tc>
          <w:tcPr>
            <w:tcW w:w="7300" w:type="dxa"/>
            <w:vAlign w:val="bottom"/>
          </w:tcPr>
          <w:p>
            <w:pPr>
              <w:ind w:left="560"/>
              <w:spacing w:after="0"/>
              <w:rPr>
                <w:sz w:val="20"/>
                <w:szCs w:val="20"/>
                <w:color w:val="auto"/>
              </w:rPr>
            </w:pPr>
            <w:r>
              <w:rPr>
                <w:rFonts w:ascii="Arial" w:cs="Arial" w:eastAsia="Arial" w:hAnsi="Arial"/>
                <w:sz w:val="18"/>
                <w:szCs w:val="18"/>
                <w:color w:val="auto"/>
              </w:rPr>
              <w:t>(Gain) on sale of investments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(391,378)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(969,971)</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sale of investments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989,196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192,346</w:t>
            </w:r>
          </w:p>
        </w:tc>
        <w:tc>
          <w:tcPr>
            <w:tcW w:w="0" w:type="dxa"/>
            <w:vAlign w:val="bottom"/>
          </w:tcPr>
          <w:p>
            <w:pPr>
              <w:spacing w:after="0"/>
              <w:rPr>
                <w:sz w:val="1"/>
                <w:szCs w:val="1"/>
                <w:color w:val="auto"/>
              </w:rPr>
            </w:pPr>
          </w:p>
        </w:tc>
      </w:tr>
      <w:tr>
        <w:trPr>
          <w:trHeight w:val="229"/>
        </w:trPr>
        <w:tc>
          <w:tcPr>
            <w:tcW w:w="7300" w:type="dxa"/>
            <w:vAlign w:val="bottom"/>
          </w:tcPr>
          <w:p>
            <w:pPr>
              <w:ind w:left="560"/>
              <w:spacing w:after="0"/>
              <w:rPr>
                <w:sz w:val="20"/>
                <w:szCs w:val="20"/>
                <w:color w:val="auto"/>
              </w:rPr>
            </w:pPr>
            <w:r>
              <w:rPr>
                <w:rFonts w:ascii="Arial" w:cs="Arial" w:eastAsia="Arial" w:hAnsi="Arial"/>
                <w:sz w:val="18"/>
                <w:szCs w:val="18"/>
                <w:color w:val="auto"/>
              </w:rPr>
              <w:t>Change in deferred income taxes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5,044,744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(3,546,862)</w:t>
            </w:r>
          </w:p>
        </w:tc>
        <w:tc>
          <w:tcPr>
            <w:tcW w:w="0" w:type="dxa"/>
            <w:vAlign w:val="bottom"/>
          </w:tcPr>
          <w:p>
            <w:pPr>
              <w:spacing w:after="0"/>
              <w:rPr>
                <w:sz w:val="1"/>
                <w:szCs w:val="1"/>
                <w:color w:val="auto"/>
              </w:rPr>
            </w:pPr>
          </w:p>
        </w:tc>
      </w:tr>
      <w:tr>
        <w:trPr>
          <w:trHeight w:val="176"/>
        </w:trPr>
        <w:tc>
          <w:tcPr>
            <w:tcW w:w="730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Stock-based compensation expense related to employee stock options, employee</w:t>
            </w:r>
          </w:p>
        </w:tc>
        <w:tc>
          <w:tcPr>
            <w:tcW w:w="4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15,361,567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12,622,158</w:t>
            </w:r>
          </w:p>
        </w:tc>
        <w:tc>
          <w:tcPr>
            <w:tcW w:w="0" w:type="dxa"/>
            <w:vAlign w:val="bottom"/>
          </w:tcPr>
          <w:p>
            <w:pPr>
              <w:spacing w:after="0"/>
              <w:rPr>
                <w:sz w:val="1"/>
                <w:szCs w:val="1"/>
                <w:color w:val="auto"/>
              </w:rPr>
            </w:pPr>
          </w:p>
        </w:tc>
      </w:tr>
      <w:tr>
        <w:trPr>
          <w:trHeight w:val="243"/>
        </w:trPr>
        <w:tc>
          <w:tcPr>
            <w:tcW w:w="7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stock purchases and restricted stock</w:t>
            </w:r>
          </w:p>
        </w:tc>
        <w:tc>
          <w:tcPr>
            <w:tcW w:w="40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560"/>
              <w:spacing w:after="0"/>
              <w:rPr>
                <w:sz w:val="20"/>
                <w:szCs w:val="20"/>
                <w:color w:val="auto"/>
              </w:rPr>
            </w:pPr>
            <w:r>
              <w:rPr>
                <w:rFonts w:ascii="Arial" w:cs="Arial" w:eastAsia="Arial" w:hAnsi="Arial"/>
                <w:sz w:val="18"/>
                <w:szCs w:val="18"/>
                <w:color w:val="auto"/>
              </w:rPr>
              <w:t>Change in operating assets and liabilities:</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Accounts receivable, net</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(24,609,666)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50,784,339</w:t>
            </w:r>
          </w:p>
        </w:tc>
        <w:tc>
          <w:tcPr>
            <w:tcW w:w="0" w:type="dxa"/>
            <w:vAlign w:val="bottom"/>
          </w:tcPr>
          <w:p>
            <w:pPr>
              <w:spacing w:after="0"/>
              <w:rPr>
                <w:sz w:val="1"/>
                <w:szCs w:val="1"/>
                <w:color w:val="auto"/>
              </w:rPr>
            </w:pPr>
          </w:p>
        </w:tc>
      </w:tr>
      <w:tr>
        <w:trPr>
          <w:trHeight w:val="229"/>
        </w:trPr>
        <w:tc>
          <w:tcPr>
            <w:tcW w:w="7300" w:type="dxa"/>
            <w:vAlign w:val="bottom"/>
          </w:tcPr>
          <w:p>
            <w:pPr>
              <w:ind w:left="76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(76,310,383)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(37,608,133)</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Prepaid expenses and other</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(6,035,375)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(41,394,722)</w:t>
            </w:r>
          </w:p>
        </w:tc>
        <w:tc>
          <w:tcPr>
            <w:tcW w:w="0" w:type="dxa"/>
            <w:vAlign w:val="bottom"/>
          </w:tcPr>
          <w:p>
            <w:pPr>
              <w:spacing w:after="0"/>
              <w:rPr>
                <w:sz w:val="1"/>
                <w:szCs w:val="1"/>
                <w:color w:val="auto"/>
              </w:rPr>
            </w:pPr>
          </w:p>
        </w:tc>
      </w:tr>
      <w:tr>
        <w:trPr>
          <w:trHeight w:val="229"/>
        </w:trPr>
        <w:tc>
          <w:tcPr>
            <w:tcW w:w="7300" w:type="dxa"/>
            <w:vAlign w:val="bottom"/>
          </w:tcPr>
          <w:p>
            <w:pPr>
              <w:ind w:left="76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48,905,968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16,477,865</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Accrued liabilities, excluding dividends declared and short-term debt</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16,354,262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4,117,051</w:t>
            </w: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189,261,043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252,242,169</w:t>
            </w:r>
          </w:p>
        </w:tc>
        <w:tc>
          <w:tcPr>
            <w:tcW w:w="0" w:type="dxa"/>
            <w:vAlign w:val="bottom"/>
          </w:tcPr>
          <w:p>
            <w:pPr>
              <w:spacing w:after="0"/>
              <w:rPr>
                <w:sz w:val="1"/>
                <w:szCs w:val="1"/>
                <w:color w:val="auto"/>
              </w:rPr>
            </w:pPr>
          </w:p>
        </w:tc>
      </w:tr>
      <w:tr>
        <w:trPr>
          <w:trHeight w:val="156"/>
        </w:trPr>
        <w:tc>
          <w:tcPr>
            <w:tcW w:w="7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Activity in available-for-sale securities: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340"/>
              <w:spacing w:after="0"/>
              <w:rPr>
                <w:sz w:val="20"/>
                <w:szCs w:val="20"/>
                <w:color w:val="auto"/>
              </w:rPr>
            </w:pPr>
            <w:r>
              <w:rPr>
                <w:rFonts w:ascii="Arial" w:cs="Arial" w:eastAsia="Arial" w:hAnsi="Arial"/>
                <w:sz w:val="18"/>
                <w:szCs w:val="18"/>
                <w:color w:val="auto"/>
              </w:rPr>
              <w:t>Sales proceeds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37,429,595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34,250,068</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and calls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16,685,000</w:t>
            </w:r>
          </w:p>
        </w:tc>
        <w:tc>
          <w:tcPr>
            <w:tcW w:w="0" w:type="dxa"/>
            <w:vAlign w:val="bottom"/>
          </w:tcPr>
          <w:p>
            <w:pPr>
              <w:spacing w:after="0"/>
              <w:rPr>
                <w:sz w:val="1"/>
                <w:szCs w:val="1"/>
                <w:color w:val="auto"/>
              </w:rPr>
            </w:pPr>
          </w:p>
        </w:tc>
      </w:tr>
      <w:tr>
        <w:trPr>
          <w:trHeight w:val="229"/>
        </w:trPr>
        <w:tc>
          <w:tcPr>
            <w:tcW w:w="730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(19,506,446)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(71,596,074)</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equity method investments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00" w:type="dxa"/>
            <w:vAlign w:val="bottom"/>
          </w:tcPr>
          <w:p>
            <w:pPr>
              <w:ind w:left="220"/>
              <w:spacing w:after="0"/>
              <w:rPr>
                <w:sz w:val="20"/>
                <w:szCs w:val="20"/>
                <w:color w:val="auto"/>
              </w:rPr>
            </w:pPr>
            <w:r>
              <w:rPr>
                <w:rFonts w:ascii="Arial" w:cs="Arial" w:eastAsia="Arial" w:hAnsi="Arial"/>
                <w:sz w:val="18"/>
                <w:szCs w:val="18"/>
                <w:color w:val="auto"/>
              </w:rPr>
              <w:t>Plant and equipment additions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(57,998,319)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(31,352,443)</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plant and equipment</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99,850</w:t>
            </w:r>
          </w:p>
        </w:tc>
        <w:tc>
          <w:tcPr>
            <w:tcW w:w="0" w:type="dxa"/>
            <w:vAlign w:val="bottom"/>
          </w:tcPr>
          <w:p>
            <w:pPr>
              <w:spacing w:after="0"/>
              <w:rPr>
                <w:sz w:val="1"/>
                <w:szCs w:val="1"/>
                <w:color w:val="auto"/>
              </w:rPr>
            </w:pPr>
          </w:p>
        </w:tc>
      </w:tr>
      <w:tr>
        <w:trPr>
          <w:trHeight w:val="229"/>
        </w:trPr>
        <w:tc>
          <w:tcPr>
            <w:tcW w:w="7300" w:type="dxa"/>
            <w:vAlign w:val="bottom"/>
          </w:tcPr>
          <w:p>
            <w:pPr>
              <w:ind w:left="220"/>
              <w:spacing w:after="0"/>
              <w:rPr>
                <w:sz w:val="20"/>
                <w:szCs w:val="20"/>
                <w:color w:val="auto"/>
              </w:rPr>
            </w:pPr>
            <w:r>
              <w:rPr>
                <w:rFonts w:ascii="Arial" w:cs="Arial" w:eastAsia="Arial" w:hAnsi="Arial"/>
                <w:sz w:val="18"/>
                <w:szCs w:val="18"/>
                <w:color w:val="auto"/>
              </w:rPr>
              <w:t>Acquisition of businesses, net of cash acquired</w:t>
            </w:r>
          </w:p>
        </w:tc>
        <w:tc>
          <w:tcPr>
            <w:tcW w:w="4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(12,023,440)</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other assets</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(1,937,117)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(458,637)</w:t>
            </w: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Net cash used for investing activities</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(63,217,406)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(64,395,676)</w:t>
            </w:r>
          </w:p>
        </w:tc>
        <w:tc>
          <w:tcPr>
            <w:tcW w:w="0" w:type="dxa"/>
            <w:vAlign w:val="bottom"/>
          </w:tcPr>
          <w:p>
            <w:pPr>
              <w:spacing w:after="0"/>
              <w:rPr>
                <w:sz w:val="1"/>
                <w:szCs w:val="1"/>
                <w:color w:val="auto"/>
              </w:rPr>
            </w:pPr>
          </w:p>
        </w:tc>
      </w:tr>
      <w:tr>
        <w:trPr>
          <w:trHeight w:val="142"/>
        </w:trPr>
        <w:tc>
          <w:tcPr>
            <w:tcW w:w="7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 from stock plan transactions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8,995,167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13,656,884</w:t>
            </w:r>
          </w:p>
        </w:tc>
        <w:tc>
          <w:tcPr>
            <w:tcW w:w="0" w:type="dxa"/>
            <w:vAlign w:val="bottom"/>
          </w:tcPr>
          <w:p>
            <w:pPr>
              <w:spacing w:after="0"/>
              <w:rPr>
                <w:sz w:val="1"/>
                <w:szCs w:val="1"/>
                <w:color w:val="auto"/>
              </w:rPr>
            </w:pPr>
          </w:p>
        </w:tc>
      </w:tr>
      <w:tr>
        <w:trPr>
          <w:trHeight w:val="229"/>
        </w:trPr>
        <w:tc>
          <w:tcPr>
            <w:tcW w:w="7300" w:type="dxa"/>
            <w:vAlign w:val="bottom"/>
          </w:tcPr>
          <w:p>
            <w:pPr>
              <w:ind w:left="220"/>
              <w:spacing w:after="0"/>
              <w:rPr>
                <w:sz w:val="20"/>
                <w:szCs w:val="20"/>
                <w:color w:val="auto"/>
              </w:rPr>
            </w:pPr>
            <w:r>
              <w:rPr>
                <w:rFonts w:ascii="Arial" w:cs="Arial" w:eastAsia="Arial" w:hAnsi="Arial"/>
                <w:sz w:val="18"/>
                <w:szCs w:val="18"/>
                <w:color w:val="auto"/>
              </w:rPr>
              <w:t>Cash dividends paid</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(56,725,981)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(58,227,768)</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Repurchases of common stock</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(71,252,022)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(213,613,842)</w:t>
            </w: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Net cash used for financing activities</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(118,982,836)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(258,184,726)</w:t>
            </w:r>
          </w:p>
        </w:tc>
        <w:tc>
          <w:tcPr>
            <w:tcW w:w="0" w:type="dxa"/>
            <w:vAlign w:val="bottom"/>
          </w:tcPr>
          <w:p>
            <w:pPr>
              <w:spacing w:after="0"/>
              <w:rPr>
                <w:sz w:val="1"/>
                <w:szCs w:val="1"/>
                <w:color w:val="auto"/>
              </w:rPr>
            </w:pPr>
          </w:p>
        </w:tc>
      </w:tr>
      <w:tr>
        <w:trPr>
          <w:trHeight w:val="129"/>
        </w:trPr>
        <w:tc>
          <w:tcPr>
            <w:tcW w:w="7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7,060,801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(70,338,233)</w:t>
            </w:r>
          </w:p>
        </w:tc>
        <w:tc>
          <w:tcPr>
            <w:tcW w:w="0" w:type="dxa"/>
            <w:vAlign w:val="bottom"/>
          </w:tcPr>
          <w:p>
            <w:pPr>
              <w:spacing w:after="0"/>
              <w:rPr>
                <w:sz w:val="1"/>
                <w:szCs w:val="1"/>
                <w:color w:val="auto"/>
              </w:rPr>
            </w:pPr>
          </w:p>
        </w:tc>
      </w:tr>
      <w:tr>
        <w:trPr>
          <w:trHeight w:val="149"/>
        </w:trPr>
        <w:tc>
          <w:tcPr>
            <w:tcW w:w="73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262,311,670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423,371,036</w:t>
            </w:r>
          </w:p>
        </w:tc>
        <w:tc>
          <w:tcPr>
            <w:tcW w:w="0" w:type="dxa"/>
            <w:vAlign w:val="bottom"/>
          </w:tcPr>
          <w:p>
            <w:pPr>
              <w:spacing w:after="0"/>
              <w:rPr>
                <w:sz w:val="1"/>
                <w:szCs w:val="1"/>
                <w:color w:val="auto"/>
              </w:rPr>
            </w:pPr>
          </w:p>
        </w:tc>
      </w:tr>
      <w:tr>
        <w:trPr>
          <w:trHeight w:val="128"/>
        </w:trPr>
        <w:tc>
          <w:tcPr>
            <w:tcW w:w="7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269,372,471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353,032,803</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6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unaudited condensed consolidated financial statements included herein have been prepared by the Company, pursuant to the rules and regulations of the Securities and Exchange Commission.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2021 annual report on Form 10-K. In the opinion of management, the accompanying unaudited condensed consolidated financial statements contain all adjustments, consisting of only a normal and recurring nature, necessary to present fairly the financial position of the Company as of June 30, 2022, and the results of operations and cash flows for the interim periods presented.</w:t>
      </w:r>
    </w:p>
    <w:p>
      <w:pPr>
        <w:spacing w:after="0" w:line="208"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52" w:lineRule="exact"/>
        <w:rPr>
          <w:sz w:val="20"/>
          <w:szCs w:val="20"/>
          <w:color w:val="auto"/>
        </w:rPr>
      </w:pPr>
    </w:p>
    <w:p>
      <w:pPr>
        <w:jc w:val="both"/>
        <w:ind w:left="660"/>
        <w:spacing w:after="0" w:line="245" w:lineRule="auto"/>
        <w:rPr>
          <w:sz w:val="20"/>
          <w:szCs w:val="20"/>
          <w:color w:val="auto"/>
        </w:rPr>
      </w:pPr>
      <w:r>
        <w:rPr>
          <w:rFonts w:ascii="Arial" w:cs="Arial" w:eastAsia="Arial" w:hAnsi="Arial"/>
          <w:sz w:val="18"/>
          <w:szCs w:val="18"/>
          <w:color w:val="auto"/>
        </w:rPr>
        <w:t>Goodwill represents the cost of an acquisition in excess of the fair values assigned to identifiable net assets acquired. The Company recorded Goodwill of: $307.4 million as part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in 2013; $3.7 million as part of the acquisition of Vaporsens, Inc. ("Vaporsens") in the second quarter of 2020; $ 0.2 million as part of the acquisition of Air-Craftglass Production BV ("Air-Craftglass") in the third quarter of 2020; $1.0 million as a part of the acquisition of Argil, Inc. ("Argil") in the fourth quarter of 2020; and $2.0 million as part of the acquisition of Guardian Optical Technologies ("Guardian") in the first quarter of 2021. The carrying value of Goodwill as of both June 30, 2022 and December 31, 2021 was $313.9 million and $314.0 million, respectively, as set forth in the table below:</w:t>
      </w:r>
    </w:p>
    <w:p>
      <w:pPr>
        <w:spacing w:after="0" w:line="263" w:lineRule="exact"/>
        <w:rPr>
          <w:sz w:val="20"/>
          <w:szCs w:val="20"/>
          <w:color w:val="auto"/>
        </w:rPr>
      </w:pPr>
    </w:p>
    <w:tbl>
      <w:tblPr>
        <w:tblLayout w:type="fixed"/>
        <w:tblInd w:w="840" w:type="dxa"/>
        <w:tblCellMar>
          <w:top w:w="0" w:type="dxa"/>
          <w:left w:w="0" w:type="dxa"/>
          <w:bottom w:w="0" w:type="dxa"/>
          <w:right w:w="0" w:type="dxa"/>
        </w:tblCellMar>
      </w:tblPr>
      <w:tr>
        <w:trPr>
          <w:trHeight w:val="203"/>
        </w:trPr>
        <w:tc>
          <w:tcPr>
            <w:tcW w:w="7580" w:type="dxa"/>
            <w:vAlign w:val="bottom"/>
            <w:shd w:val="clear" w:color="auto" w:fill="CCEEFF"/>
          </w:tcPr>
          <w:p>
            <w:pPr>
              <w:spacing w:after="0"/>
              <w:rPr>
                <w:sz w:val="17"/>
                <w:szCs w:val="17"/>
                <w:color w:val="auto"/>
              </w:rPr>
            </w:pPr>
          </w:p>
        </w:tc>
        <w:tc>
          <w:tcPr>
            <w:tcW w:w="20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Carrying Amount</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Balance as of December 31, 2021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313,960,209</w:t>
            </w:r>
          </w:p>
        </w:tc>
      </w:tr>
      <w:tr>
        <w:trPr>
          <w:trHeight w:val="23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Divestitures</w:t>
            </w:r>
          </w:p>
        </w:tc>
        <w:tc>
          <w:tcPr>
            <w:tcW w:w="5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(102,559)</w:t>
            </w:r>
          </w:p>
        </w:tc>
      </w:tr>
      <w:tr>
        <w:trPr>
          <w:trHeight w:val="248"/>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2022</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313,857,650</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In addition to annual impairment testing, which is performed as of the first day of the fourth quarter, the Company continuously monitors for events and circumstances that could negatively impact the key assumptions in determining fair value of goodwill or other intangible assets thus resulting in the need for interim impairment testing, including long-term revenue growth projections, profitability, discount rates, recent market valuations from transactions by comparable companies, volatility in the Company's market capitalization, and general industry, market and macroeconomic conditions. The impact of COVID-19, the recent microchip shortage, supply chain constraints, and labor shortages were again considered in the most recently completed quarter, but did not indicate the need for interim impairment testing.</w:t>
      </w:r>
    </w:p>
    <w:p>
      <w:pPr>
        <w:spacing w:after="0" w:line="210"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The Company also acquired In-Process Research &amp; Development ("I P R &amp; D") as part of the acquisitions of: Vaporsens; Air-Craftglass; Argil; and Guardian, each of which has been previously disclosed.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9" w:name="page10"/>
    <w:bookmarkEnd w:id="9"/>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Other Intangible Assets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132"/>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85"/>
        </w:trPr>
        <w:tc>
          <w:tcPr>
            <w:tcW w:w="40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39,495,602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(27,389,285)</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12,106,317</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Vaporsens Technology Licenses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351,290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(67,367)</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283,923</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180,000,000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(131,250,000)</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48,750,000</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Existing Customer Platforms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(37,625,000)</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5,375,000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Exclusive Licensing Agreement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96,000,000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96,000,000</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Vaporsens In-Process R&amp;D</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Argil In-Process R&amp;D</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6,278,132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6,278,132</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Air-Craftglass In-Process R&amp;D</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1,507,778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1,507,778</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Guardian Trade Names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1,300,000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1,300,000</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Guardian In-Process R&amp;D</w:t>
            </w: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6,800,000</w:t>
            </w: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6,800,000</w:t>
            </w:r>
          </w:p>
        </w:tc>
        <w:tc>
          <w:tcPr>
            <w:tcW w:w="40" w:type="dxa"/>
            <w:vAlign w:val="bottom"/>
            <w:tcBorders>
              <w:bottom w:val="single" w:sz="8" w:color="auto"/>
            </w:tcBorders>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397,885,910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(168,875,000)</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229,010,910</w:t>
            </w:r>
          </w:p>
        </w:tc>
        <w:tc>
          <w:tcPr>
            <w:tcW w:w="4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437,732,802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(196,331,652)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241,401,150</w:t>
            </w:r>
          </w:p>
        </w:tc>
        <w:tc>
          <w:tcPr>
            <w:tcW w:w="4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As of December 31, 2021:</w:t>
            </w: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4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02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Other Intangible Assets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92"/>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Net</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Assumed Useful</w:t>
            </w:r>
          </w:p>
        </w:tc>
        <w:tc>
          <w:tcPr>
            <w:tcW w:w="0" w:type="dxa"/>
            <w:vAlign w:val="bottom"/>
          </w:tcPr>
          <w:p>
            <w:pPr>
              <w:spacing w:after="0"/>
              <w:rPr>
                <w:sz w:val="1"/>
                <w:szCs w:val="1"/>
                <w:color w:val="auto"/>
              </w:rPr>
            </w:pPr>
          </w:p>
        </w:tc>
      </w:tr>
      <w:tr>
        <w:trPr>
          <w:trHeight w:val="189"/>
        </w:trPr>
        <w:tc>
          <w:tcPr>
            <w:tcW w:w="40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39,362,187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(26,506,155)</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12,856,032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Vaporsens Technology Licenses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351,290</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(50,107)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301,183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180,000,000</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(123,750,000)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56,250,000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Existing Customer Platforms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43,000,000</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(35,475,000)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Exclusive Licensing Agreement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96,000,000</w:t>
            </w:r>
          </w:p>
        </w:tc>
        <w:tc>
          <w:tcPr>
            <w:tcW w:w="18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96,000,000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Vaporsens In-Process R&amp;D</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11,000,000</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tcPr>
          <w:p>
            <w:pPr>
              <w:ind w:left="200"/>
              <w:spacing w:after="0"/>
              <w:rPr>
                <w:sz w:val="20"/>
                <w:szCs w:val="20"/>
                <w:color w:val="auto"/>
              </w:rPr>
            </w:pPr>
            <w:r>
              <w:rPr>
                <w:rFonts w:ascii="Arial" w:cs="Arial" w:eastAsia="Arial" w:hAnsi="Arial"/>
                <w:sz w:val="18"/>
                <w:szCs w:val="18"/>
                <w:color w:val="auto"/>
              </w:rPr>
              <w:t>Argil In-Process R&amp;D</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6,278,132</w:t>
            </w:r>
          </w:p>
        </w:tc>
        <w:tc>
          <w:tcPr>
            <w:tcW w:w="18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6,278,132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Air-Craftglass In-Process R&amp;D</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1,507,778</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1,507,778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Arial" w:cs="Arial" w:eastAsia="Arial" w:hAnsi="Arial"/>
                <w:sz w:val="18"/>
                <w:szCs w:val="18"/>
                <w:color w:val="auto"/>
              </w:rPr>
              <w:t>Guardian Trade Names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1,384,857</w:t>
            </w:r>
          </w:p>
        </w:tc>
        <w:tc>
          <w:tcPr>
            <w:tcW w:w="18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1,384,857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Guardian In-Process R&amp;D</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7,243,860</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7,243,860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398,414,627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(159,225,000)</w:t>
            </w: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239,189,627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438,128,104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(185,781,262)</w:t>
            </w: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252,346,842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Amortization expense on patents and intangible assets was approximately $5.5 million and $11.1 million during the three and six months ended June 30, 2022, respectively, and approximately $5.6 million and $11.2 million for the same periods ended June 30, 2021, respectively.</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Excluding the impact of any future acquisitions, the Company estimates amortization expense for the year ending December 31, 2022 to be approximately $22 million, for the year ending December 31, 2023 to be</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approximately $20 million, for the year ending December 31, 2024 to be approximately $16 million, and for each of the years ending December 31, 2025 and December 31, 2026 to be approximately $12 million.</w:t>
      </w:r>
    </w:p>
    <w:p>
      <w:pPr>
        <w:spacing w:after="0" w:line="200" w:lineRule="exact"/>
        <w:rPr>
          <w:sz w:val="20"/>
          <w:szCs w:val="20"/>
          <w:color w:val="auto"/>
        </w:rPr>
      </w:pPr>
    </w:p>
    <w:p>
      <w:pPr>
        <w:spacing w:after="0" w:line="223"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158"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The Company follows the provisions of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with respect to a company’s use of fair-value measurements, including the effect of such measurements on earnings. The cost of securities sold is based on the specific identification method.</w:t>
      </w:r>
    </w:p>
    <w:p>
      <w:pPr>
        <w:spacing w:after="0" w:line="10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determines the fair value of its government securities, asset-backed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103"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Company's certificates of deposit are classified as available for sale and are considered as Level 1 assets. These investments are carried at cost, which approximates fair value.</w:t>
      </w:r>
    </w:p>
    <w:p>
      <w:pPr>
        <w:spacing w:after="0" w:line="18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The Company also periodically makes technology investments in certain non-consolidated third-parties. These equity investments are accounted for in accordance with ASC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xml:space="preserve">. The Company's share of the earnings or losses of non-controlled affiliates, over which the Company exercises significant influence (generally a 20% to 50% ownership interest), is included in the consolidated operating results using the equity method of accounting. These equity method investments, over which the Company exercises significant influence, totaled approximately $39.9 million as of June 30, 2022 (including approximately $11.1 million of investments accounted for under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xml:space="preserve"> as of December 31, 2021, for which the Company obtained significant influence during 2022)</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did not have equity method investments as of December 31, 2021. These investments are classified within Equity Method Investments in the condensed consolidated balance sheets.</w:t>
      </w:r>
    </w:p>
    <w:p>
      <w:pPr>
        <w:spacing w:after="0" w:line="208"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The Company has made technology investments in certain non-consolidated affiliates for ownership interests of less than 20% (where the Company does not have the ability to exercise significant influence). These equity investments are accounted for in accordance with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For these equity investments that do not have readily determinable fair values, and where the Company has not identified any observable events that would cause adjustment of the valuation to date, are then held at cost. These technology investments totaled approximately $ 7.6 million and $16.8 million as of June 30, 2022 and December 31, 2021, respectively. These investments are classified within Long-Term Investments in the condensed consolidated balance sheets.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or liabilities that have recurring fair value measurements are shown below as of June 30, 2022 and December 31, 2021:</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gridSpan w:val="12"/>
          </w:tcPr>
          <w:p>
            <w:pPr>
              <w:jc w:val="center"/>
              <w:ind w:right="1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3"/>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00"/>
              <w:spacing w:after="0" w:line="143" w:lineRule="exact"/>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2"/>
                <w:szCs w:val="12"/>
                <w:color w:val="auto"/>
              </w:rPr>
            </w:pPr>
          </w:p>
        </w:tc>
        <w:tc>
          <w:tcPr>
            <w:tcW w:w="144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9"/>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9"/>
              </w:rPr>
              <w:t>Total as of</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20"/>
              <w:spacing w:after="0" w:line="139" w:lineRule="exact"/>
              <w:rPr>
                <w:sz w:val="20"/>
                <w:szCs w:val="20"/>
                <w:color w:val="auto"/>
              </w:rPr>
            </w:pPr>
            <w:r>
              <w:rPr>
                <w:rFonts w:ascii="Arial" w:cs="Arial" w:eastAsia="Arial" w:hAnsi="Arial"/>
                <w:sz w:val="14"/>
                <w:szCs w:val="14"/>
                <w:b w:val="1"/>
                <w:bCs w:val="1"/>
                <w:color w:val="auto"/>
              </w:rPr>
              <w:t>Active Markets for</w:t>
            </w:r>
          </w:p>
        </w:tc>
        <w:tc>
          <w:tcPr>
            <w:tcW w:w="140" w:type="dxa"/>
            <w:vAlign w:val="bottom"/>
          </w:tcPr>
          <w:p>
            <w:pPr>
              <w:spacing w:after="0"/>
              <w:rPr>
                <w:sz w:val="12"/>
                <w:szCs w:val="12"/>
                <w:color w:val="auto"/>
              </w:rPr>
            </w:pPr>
          </w:p>
        </w:tc>
        <w:tc>
          <w:tcPr>
            <w:tcW w:w="144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rPr>
              <w:t>Observable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9"/>
              </w:rPr>
              <w:t>Inputs</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7"/>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7"/>
                <w:szCs w:val="17"/>
                <w:color w:val="auto"/>
              </w:rPr>
            </w:pPr>
          </w:p>
        </w:tc>
        <w:tc>
          <w:tcPr>
            <w:tcW w:w="16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7"/>
                <w:szCs w:val="17"/>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269,372,471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269,372,471</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1,752,930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1,752,930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5,467,319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5,467,319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1,729,072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1,729,072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3,042,833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3,042,833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Asset Backed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23,356,697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23,356,697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735,897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735,897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34,178,081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34,178,081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38,901,568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38,901,568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52,972,792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52,972,792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431,509,660</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274,904,131</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156,605,529</w:t>
            </w: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As of December 31, 2021:</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2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gridSpan w:val="11"/>
          </w:tcPr>
          <w:p>
            <w:pPr>
              <w:ind w:left="6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40"/>
              <w:spacing w:after="0" w:line="143" w:lineRule="exact"/>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2"/>
                <w:szCs w:val="12"/>
                <w:color w:val="auto"/>
              </w:rPr>
            </w:pPr>
          </w:p>
        </w:tc>
        <w:tc>
          <w:tcPr>
            <w:tcW w:w="144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9"/>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20"/>
              <w:spacing w:after="0" w:line="139" w:lineRule="exact"/>
              <w:rPr>
                <w:sz w:val="20"/>
                <w:szCs w:val="20"/>
                <w:color w:val="auto"/>
              </w:rPr>
            </w:pPr>
            <w:r>
              <w:rPr>
                <w:rFonts w:ascii="Arial" w:cs="Arial" w:eastAsia="Arial" w:hAnsi="Arial"/>
                <w:sz w:val="14"/>
                <w:szCs w:val="14"/>
                <w:b w:val="1"/>
                <w:bCs w:val="1"/>
                <w:color w:val="auto"/>
              </w:rPr>
              <w:t>Active Markets for</w:t>
            </w:r>
          </w:p>
        </w:tc>
        <w:tc>
          <w:tcPr>
            <w:tcW w:w="140" w:type="dxa"/>
            <w:vAlign w:val="bottom"/>
          </w:tcPr>
          <w:p>
            <w:pPr>
              <w:spacing w:after="0"/>
              <w:rPr>
                <w:sz w:val="12"/>
                <w:szCs w:val="12"/>
                <w:color w:val="auto"/>
              </w:rPr>
            </w:pPr>
          </w:p>
        </w:tc>
        <w:tc>
          <w:tcPr>
            <w:tcW w:w="144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rPr>
              <w:t>Observable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9"/>
              </w:rPr>
              <w:t>Inputs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9"/>
              </w:rPr>
              <w:t>Inputs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7"/>
                <w:szCs w:val="17"/>
                <w:color w:val="auto"/>
              </w:rPr>
            </w:pPr>
          </w:p>
        </w:tc>
        <w:tc>
          <w:tcPr>
            <w:tcW w:w="16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7"/>
                <w:szCs w:val="17"/>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262,311,670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262,311,670</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1,507,770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1,507,770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2,018,440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2,018,440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1,897,402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1,897,402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25,799,513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25,799,513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2,056,710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2,056,710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40,354,929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40,354,929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Governmental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47,944,036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47,944,036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74,720,480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74,720,480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458,610,950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267,773,552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190,837,398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unrealized gains and losses, and market value of investment securities are shown as of June 30, 2022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2" w:name="page13"/>
    <w:bookmarkEnd w:id="12"/>
    <w:p>
      <w:pPr>
        <w:jc w:val="center"/>
        <w:ind w:right="66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Unrealized</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433"/>
              <w:spacing w:after="0"/>
              <w:rPr>
                <w:sz w:val="20"/>
                <w:szCs w:val="20"/>
                <w:color w:val="auto"/>
              </w:rPr>
            </w:pPr>
            <w:r>
              <w:rPr>
                <w:rFonts w:ascii="Arial" w:cs="Arial" w:eastAsia="Arial" w:hAnsi="Arial"/>
                <w:sz w:val="14"/>
                <w:szCs w:val="14"/>
                <w:b w:val="1"/>
                <w:bCs w:val="1"/>
                <w:color w:val="auto"/>
                <w:w w:val="97"/>
              </w:rPr>
              <w:t>Gains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1,750,990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4,098</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1,752,930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5,630,319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5,467,319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1,740,477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1,729,072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3,042,833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3,042,833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 Backed Securities</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24,055,501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(698,804)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23,356,697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735,897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37,765,445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(3,587,364)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34,178,081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41,238,181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(2,338,974)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38,901,568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4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56,098,534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188,395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(3,314,137)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52,972,792</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   172,072,280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195,614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(10,130,705)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162,137,189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color w:val="auto"/>
              </w:rPr>
              <w:t>As of December 31, 2021:</w:t>
            </w: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1"/>
        </w:trPr>
        <w:tc>
          <w:tcPr>
            <w:tcW w:w="3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Unrealized</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42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3"/>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1,500,543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7,227</w:t>
            </w:r>
          </w:p>
        </w:tc>
        <w:tc>
          <w:tcPr>
            <w:tcW w:w="12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1,507,770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1,994,639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23,801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2,018,440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1,897,402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1,897,402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Investments:</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26,352,630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34,771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(587,888)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25,799,513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2,001,714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54,996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2,056,710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40,716,866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168,416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(530,353)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40,354,929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48,385,672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55,939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(497,575)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47,944,036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Municipal Bonds</w:t>
            </w:r>
          </w:p>
        </w:tc>
        <w:tc>
          <w:tcPr>
            <w:tcW w:w="4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72,175,568</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2,747,964</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(203,052)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74,720,480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195,025,034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3,093,114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(1,818,868)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196,299,280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June 30, 2022,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8,893,651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143,233,962</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1,237,054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9,273,913</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10,130,705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152,507,875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December 31, 2021,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3"/>
                <w:szCs w:val="13"/>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1,244,053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94,417,123</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574,815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6,875,230</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1,818,868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101,292,353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80"/>
          </w:cols>
          <w:pgMar w:left="98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80645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Effective January 1, 2020, the Company adopted ASU 2016-13, </w:t>
      </w:r>
      <w:r>
        <w:rPr>
          <w:rFonts w:ascii="Arial" w:cs="Arial" w:eastAsia="Arial" w:hAnsi="Arial"/>
          <w:sz w:val="18"/>
          <w:szCs w:val="18"/>
          <w:i w:val="1"/>
          <w:iCs w:val="1"/>
          <w:color w:val="auto"/>
        </w:rPr>
        <w:t>Financial Instruments - 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on Financial Instrument</w:t>
      </w:r>
      <w:r>
        <w:rPr>
          <w:rFonts w:ascii="Arial" w:cs="Arial" w:eastAsia="Arial" w:hAnsi="Arial"/>
          <w:sz w:val="18"/>
          <w:szCs w:val="18"/>
          <w:color w:val="auto"/>
        </w:rPr>
        <w:t>s. The guidance modifies the impairment model for available-for-sale debt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 simplified accounting model for purchased financial assets with credit deterioration since their origination. The Company utilized the guidance provided by ASC 326 to determine whether any of the available-for-sale debt securities held by the Company were impaired. No investments were considered to be impaired during the periods presented. The Company has the intention and current ability to hold its debt investments until any amortized cost basis has been recovered.</w:t>
      </w:r>
    </w:p>
    <w:p>
      <w:pPr>
        <w:sectPr>
          <w:pgSz w:w="11900" w:h="16838" w:orient="portrait"/>
          <w:cols w:equalWidth="0" w:num="1">
            <w:col w:w="11240"/>
          </w:cols>
          <w:pgMar w:left="320" w:top="364" w:right="339" w:bottom="1440" w:gutter="0" w:footer="0" w:header="0"/>
        </w:sectPr>
      </w:pPr>
    </w:p>
    <w:p>
      <w:pPr>
        <w:spacing w:after="0" w:line="3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Fixed income securities as of June 30, 2022 have contractual maturities as follows:</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Due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623189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31890" cy="14605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Due between one and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12065</wp:posOffset>
            </wp:positionV>
            <wp:extent cx="623189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31890" cy="145415"/>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Due over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at the respective balance sheet dates:</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June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29" w:hanging="1029"/>
        <w:spacing w:after="0"/>
        <w:tabs>
          <w:tab w:leader="none" w:pos="1029" w:val="left"/>
        </w:tabs>
        <w:numPr>
          <w:ilvl w:val="0"/>
          <w:numId w:val="8"/>
        </w:numPr>
        <w:rPr>
          <w:rFonts w:ascii="Arial" w:cs="Arial" w:eastAsia="Arial" w:hAnsi="Arial"/>
          <w:sz w:val="17"/>
          <w:szCs w:val="17"/>
          <w:color w:val="auto"/>
        </w:rPr>
      </w:pPr>
      <w:r>
        <w:rPr>
          <w:rFonts w:ascii="Arial" w:cs="Arial" w:eastAsia="Arial" w:hAnsi="Arial"/>
          <w:sz w:val="17"/>
          <w:szCs w:val="17"/>
          <w:color w:val="auto"/>
        </w:rPr>
        <w:t>8,949,321</w:t>
      </w:r>
    </w:p>
    <w:p>
      <w:pPr>
        <w:spacing w:after="0" w:line="43" w:lineRule="exact"/>
        <w:rPr>
          <w:rFonts w:ascii="Arial" w:cs="Arial" w:eastAsia="Arial" w:hAnsi="Arial"/>
          <w:sz w:val="17"/>
          <w:szCs w:val="17"/>
          <w:color w:val="auto"/>
        </w:rPr>
      </w:pPr>
    </w:p>
    <w:p>
      <w:pPr>
        <w:ind w:left="929"/>
        <w:spacing w:after="0"/>
        <w:rPr>
          <w:rFonts w:ascii="Arial" w:cs="Arial" w:eastAsia="Arial" w:hAnsi="Arial"/>
          <w:sz w:val="17"/>
          <w:szCs w:val="17"/>
          <w:color w:val="auto"/>
        </w:rPr>
      </w:pPr>
      <w:r>
        <w:rPr>
          <w:rFonts w:ascii="Arial" w:cs="Arial" w:eastAsia="Arial" w:hAnsi="Arial"/>
          <w:sz w:val="17"/>
          <w:szCs w:val="17"/>
          <w:color w:val="auto"/>
        </w:rPr>
        <w:t>89,732,074</w:t>
      </w:r>
    </w:p>
    <w:p>
      <w:pPr>
        <w:spacing w:after="0" w:line="34" w:lineRule="exact"/>
        <w:rPr>
          <w:rFonts w:ascii="Arial" w:cs="Arial" w:eastAsia="Arial" w:hAnsi="Arial"/>
          <w:sz w:val="17"/>
          <w:szCs w:val="17"/>
          <w:color w:val="auto"/>
        </w:rPr>
      </w:pPr>
    </w:p>
    <w:p>
      <w:pPr>
        <w:ind w:left="929"/>
        <w:spacing w:after="0"/>
        <w:rPr>
          <w:rFonts w:ascii="Arial" w:cs="Arial" w:eastAsia="Arial" w:hAnsi="Arial"/>
          <w:sz w:val="17"/>
          <w:szCs w:val="17"/>
          <w:color w:val="auto"/>
        </w:rPr>
      </w:pPr>
      <w:r>
        <w:rPr>
          <w:rFonts w:ascii="Arial" w:cs="Arial" w:eastAsia="Arial" w:hAnsi="Arial"/>
          <w:sz w:val="17"/>
          <w:szCs w:val="17"/>
          <w:color w:val="auto"/>
        </w:rPr>
        <w:t>60,412,961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2172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8" w:lineRule="exact"/>
        <w:rPr>
          <w:sz w:val="20"/>
          <w:szCs w:val="20"/>
          <w:color w:val="auto"/>
        </w:rPr>
      </w:pPr>
    </w:p>
    <w:p>
      <w:pPr>
        <w:ind w:left="829" w:hanging="829"/>
        <w:spacing w:after="0"/>
        <w:tabs>
          <w:tab w:leader="none" w:pos="829" w:val="left"/>
        </w:tabs>
        <w:numPr>
          <w:ilvl w:val="0"/>
          <w:numId w:val="9"/>
        </w:numPr>
        <w:rPr>
          <w:rFonts w:ascii="Arial" w:cs="Arial" w:eastAsia="Arial" w:hAnsi="Arial"/>
          <w:sz w:val="17"/>
          <w:szCs w:val="17"/>
          <w:color w:val="auto"/>
        </w:rPr>
      </w:pPr>
      <w:r>
        <w:rPr>
          <w:rFonts w:ascii="Arial" w:cs="Arial" w:eastAsia="Arial" w:hAnsi="Arial"/>
          <w:sz w:val="17"/>
          <w:szCs w:val="17"/>
          <w:color w:val="auto"/>
        </w:rPr>
        <w:t>159,094,356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2172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50800</wp:posOffset>
            </wp:positionV>
            <wp:extent cx="12172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9"/>
        <w:spacing w:after="0"/>
        <w:rPr>
          <w:sz w:val="20"/>
          <w:szCs w:val="20"/>
          <w:color w:val="auto"/>
        </w:rPr>
      </w:pPr>
      <w:r>
        <w:rPr>
          <w:rFonts w:ascii="Arial" w:cs="Arial" w:eastAsia="Arial" w:hAnsi="Arial"/>
          <w:sz w:val="14"/>
          <w:szCs w:val="14"/>
          <w:b w:val="1"/>
          <w:bCs w:val="1"/>
          <w:color w:val="auto"/>
        </w:rPr>
        <w:t>December 31, 2021</w:t>
      </w:r>
    </w:p>
    <w:p>
      <w:pPr>
        <w:spacing w:after="0" w:line="35" w:lineRule="exact"/>
        <w:rPr>
          <w:sz w:val="20"/>
          <w:szCs w:val="20"/>
          <w:color w:val="auto"/>
        </w:rPr>
      </w:pPr>
    </w:p>
    <w:p>
      <w:pPr>
        <w:sectPr>
          <w:pgSz w:w="11900" w:h="16838" w:orient="portrait"/>
          <w:cols w:equalWidth="0" w:num="2">
            <w:col w:w="8220" w:space="351"/>
            <w:col w:w="2669"/>
          </w:cols>
          <w:pgMar w:left="320" w:top="364" w:right="339" w:bottom="1440" w:gutter="0" w:footer="0" w:header="0"/>
          <w:type w:val="continuous"/>
        </w:sectPr>
      </w:pPr>
    </w:p>
    <w:tbl>
      <w:tblPr>
        <w:tblLayout w:type="fixed"/>
        <w:tblInd w:w="660" w:type="dxa"/>
        <w:tblCellMar>
          <w:top w:w="0" w:type="dxa"/>
          <w:left w:w="0" w:type="dxa"/>
          <w:bottom w:w="0" w:type="dxa"/>
          <w:right w:w="0" w:type="dxa"/>
        </w:tblCellMar>
      </w:tblPr>
      <w:tr>
        <w:trPr>
          <w:trHeight w:val="225"/>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40" w:type="dxa"/>
            <w:vAlign w:val="bottom"/>
            <w:tcBorders>
              <w:top w:val="single" w:sz="8" w:color="auto"/>
            </w:tcBorders>
            <w:shd w:val="clear" w:color="auto" w:fill="BFE4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278,888,521</w:t>
            </w:r>
          </w:p>
        </w:tc>
        <w:tc>
          <w:tcPr>
            <w:tcW w:w="100" w:type="dxa"/>
            <w:vAlign w:val="bottom"/>
            <w:tcBorders>
              <w:top w:val="single" w:sz="8" w:color="BFE4FF"/>
            </w:tcBorders>
            <w:shd w:val="clear" w:color="auto" w:fill="BFE4FF"/>
          </w:tcPr>
          <w:p>
            <w:pPr>
              <w:spacing w:after="0"/>
              <w:rPr>
                <w:sz w:val="19"/>
                <w:szCs w:val="19"/>
                <w:color w:val="auto"/>
              </w:rPr>
            </w:pPr>
          </w:p>
        </w:tc>
        <w:tc>
          <w:tcPr>
            <w:tcW w:w="360" w:type="dxa"/>
            <w:vAlign w:val="bottom"/>
            <w:tcBorders>
              <w:top w:val="single" w:sz="8" w:color="auto"/>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235,014,277</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43,334,800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34,032,164</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70,354,504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47,221,001</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392,577,825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316,267,442</w:t>
            </w:r>
          </w:p>
        </w:tc>
      </w:tr>
      <w:tr>
        <w:trPr>
          <w:trHeight w:val="20"/>
        </w:trPr>
        <w:tc>
          <w:tcPr>
            <w:tcW w:w="6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 For a period of net loss, net loss is not allocated to participating securities.</w:t>
      </w:r>
    </w:p>
    <w:p>
      <w:pPr>
        <w:spacing w:after="0" w:line="210"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following table sets forth the computation of basic and diluted net income per common share under the two-class method for the three and six months ended June 30, 2022 and June 30, 2021:</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7"/>
                <w:szCs w:val="17"/>
                <w:color w:val="auto"/>
              </w:rPr>
            </w:pPr>
          </w:p>
        </w:tc>
        <w:tc>
          <w:tcPr>
            <w:tcW w:w="268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72,404,403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86,506,418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159,933,028</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199,957,288</w:t>
            </w:r>
          </w:p>
        </w:tc>
        <w:tc>
          <w:tcPr>
            <w:tcW w:w="0" w:type="dxa"/>
            <w:vAlign w:val="bottom"/>
          </w:tcPr>
          <w:p>
            <w:pPr>
              <w:spacing w:after="0"/>
              <w:rPr>
                <w:sz w:val="1"/>
                <w:szCs w:val="1"/>
                <w:color w:val="auto"/>
              </w:rPr>
            </w:pPr>
          </w:p>
        </w:tc>
      </w:tr>
      <w:tr>
        <w:trPr>
          <w:trHeight w:val="175"/>
        </w:trPr>
        <w:tc>
          <w:tcPr>
            <w:tcW w:w="478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Less: Dividends and undistributed earnings allocated</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1,094,827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1,324,767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2,460,845</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2,974,367</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 participating securities</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40"/>
              <w:spacing w:after="0"/>
              <w:rPr>
                <w:sz w:val="20"/>
                <w:szCs w:val="20"/>
                <w:color w:val="auto"/>
              </w:rPr>
            </w:pPr>
            <w:r>
              <w:rPr>
                <w:rFonts w:ascii="Arial" w:cs="Arial" w:eastAsia="Arial" w:hAnsi="Arial"/>
                <w:sz w:val="18"/>
                <w:szCs w:val="18"/>
                <w:color w:val="auto"/>
              </w:rPr>
              <w:t>Net Income available to common shareholders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71,309,576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85,181,651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157,472,183</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196,982,921</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230,982,301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238,602,197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231,245,466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238,198,668</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per share - Basic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Allocation of Net Income used in basic computation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71,309,576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85,181,651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157,472,183</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196,982,921</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Reallocation of undistributed earnings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10,464</w:t>
            </w:r>
          </w:p>
        </w:tc>
        <w:tc>
          <w:tcPr>
            <w:tcW w:w="0" w:type="dxa"/>
            <w:vAlign w:val="bottom"/>
          </w:tcPr>
          <w:p>
            <w:pPr>
              <w:spacing w:after="0"/>
              <w:rPr>
                <w:sz w:val="1"/>
                <w:szCs w:val="1"/>
                <w:color w:val="auto"/>
              </w:rPr>
            </w:pPr>
          </w:p>
        </w:tc>
      </w:tr>
      <w:tr>
        <w:trPr>
          <w:trHeight w:val="223"/>
        </w:trPr>
        <w:tc>
          <w:tcPr>
            <w:tcW w:w="4780" w:type="dxa"/>
            <w:vAlign w:val="bottom"/>
          </w:tcPr>
          <w:p>
            <w:pPr>
              <w:ind w:left="240"/>
              <w:spacing w:after="0"/>
              <w:rPr>
                <w:sz w:val="20"/>
                <w:szCs w:val="20"/>
                <w:color w:val="auto"/>
              </w:rPr>
            </w:pPr>
            <w:r>
              <w:rPr>
                <w:rFonts w:ascii="Arial" w:cs="Arial" w:eastAsia="Arial" w:hAnsi="Arial"/>
                <w:sz w:val="18"/>
                <w:szCs w:val="18"/>
                <w:color w:val="auto"/>
              </w:rPr>
              <w:t>Net Income available to common shareholders -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71,310,871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85,185,631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157,475,884</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196,993,385</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4" w:right="339" w:bottom="1440" w:gutter="0" w:footer="0" w:header="0"/>
        </w:sectPr>
      </w:pPr>
    </w:p>
    <w:p>
      <w:pPr>
        <w:ind w:left="900"/>
        <w:spacing w:after="0"/>
        <w:rPr>
          <w:sz w:val="20"/>
          <w:szCs w:val="20"/>
          <w:color w:val="auto"/>
        </w:rPr>
      </w:pPr>
      <w:r>
        <w:rPr>
          <w:rFonts w:ascii="Arial" w:cs="Arial" w:eastAsia="Arial" w:hAnsi="Arial"/>
          <w:sz w:val="18"/>
          <w:szCs w:val="18"/>
          <w:color w:val="auto"/>
        </w:rPr>
        <w:t>Number of shares used in basic computation</w:t>
      </w:r>
    </w:p>
    <w:p>
      <w:pPr>
        <w:spacing w:after="0" w:line="27" w:lineRule="exact"/>
        <w:rPr>
          <w:sz w:val="20"/>
          <w:szCs w:val="20"/>
          <w:color w:val="auto"/>
        </w:rPr>
      </w:pPr>
    </w:p>
    <w:p>
      <w:pPr>
        <w:ind w:left="1000"/>
        <w:spacing w:after="0" w:line="234" w:lineRule="auto"/>
        <w:rPr>
          <w:sz w:val="20"/>
          <w:szCs w:val="20"/>
          <w:color w:val="auto"/>
        </w:rPr>
      </w:pPr>
      <w:r>
        <w:rPr>
          <w:rFonts w:ascii="Arial" w:cs="Arial" w:eastAsia="Arial" w:hAnsi="Arial"/>
          <w:sz w:val="18"/>
          <w:szCs w:val="18"/>
          <w:color w:val="auto"/>
        </w:rPr>
        <w:t>Additional weighted average dilutive common stock equivalents</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Diluted weighted average shares outstanding</w:t>
      </w:r>
    </w:p>
    <w:p>
      <w:pPr>
        <w:spacing w:after="0" w:line="20" w:lineRule="exact"/>
        <w:rPr>
          <w:sz w:val="20"/>
          <w:szCs w:val="20"/>
          <w:color w:val="auto"/>
        </w:rPr>
      </w:pPr>
      <w:r>
        <w:rPr>
          <w:sz w:val="20"/>
          <w:szCs w:val="20"/>
          <w:color w:val="auto"/>
        </w:rPr>
        <w:br w:type="column"/>
      </w:r>
    </w:p>
    <w:p>
      <w:pPr>
        <w:spacing w:after="0"/>
        <w:tabs>
          <w:tab w:leader="none" w:pos="1440" w:val="left"/>
          <w:tab w:leader="none" w:pos="2920" w:val="left"/>
          <w:tab w:leader="none" w:pos="4420" w:val="left"/>
        </w:tabs>
        <w:rPr>
          <w:sz w:val="20"/>
          <w:szCs w:val="20"/>
          <w:color w:val="auto"/>
        </w:rPr>
      </w:pPr>
      <w:r>
        <w:rPr>
          <w:rFonts w:ascii="Arial" w:cs="Arial" w:eastAsia="Arial" w:hAnsi="Arial"/>
          <w:sz w:val="18"/>
          <w:szCs w:val="18"/>
          <w:color w:val="auto"/>
        </w:rPr>
        <w:t>230,982,301</w:t>
      </w:r>
      <w:r>
        <w:rPr>
          <w:sz w:val="20"/>
          <w:szCs w:val="20"/>
          <w:color w:val="auto"/>
        </w:rPr>
        <w:tab/>
      </w:r>
      <w:r>
        <w:rPr>
          <w:rFonts w:ascii="Arial" w:cs="Arial" w:eastAsia="Arial" w:hAnsi="Arial"/>
          <w:sz w:val="18"/>
          <w:szCs w:val="18"/>
          <w:color w:val="auto"/>
        </w:rPr>
        <w:t>238,602,197</w:t>
      </w:r>
      <w:r>
        <w:rPr>
          <w:sz w:val="20"/>
          <w:szCs w:val="20"/>
          <w:color w:val="auto"/>
        </w:rPr>
        <w:tab/>
      </w:r>
      <w:r>
        <w:rPr>
          <w:rFonts w:ascii="Arial" w:cs="Arial" w:eastAsia="Arial" w:hAnsi="Arial"/>
          <w:sz w:val="18"/>
          <w:szCs w:val="18"/>
          <w:color w:val="auto"/>
        </w:rPr>
        <w:t>231,245,466</w:t>
      </w:r>
      <w:r>
        <w:rPr>
          <w:sz w:val="20"/>
          <w:szCs w:val="20"/>
          <w:color w:val="auto"/>
        </w:rPr>
        <w:tab/>
      </w:r>
      <w:r>
        <w:rPr>
          <w:rFonts w:ascii="Arial" w:cs="Arial" w:eastAsia="Arial" w:hAnsi="Arial"/>
          <w:sz w:val="17"/>
          <w:szCs w:val="17"/>
          <w:color w:val="auto"/>
        </w:rPr>
        <w:t>238,198,668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-3215005</wp:posOffset>
            </wp:positionH>
            <wp:positionV relativeFrom="paragraph">
              <wp:posOffset>14605</wp:posOffset>
            </wp:positionV>
            <wp:extent cx="6720840" cy="265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20840" cy="265430"/>
                    </a:xfrm>
                    <a:prstGeom prst="rect">
                      <a:avLst/>
                    </a:prstGeom>
                    <a:noFill/>
                  </pic:spPr>
                </pic:pic>
              </a:graphicData>
            </a:graphic>
          </wp:anchor>
        </w:drawing>
      </w:r>
    </w:p>
    <w:p>
      <w:pPr>
        <w:spacing w:after="0" w:line="186" w:lineRule="exact"/>
        <w:rPr>
          <w:sz w:val="20"/>
          <w:szCs w:val="20"/>
          <w:color w:val="auto"/>
        </w:rPr>
      </w:pPr>
    </w:p>
    <w:p>
      <w:pPr>
        <w:ind w:left="360"/>
        <w:spacing w:after="0"/>
        <w:tabs>
          <w:tab w:leader="none" w:pos="1640" w:val="left"/>
          <w:tab w:leader="none" w:pos="3260" w:val="left"/>
          <w:tab w:leader="none" w:pos="4620" w:val="left"/>
        </w:tabs>
        <w:rPr>
          <w:sz w:val="20"/>
          <w:szCs w:val="20"/>
          <w:color w:val="auto"/>
        </w:rPr>
      </w:pPr>
      <w:r>
        <w:rPr>
          <w:rFonts w:ascii="Arial" w:cs="Arial" w:eastAsia="Arial" w:hAnsi="Arial"/>
          <w:sz w:val="18"/>
          <w:szCs w:val="18"/>
          <w:color w:val="auto"/>
        </w:rPr>
        <w:t>456,483</w:t>
      </w:r>
      <w:r>
        <w:rPr>
          <w:sz w:val="20"/>
          <w:szCs w:val="20"/>
          <w:color w:val="auto"/>
        </w:rPr>
        <w:tab/>
      </w:r>
      <w:r>
        <w:rPr>
          <w:rFonts w:ascii="Arial" w:cs="Arial" w:eastAsia="Arial" w:hAnsi="Arial"/>
          <w:sz w:val="18"/>
          <w:szCs w:val="18"/>
          <w:color w:val="auto"/>
        </w:rPr>
        <w:t>1,130,301</w:t>
      </w:r>
      <w:r>
        <w:rPr>
          <w:sz w:val="20"/>
          <w:szCs w:val="20"/>
          <w:color w:val="auto"/>
        </w:rPr>
        <w:tab/>
      </w:r>
      <w:r>
        <w:rPr>
          <w:rFonts w:ascii="Arial" w:cs="Arial" w:eastAsia="Arial" w:hAnsi="Arial"/>
          <w:sz w:val="18"/>
          <w:szCs w:val="18"/>
          <w:color w:val="auto"/>
        </w:rPr>
        <w:t>544,919</w:t>
      </w:r>
      <w:r>
        <w:rPr>
          <w:sz w:val="20"/>
          <w:szCs w:val="20"/>
          <w:color w:val="auto"/>
        </w:rPr>
        <w:tab/>
      </w:r>
      <w:r>
        <w:rPr>
          <w:rFonts w:ascii="Arial" w:cs="Arial" w:eastAsia="Arial" w:hAnsi="Arial"/>
          <w:sz w:val="17"/>
          <w:szCs w:val="17"/>
          <w:color w:val="auto"/>
        </w:rPr>
        <w:t>1,218,528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17780</wp:posOffset>
            </wp:positionV>
            <wp:extent cx="3686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16" w:lineRule="exact"/>
        <w:rPr>
          <w:sz w:val="20"/>
          <w:szCs w:val="20"/>
          <w:color w:val="auto"/>
        </w:rPr>
      </w:pPr>
    </w:p>
    <w:p>
      <w:pPr>
        <w:spacing w:after="0"/>
        <w:tabs>
          <w:tab w:leader="none" w:pos="1440" w:val="left"/>
          <w:tab w:leader="none" w:pos="2920" w:val="left"/>
          <w:tab w:leader="none" w:pos="4420" w:val="left"/>
        </w:tabs>
        <w:rPr>
          <w:sz w:val="20"/>
          <w:szCs w:val="20"/>
          <w:color w:val="auto"/>
        </w:rPr>
      </w:pPr>
      <w:r>
        <w:rPr>
          <w:rFonts w:ascii="Arial" w:cs="Arial" w:eastAsia="Arial" w:hAnsi="Arial"/>
          <w:sz w:val="18"/>
          <w:szCs w:val="18"/>
          <w:color w:val="auto"/>
        </w:rPr>
        <w:t>231,438,784</w:t>
      </w:r>
      <w:r>
        <w:rPr>
          <w:sz w:val="20"/>
          <w:szCs w:val="20"/>
          <w:color w:val="auto"/>
        </w:rPr>
        <w:tab/>
      </w:r>
      <w:r>
        <w:rPr>
          <w:rFonts w:ascii="Arial" w:cs="Arial" w:eastAsia="Arial" w:hAnsi="Arial"/>
          <w:sz w:val="18"/>
          <w:szCs w:val="18"/>
          <w:color w:val="auto"/>
        </w:rPr>
        <w:t>239,732,498</w:t>
      </w:r>
      <w:r>
        <w:rPr>
          <w:sz w:val="20"/>
          <w:szCs w:val="20"/>
          <w:color w:val="auto"/>
        </w:rPr>
        <w:tab/>
      </w:r>
      <w:r>
        <w:rPr>
          <w:rFonts w:ascii="Arial" w:cs="Arial" w:eastAsia="Arial" w:hAnsi="Arial"/>
          <w:sz w:val="18"/>
          <w:szCs w:val="18"/>
          <w:color w:val="auto"/>
        </w:rPr>
        <w:t>231,790,385</w:t>
      </w:r>
      <w:r>
        <w:rPr>
          <w:sz w:val="20"/>
          <w:szCs w:val="20"/>
          <w:color w:val="auto"/>
        </w:rPr>
        <w:tab/>
      </w:r>
      <w:r>
        <w:rPr>
          <w:rFonts w:ascii="Arial" w:cs="Arial" w:eastAsia="Arial" w:hAnsi="Arial"/>
          <w:sz w:val="17"/>
          <w:szCs w:val="17"/>
          <w:color w:val="auto"/>
        </w:rPr>
        <w:t>239,417,196</w:t>
      </w:r>
    </w:p>
    <w:p>
      <w:pPr>
        <w:spacing w:after="0" w:line="28" w:lineRule="exact"/>
        <w:rPr>
          <w:sz w:val="20"/>
          <w:szCs w:val="20"/>
          <w:color w:val="auto"/>
        </w:rPr>
      </w:pPr>
    </w:p>
    <w:p>
      <w:pPr>
        <w:sectPr>
          <w:pgSz w:w="11900" w:h="16838" w:orient="portrait"/>
          <w:cols w:equalWidth="0" w:num="2">
            <w:col w:w="5080" w:space="640"/>
            <w:col w:w="5520"/>
          </w:cols>
          <w:pgMar w:left="320" w:top="364" w:right="339" w:bottom="1440" w:gutter="0" w:footer="0" w:header="0"/>
          <w:type w:val="continuous"/>
        </w:sectPr>
      </w:pPr>
    </w:p>
    <w:tbl>
      <w:tblPr>
        <w:tblLayout w:type="fixed"/>
        <w:tblInd w:w="660" w:type="dxa"/>
        <w:tblCellMar>
          <w:top w:w="0" w:type="dxa"/>
          <w:left w:w="0" w:type="dxa"/>
          <w:bottom w:w="0" w:type="dxa"/>
          <w:right w:w="0" w:type="dxa"/>
        </w:tblCellMar>
      </w:tblPr>
      <w:tr>
        <w:trPr>
          <w:trHeight w:val="277"/>
        </w:trPr>
        <w:tc>
          <w:tcPr>
            <w:tcW w:w="47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Net Income per share -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0.68</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780" w:type="dxa"/>
            <w:vAlign w:val="bottom"/>
          </w:tcPr>
          <w:p>
            <w:pPr>
              <w:ind w:left="20"/>
              <w:spacing w:after="0" w:line="176" w:lineRule="exact"/>
              <w:rPr>
                <w:sz w:val="20"/>
                <w:szCs w:val="20"/>
                <w:color w:val="auto"/>
              </w:rPr>
            </w:pPr>
            <w:r>
              <w:rPr>
                <w:rFonts w:ascii="Arial" w:cs="Arial" w:eastAsia="Arial" w:hAnsi="Arial"/>
                <w:sz w:val="18"/>
                <w:szCs w:val="18"/>
                <w:color w:val="auto"/>
              </w:rPr>
              <w:t>Shares related to stock plans not included in diluted</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80" w:type="dxa"/>
            <w:vAlign w:val="bottom"/>
          </w:tcPr>
          <w:p>
            <w:pPr>
              <w:ind w:left="20"/>
              <w:spacing w:after="0" w:line="183" w:lineRule="exact"/>
              <w:rPr>
                <w:sz w:val="20"/>
                <w:szCs w:val="20"/>
                <w:color w:val="auto"/>
              </w:rPr>
            </w:pPr>
            <w:r>
              <w:rPr>
                <w:rFonts w:ascii="Arial" w:cs="Arial" w:eastAsia="Arial" w:hAnsi="Arial"/>
                <w:sz w:val="18"/>
                <w:szCs w:val="18"/>
                <w:color w:val="auto"/>
              </w:rPr>
              <w:t>average common shares outstanding because their effect</w:t>
            </w:r>
          </w:p>
        </w:tc>
        <w:tc>
          <w:tcPr>
            <w:tcW w:w="300" w:type="dxa"/>
            <w:vAlign w:val="bottom"/>
          </w:tcPr>
          <w:p>
            <w:pPr>
              <w:spacing w:after="0"/>
              <w:rPr>
                <w:sz w:val="15"/>
                <w:szCs w:val="15"/>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1,792,677</w:t>
            </w:r>
          </w:p>
        </w:tc>
        <w:tc>
          <w:tcPr>
            <w:tcW w:w="460" w:type="dxa"/>
            <w:vAlign w:val="bottom"/>
          </w:tcPr>
          <w:p>
            <w:pPr>
              <w:spacing w:after="0"/>
              <w:rPr>
                <w:sz w:val="15"/>
                <w:szCs w:val="15"/>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270,475</w:t>
            </w:r>
          </w:p>
        </w:tc>
        <w:tc>
          <w:tcPr>
            <w:tcW w:w="380" w:type="dxa"/>
            <w:vAlign w:val="bottom"/>
          </w:tcPr>
          <w:p>
            <w:pPr>
              <w:spacing w:after="0"/>
              <w:rPr>
                <w:sz w:val="15"/>
                <w:szCs w:val="15"/>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1,549,824</w:t>
            </w:r>
          </w:p>
        </w:tc>
        <w:tc>
          <w:tcPr>
            <w:tcW w:w="4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137,484</w:t>
            </w:r>
          </w:p>
        </w:tc>
        <w:tc>
          <w:tcPr>
            <w:tcW w:w="0" w:type="dxa"/>
            <w:vAlign w:val="bottom"/>
          </w:tcPr>
          <w:p>
            <w:pPr>
              <w:spacing w:after="0"/>
              <w:rPr>
                <w:sz w:val="1"/>
                <w:szCs w:val="1"/>
                <w:color w:val="auto"/>
              </w:rPr>
            </w:pPr>
          </w:p>
        </w:tc>
      </w:tr>
      <w:tr>
        <w:trPr>
          <w:trHeight w:val="239"/>
        </w:trPr>
        <w:tc>
          <w:tcPr>
            <w:tcW w:w="4780" w:type="dxa"/>
            <w:vAlign w:val="bottom"/>
          </w:tcPr>
          <w:p>
            <w:pPr>
              <w:ind w:left="20"/>
              <w:spacing w:after="0"/>
              <w:rPr>
                <w:sz w:val="20"/>
                <w:szCs w:val="20"/>
                <w:color w:val="auto"/>
              </w:rPr>
            </w:pPr>
            <w:r>
              <w:rPr>
                <w:rFonts w:ascii="Arial" w:cs="Arial" w:eastAsia="Arial" w:hAnsi="Arial"/>
                <w:sz w:val="18"/>
                <w:szCs w:val="18"/>
                <w:color w:val="auto"/>
              </w:rPr>
              <w:t>would be anti-dilutive</w:t>
            </w:r>
          </w:p>
        </w:tc>
        <w:tc>
          <w:tcPr>
            <w:tcW w:w="3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Stock-Based Compensation Plans</w:t>
      </w:r>
    </w:p>
    <w:p>
      <w:pPr>
        <w:spacing w:after="0" w:line="144"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As of June 30, 2022, the Company had two equity incentive plans, which include the Gentex Corporation 2019 Omnibus Incentive Plan ("2019 Omnibus Plan"), and an employee stock purchase plan. Those plans and any prior material amendments thereto have previously been approved by shareholders.</w:t>
      </w:r>
    </w:p>
    <w:p>
      <w:pPr>
        <w:spacing w:after="0" w:line="103"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awards and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115"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 xml:space="preserve">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the consolidated financial statements in the Company's Annual Report on Form 10-K for the calendar year ended December 31, 2021, for additional information related to the Prior Plans.</w:t>
      </w:r>
    </w:p>
    <w:p>
      <w:pPr>
        <w:spacing w:after="0" w:line="7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 recognized total compensation expense for share-based payments of $8,573,230 for the three months ended June 30, 2022, and total compensation expense for share-based payments of $ 15,361,567 for the six months ended June 30, 2022. The Company recognized compensation expense for share-based payments of $6,727,513 and $12,622,158 for the three and six months ended June 30, 2021,</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5" w:name="page16"/>
    <w:bookmarkEnd w:id="15"/>
    <w:p>
      <w:pPr>
        <w:jc w:val="center"/>
        <w:ind w:right="636"/>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respectively. A portion of the compensation cost for share based payment awards is capitalized as part of inventory.</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2019 Omnibus Incentive Plan</w:t>
      </w:r>
    </w:p>
    <w:p>
      <w:pPr>
        <w:spacing w:after="0" w:line="252"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The purpose of the 2019 Omnibus Incentive Plan is to attract and retain employees, officers, and directors of the Company and its subsidiaries and to motivate and provide such persons incentives and rewards for performance. Pursuant to the terms of the Plan, each type of award counts against the available shares based on a predetermined conversion rate (shown in the table below). As of June 30, 2022, 7,560,663 share awards have been made under the Plan, resulting in 18,598,316 shares granted of the 45,000,000 total shares available to be issued under the Plan. The shares issued are presented net of shares from canceled/expired options and shares.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3880" w:type="dxa"/>
            <w:vAlign w:val="bottom"/>
          </w:tcPr>
          <w:p>
            <w:pPr>
              <w:spacing w:after="0"/>
              <w:rPr>
                <w:sz w:val="14"/>
                <w:szCs w:val="14"/>
                <w:color w:val="auto"/>
              </w:rPr>
            </w:pPr>
          </w:p>
        </w:tc>
        <w:tc>
          <w:tcPr>
            <w:tcW w:w="196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Shares Granted</w:t>
            </w:r>
          </w:p>
        </w:tc>
        <w:tc>
          <w:tcPr>
            <w:tcW w:w="100" w:type="dxa"/>
            <w:vAlign w:val="bottom"/>
          </w:tcPr>
          <w:p>
            <w:pPr>
              <w:spacing w:after="0"/>
              <w:rPr>
                <w:sz w:val="14"/>
                <w:szCs w:val="14"/>
                <w:color w:val="auto"/>
              </w:rPr>
            </w:pPr>
          </w:p>
        </w:tc>
        <w:tc>
          <w:tcPr>
            <w:tcW w:w="196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4"/>
                <w:szCs w:val="14"/>
                <w:b w:val="1"/>
                <w:bCs w:val="1"/>
                <w:color w:val="auto"/>
              </w:rPr>
              <w:t>Conversion Rate</w:t>
            </w:r>
          </w:p>
        </w:tc>
        <w:tc>
          <w:tcPr>
            <w:tcW w:w="120" w:type="dxa"/>
            <w:vAlign w:val="bottom"/>
            <w:vMerge w:val="restart"/>
          </w:tcPr>
          <w:p>
            <w:pPr>
              <w:spacing w:after="0"/>
              <w:rPr>
                <w:sz w:val="14"/>
                <w:szCs w:val="14"/>
                <w:color w:val="auto"/>
              </w:rPr>
            </w:pPr>
          </w:p>
        </w:tc>
        <w:tc>
          <w:tcPr>
            <w:tcW w:w="196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Total Shares Under 2019</w:t>
            </w:r>
          </w:p>
        </w:tc>
        <w:tc>
          <w:tcPr>
            <w:tcW w:w="0" w:type="dxa"/>
            <w:vAlign w:val="bottom"/>
          </w:tcPr>
          <w:p>
            <w:pPr>
              <w:spacing w:after="0"/>
              <w:rPr>
                <w:sz w:val="1"/>
                <w:szCs w:val="1"/>
                <w:color w:val="auto"/>
              </w:rPr>
            </w:pPr>
          </w:p>
        </w:tc>
      </w:tr>
      <w:tr>
        <w:trPr>
          <w:trHeight w:val="185"/>
        </w:trPr>
        <w:tc>
          <w:tcPr>
            <w:tcW w:w="388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Omnibus Plan</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Non-Qualified Stock Options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3,953,587</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3,953,587</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960" w:type="dxa"/>
            <w:vAlign w:val="bottom"/>
          </w:tcPr>
          <w:p>
            <w:pPr>
              <w:jc w:val="right"/>
              <w:spacing w:after="0"/>
              <w:rPr>
                <w:sz w:val="20"/>
                <w:szCs w:val="20"/>
                <w:color w:val="auto"/>
              </w:rPr>
            </w:pPr>
            <w:r>
              <w:rPr>
                <w:rFonts w:ascii="Arial" w:cs="Arial" w:eastAsia="Arial" w:hAnsi="Arial"/>
                <w:sz w:val="18"/>
                <w:szCs w:val="18"/>
                <w:color w:val="auto"/>
              </w:rPr>
              <w:t>3,048,317</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12,376,167</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Shares</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558,759</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2,268,562</w:t>
            </w:r>
          </w:p>
        </w:tc>
        <w:tc>
          <w:tcPr>
            <w:tcW w:w="0" w:type="dxa"/>
            <w:vAlign w:val="bottom"/>
          </w:tcPr>
          <w:p>
            <w:pPr>
              <w:spacing w:after="0"/>
              <w:rPr>
                <w:sz w:val="1"/>
                <w:szCs w:val="1"/>
                <w:color w:val="auto"/>
              </w:rPr>
            </w:pPr>
          </w:p>
        </w:tc>
      </w:tr>
      <w:tr>
        <w:trPr>
          <w:trHeight w:val="223"/>
        </w:trPr>
        <w:tc>
          <w:tcPr>
            <w:tcW w:w="3880" w:type="dxa"/>
            <w:vAlign w:val="bottom"/>
          </w:tcPr>
          <w:p>
            <w:pPr>
              <w:ind w:left="1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7,560,663</w:t>
            </w: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18,598,316</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Employee Stock Options</w:t>
      </w:r>
    </w:p>
    <w:p>
      <w:pPr>
        <w:spacing w:after="0" w:line="144" w:lineRule="exact"/>
        <w:rPr>
          <w:sz w:val="20"/>
          <w:szCs w:val="20"/>
          <w:color w:val="auto"/>
        </w:rPr>
      </w:pPr>
    </w:p>
    <w:p>
      <w:pPr>
        <w:jc w:val="both"/>
        <w:ind w:left="4"/>
        <w:spacing w:after="0" w:line="262" w:lineRule="auto"/>
        <w:rPr>
          <w:sz w:val="20"/>
          <w:szCs w:val="20"/>
          <w:color w:val="auto"/>
        </w:rPr>
      </w:pPr>
      <w:r>
        <w:rPr>
          <w:rFonts w:ascii="Arial" w:cs="Arial" w:eastAsia="Arial" w:hAnsi="Arial"/>
          <w:sz w:val="18"/>
          <w:szCs w:val="18"/>
          <w:color w:val="auto"/>
        </w:rPr>
        <w:t>Under the 2019 Omnibus Plan and the Employee Stock Option Plan, the option exercise price equals the stock’s market price on the date of grant. The options vest after one to five years, and expire after five to ten years. As of June 30, 2022, there was $9,646,122 of unearned compensation cost associated with stock options granted under the 2019 Omnibus Incentive Plan and the Employee Stock Option Plan, which is expected to be recognized over the remaining vesting periods.</w:t>
      </w:r>
    </w:p>
    <w:p>
      <w:pPr>
        <w:spacing w:after="0" w:line="109" w:lineRule="exact"/>
        <w:rPr>
          <w:sz w:val="20"/>
          <w:szCs w:val="20"/>
          <w:color w:val="auto"/>
        </w:rPr>
      </w:pPr>
    </w:p>
    <w:p>
      <w:pPr>
        <w:ind w:left="4" w:right="740"/>
        <w:spacing w:after="0" w:line="287"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for the indicated periods:</w:t>
      </w:r>
    </w:p>
    <w:p>
      <w:pPr>
        <w:spacing w:after="0" w:line="136" w:lineRule="exact"/>
        <w:rPr>
          <w:sz w:val="20"/>
          <w:szCs w:val="20"/>
          <w:color w:val="auto"/>
        </w:rPr>
      </w:pPr>
    </w:p>
    <w:tbl>
      <w:tblPr>
        <w:tblLayout w:type="fixed"/>
        <w:tblInd w:w="4" w:type="dxa"/>
        <w:tblCellMar>
          <w:top w:w="0" w:type="dxa"/>
          <w:left w:w="0" w:type="dxa"/>
          <w:bottom w:w="0" w:type="dxa"/>
          <w:right w:w="0" w:type="dxa"/>
        </w:tblCellMar>
      </w:tblPr>
      <w:tr>
        <w:trPr>
          <w:trHeight w:val="197"/>
        </w:trPr>
        <w:tc>
          <w:tcPr>
            <w:tcW w:w="3300" w:type="dxa"/>
            <w:vAlign w:val="bottom"/>
          </w:tcPr>
          <w:p>
            <w:pPr>
              <w:spacing w:after="0"/>
              <w:rPr>
                <w:sz w:val="17"/>
                <w:szCs w:val="17"/>
                <w:color w:val="auto"/>
              </w:rPr>
            </w:pPr>
          </w:p>
        </w:tc>
        <w:tc>
          <w:tcPr>
            <w:tcW w:w="28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June 30,</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Borders>
              <w:bottom w:val="single" w:sz="8" w:color="auto"/>
            </w:tcBorders>
            <w:gridSpan w:val="3"/>
          </w:tcPr>
          <w:p>
            <w:pPr>
              <w:jc w:val="right"/>
              <w:ind w:right="75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320" w:type="dxa"/>
            <w:vAlign w:val="bottom"/>
            <w:gridSpan w:val="2"/>
          </w:tcPr>
          <w:p>
            <w:pPr>
              <w:ind w:left="4000"/>
              <w:spacing w:after="0"/>
              <w:rPr>
                <w:sz w:val="20"/>
                <w:szCs w:val="20"/>
                <w:color w:val="auto"/>
              </w:rPr>
            </w:pPr>
            <w:r>
              <w:rPr>
                <w:rFonts w:ascii="Arial" w:cs="Arial" w:eastAsia="Arial" w:hAnsi="Arial"/>
                <w:sz w:val="14"/>
                <w:szCs w:val="14"/>
                <w:b w:val="1"/>
                <w:bCs w:val="1"/>
                <w:color w:val="auto"/>
                <w:w w:val="96"/>
              </w:rPr>
              <w:t>2022</w:t>
            </w: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ind w:right="6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700" w:type="dxa"/>
            <w:vAlign w:val="bottom"/>
          </w:tcPr>
          <w:p>
            <w:pPr>
              <w:jc w:val="right"/>
              <w:ind w:right="613"/>
              <w:spacing w:after="0"/>
              <w:rPr>
                <w:sz w:val="20"/>
                <w:szCs w:val="20"/>
                <w:color w:val="auto"/>
              </w:rPr>
            </w:pPr>
            <w:r>
              <w:rPr>
                <w:rFonts w:ascii="Arial" w:cs="Arial" w:eastAsia="Arial" w:hAnsi="Arial"/>
                <w:sz w:val="14"/>
                <w:szCs w:val="14"/>
                <w:b w:val="1"/>
                <w:bCs w:val="1"/>
                <w:color w:val="auto"/>
              </w:rPr>
              <w:t>2021</w:t>
            </w:r>
          </w:p>
        </w:tc>
      </w:tr>
      <w:tr>
        <w:trPr>
          <w:trHeight w:val="224"/>
        </w:trPr>
        <w:tc>
          <w:tcPr>
            <w:tcW w:w="330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tc>
        <w:tc>
          <w:tcPr>
            <w:tcW w:w="10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1.88 %</w:t>
            </w:r>
          </w:p>
        </w:tc>
      </w:tr>
      <w:tr>
        <w:trPr>
          <w:trHeight w:val="229"/>
        </w:trPr>
        <w:tc>
          <w:tcPr>
            <w:tcW w:w="4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tc>
        <w:tc>
          <w:tcPr>
            <w:tcW w:w="700" w:type="dxa"/>
            <w:vAlign w:val="bottom"/>
          </w:tcPr>
          <w:p>
            <w:pPr>
              <w:jc w:val="right"/>
              <w:spacing w:after="0"/>
              <w:rPr>
                <w:sz w:val="20"/>
                <w:szCs w:val="20"/>
                <w:color w:val="auto"/>
              </w:rPr>
            </w:pPr>
            <w:r>
              <w:rPr>
                <w:rFonts w:ascii="Arial" w:cs="Arial" w:eastAsia="Arial" w:hAnsi="Arial"/>
                <w:sz w:val="18"/>
                <w:szCs w:val="18"/>
                <w:color w:val="auto"/>
                <w:w w:val="99"/>
              </w:rPr>
              <w:t>28.68 %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9"/>
              </w:rPr>
              <w:t>27.68 %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28.42 %</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27.76 %</w:t>
            </w:r>
          </w:p>
        </w:tc>
      </w:tr>
      <w:tr>
        <w:trPr>
          <w:trHeight w:val="230"/>
        </w:trPr>
        <w:tc>
          <w:tcPr>
            <w:tcW w:w="43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2.72 %</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0.90 %</w:t>
            </w:r>
          </w:p>
        </w:tc>
      </w:tr>
      <w:tr>
        <w:trPr>
          <w:trHeight w:val="230"/>
        </w:trPr>
        <w:tc>
          <w:tcPr>
            <w:tcW w:w="4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Expected term of options (years) </w:t>
            </w:r>
            <w:r>
              <w:rPr>
                <w:rFonts w:ascii="Arial" w:cs="Arial" w:eastAsia="Arial" w:hAnsi="Arial"/>
                <w:sz w:val="23"/>
                <w:szCs w:val="23"/>
                <w:color w:val="auto"/>
                <w:vertAlign w:val="superscript"/>
              </w:rPr>
              <w:t>(4)</w:t>
            </w:r>
          </w:p>
        </w:tc>
        <w:tc>
          <w:tcPr>
            <w:tcW w:w="7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Weighted-avg. grant date fair value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r>
    </w:tbl>
    <w:p>
      <w:pPr>
        <w:spacing w:after="0" w:line="72" w:lineRule="exact"/>
        <w:rPr>
          <w:sz w:val="20"/>
          <w:szCs w:val="20"/>
          <w:color w:val="auto"/>
        </w:rPr>
      </w:pPr>
    </w:p>
    <w:p>
      <w:pPr>
        <w:ind w:left="324" w:hanging="324"/>
        <w:spacing w:after="0"/>
        <w:tabs>
          <w:tab w:leader="none" w:pos="324" w:val="left"/>
        </w:tabs>
        <w:numPr>
          <w:ilvl w:val="0"/>
          <w:numId w:val="12"/>
        </w:numPr>
        <w:rPr>
          <w:rFonts w:ascii="Arial" w:cs="Arial" w:eastAsia="Arial" w:hAnsi="Arial"/>
          <w:sz w:val="9"/>
          <w:szCs w:val="9"/>
          <w:color w:val="auto"/>
        </w:rPr>
      </w:pPr>
      <w:r>
        <w:rPr>
          <w:rFonts w:ascii="Arial" w:cs="Arial" w:eastAsia="Arial" w:hAnsi="Arial"/>
          <w:sz w:val="14"/>
          <w:szCs w:val="14"/>
          <w:color w:val="auto"/>
        </w:rPr>
        <w:t>Represents the Company’s estimated cash dividend yield over the expected term of option grant.</w:t>
      </w:r>
    </w:p>
    <w:p>
      <w:pPr>
        <w:spacing w:after="0" w:line="28" w:lineRule="exact"/>
        <w:rPr>
          <w:rFonts w:ascii="Arial" w:cs="Arial" w:eastAsia="Arial" w:hAnsi="Arial"/>
          <w:sz w:val="9"/>
          <w:szCs w:val="9"/>
          <w:color w:val="auto"/>
        </w:rPr>
      </w:pPr>
    </w:p>
    <w:p>
      <w:pPr>
        <w:ind w:left="324" w:right="260" w:hanging="324"/>
        <w:spacing w:after="0" w:line="221" w:lineRule="auto"/>
        <w:tabs>
          <w:tab w:leader="none" w:pos="321"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spacing w:after="0" w:line="1" w:lineRule="exact"/>
        <w:rPr>
          <w:rFonts w:ascii="Arial" w:cs="Arial" w:eastAsia="Arial" w:hAnsi="Arial"/>
          <w:sz w:val="19"/>
          <w:szCs w:val="19"/>
          <w:color w:val="auto"/>
          <w:vertAlign w:val="superscript"/>
        </w:rPr>
      </w:pPr>
    </w:p>
    <w:p>
      <w:pPr>
        <w:ind w:left="324" w:hanging="324"/>
        <w:spacing w:after="0" w:line="187" w:lineRule="auto"/>
        <w:tabs>
          <w:tab w:leader="none" w:pos="324"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Represents the U.S. Treasury yield over the expected term of the option grant.</w:t>
      </w:r>
    </w:p>
    <w:p>
      <w:pPr>
        <w:ind w:left="324" w:right="20" w:hanging="324"/>
        <w:spacing w:after="0" w:line="284" w:lineRule="auto"/>
        <w:tabs>
          <w:tab w:leader="none" w:pos="321" w:val="left"/>
        </w:tabs>
        <w:numPr>
          <w:ilvl w:val="0"/>
          <w:numId w:val="12"/>
        </w:numPr>
        <w:rPr>
          <w:rFonts w:ascii="Arial" w:cs="Arial" w:eastAsia="Arial" w:hAnsi="Arial"/>
          <w:sz w:val="9"/>
          <w:szCs w:val="9"/>
          <w:color w:val="auto"/>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Restricted Shares</w:t>
      </w:r>
    </w:p>
    <w:p>
      <w:pPr>
        <w:spacing w:after="0" w:line="158"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Restricted shares awarded under the 2019 Omnibus Plan and the Second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such plans. As of June 30, 2022, the Company had unearned stock-based compensation of $47,881,596 associated with the restricted stock grants issued under the 2019 Omnibus Plan and the Prior Plan. The unearned stock-based compensation related to these grants is being amortized to compensation expense over the applicable restriction periods. Compensation expense from restricted stock grants in the three and six months ended June 30, 2022 was $5,335,072 and $10,625,877,</w:t>
      </w:r>
    </w:p>
    <w:p>
      <w:pPr>
        <w:sectPr>
          <w:pgSz w:w="11900" w:h="16838" w:orient="portrait"/>
          <w:cols w:equalWidth="0" w:num="1">
            <w:col w:w="10584"/>
          </w:cols>
          <w:pgMar w:left="976" w:top="36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10384"/>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364"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respectively. Compensation expense from restricted stock grants in the three and six months ended June 30, 2021 was $4,459,401 and $8,762,376, respectively.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Performance Shares</w:t>
      </w:r>
    </w:p>
    <w:p>
      <w:pPr>
        <w:spacing w:after="0" w:line="25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average closing stock price on the twenty days preceding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w:t>
      </w:r>
    </w:p>
    <w:p>
      <w:pPr>
        <w:spacing w:after="0" w:line="209"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As of June 30, 2022, the Company had unearned stock-based compensation of $10,269,387 associated with these performance share grants. The unearned stock-based compensation related to these grants is being amortized to compensation expense over the applicable performance periods.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Prior to July 1, 2022, the Company had in place an employee stock purchase plan covering 2,000,000 shares of common stock. Under that plan, the Company sold shares at 85% of the stock’s market price at date of purchase. Under ASC 718,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Stock Compensation</w:t>
      </w:r>
      <w:r>
        <w:rPr>
          <w:rFonts w:ascii="Arial" w:cs="Arial" w:eastAsia="Arial" w:hAnsi="Arial"/>
          <w:sz w:val="18"/>
          <w:szCs w:val="18"/>
          <w:color w:val="auto"/>
        </w:rPr>
        <w:t>, the 15% discounted value was recognized as compensation expense. As of June 30, 2022,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1,624,122 shares under this prior plan.</w:t>
      </w:r>
    </w:p>
    <w:p>
      <w:pPr>
        <w:spacing w:after="0" w:line="203"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In May 2022, the 2022 Gentex Corporation Employee Stock Purchase Plan covering 2,000,000 shares of common stock was approved by shareholders replacing the above referenced prior plan effective July 1, 2022. Under the plan, the Company sells shares at 85% of the stock's market price at date of purchase. Under ASC 718, the 15% discounted value is recognized as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Comprehensive Income</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debt investments and foreign currency translation adjustments.</w:t>
      </w:r>
    </w:p>
    <w:p>
      <w:pPr>
        <w:spacing w:after="0" w:line="198"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following table presents the net changes in the Company's accumulated other comprehensive income by component (all amounts shown are net of tax):</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64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3"/>
        </w:trPr>
        <w:tc>
          <w:tcPr>
            <w:tcW w:w="44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24,169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(83,367)</w:t>
            </w:r>
          </w:p>
        </w:tc>
        <w:tc>
          <w:tcPr>
            <w:tcW w:w="2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920,589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769,045</w:t>
            </w:r>
          </w:p>
        </w:tc>
        <w:tc>
          <w:tcPr>
            <w:tcW w:w="0" w:type="dxa"/>
            <w:vAlign w:val="bottom"/>
          </w:tcPr>
          <w:p>
            <w:pPr>
              <w:spacing w:after="0"/>
              <w:rPr>
                <w:sz w:val="1"/>
                <w:szCs w:val="1"/>
                <w:color w:val="auto"/>
              </w:rPr>
            </w:pPr>
          </w:p>
        </w:tc>
      </w:tr>
      <w:tr>
        <w:trPr>
          <w:trHeight w:val="176"/>
        </w:trPr>
        <w:tc>
          <w:tcPr>
            <w:tcW w:w="44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Other Comprehensive (loss) income before</w:t>
            </w:r>
          </w:p>
        </w:tc>
        <w:tc>
          <w:tcPr>
            <w:tcW w:w="2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(3,131,326)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963,199</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(4,027,746)</w:t>
            </w:r>
          </w:p>
        </w:tc>
        <w:tc>
          <w:tcPr>
            <w:tcW w:w="3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110,787</w:t>
            </w: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reclassifications</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current-period change</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(3,131,326)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963,199</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(4,027,746)</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110,787</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(3,107,157)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879,832</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(3,107,157)</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879,832</w:t>
            </w:r>
          </w:p>
        </w:tc>
        <w:tc>
          <w:tcPr>
            <w:tcW w:w="0" w:type="dxa"/>
            <w:vAlign w:val="bottom"/>
          </w:tcPr>
          <w:p>
            <w:pPr>
              <w:spacing w:after="0"/>
              <w:rPr>
                <w:sz w:val="1"/>
                <w:szCs w:val="1"/>
                <w:color w:val="auto"/>
              </w:rPr>
            </w:pPr>
          </w:p>
        </w:tc>
      </w:tr>
      <w:tr>
        <w:trPr>
          <w:trHeight w:val="88"/>
        </w:trPr>
        <w:tc>
          <w:tcPr>
            <w:tcW w:w="4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on available-for-sale debt securities: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(5,151,577)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2,038,034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1,006,655</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6,082,007</w:t>
            </w:r>
          </w:p>
        </w:tc>
        <w:tc>
          <w:tcPr>
            <w:tcW w:w="0" w:type="dxa"/>
            <w:vAlign w:val="bottom"/>
          </w:tcPr>
          <w:p>
            <w:pPr>
              <w:spacing w:after="0"/>
              <w:rPr>
                <w:sz w:val="1"/>
                <w:szCs w:val="1"/>
                <w:color w:val="auto"/>
              </w:rPr>
            </w:pPr>
          </w:p>
        </w:tc>
      </w:tr>
      <w:tr>
        <w:trPr>
          <w:trHeight w:val="175"/>
        </w:trPr>
        <w:tc>
          <w:tcPr>
            <w:tcW w:w="44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Other Comprehensive (loss) income before</w:t>
            </w:r>
          </w:p>
        </w:tc>
        <w:tc>
          <w:tcPr>
            <w:tcW w:w="2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(2,903,717)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1,610,141</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(9,327,653)</w:t>
            </w:r>
          </w:p>
        </w:tc>
        <w:tc>
          <w:tcPr>
            <w:tcW w:w="3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(2,082,477)</w:t>
            </w: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reclassifications</w:t>
            </w:r>
          </w:p>
        </w:tc>
        <w:tc>
          <w:tcPr>
            <w:tcW w:w="26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460" w:type="dxa"/>
            <w:vAlign w:val="bottom"/>
          </w:tcPr>
          <w:p>
            <w:pPr>
              <w:ind w:left="24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206,572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(262,969)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472,276</w:t>
            </w:r>
          </w:p>
        </w:tc>
        <w:tc>
          <w:tcPr>
            <w:tcW w:w="3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(614,324)</w:t>
            </w:r>
          </w:p>
        </w:tc>
        <w:tc>
          <w:tcPr>
            <w:tcW w:w="0" w:type="dxa"/>
            <w:vAlign w:val="bottom"/>
          </w:tcPr>
          <w:p>
            <w:pPr>
              <w:spacing w:after="0"/>
              <w:rPr>
                <w:sz w:val="1"/>
                <w:szCs w:val="1"/>
                <w:color w:val="auto"/>
              </w:rPr>
            </w:pPr>
          </w:p>
        </w:tc>
      </w:tr>
      <w:tr>
        <w:trPr>
          <w:trHeight w:val="243"/>
        </w:trPr>
        <w:tc>
          <w:tcPr>
            <w:tcW w:w="4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current-period change</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(2,697,145)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1,347,172</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(8,855,377)</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(2,696,801)</w:t>
            </w:r>
          </w:p>
        </w:tc>
        <w:tc>
          <w:tcPr>
            <w:tcW w:w="0" w:type="dxa"/>
            <w:vAlign w:val="bottom"/>
          </w:tcPr>
          <w:p>
            <w:pPr>
              <w:spacing w:after="0"/>
              <w:rPr>
                <w:sz w:val="1"/>
                <w:szCs w:val="1"/>
                <w:color w:val="auto"/>
              </w:rPr>
            </w:pPr>
          </w:p>
        </w:tc>
      </w:tr>
      <w:tr>
        <w:trPr>
          <w:trHeight w:val="262"/>
        </w:trPr>
        <w:tc>
          <w:tcPr>
            <w:tcW w:w="4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(7,848,722)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3,385,206</w:t>
            </w:r>
          </w:p>
        </w:tc>
        <w:tc>
          <w:tcPr>
            <w:tcW w:w="2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(7,848,722)</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3,385,206</w:t>
            </w:r>
          </w:p>
        </w:tc>
        <w:tc>
          <w:tcPr>
            <w:tcW w:w="0" w:type="dxa"/>
            <w:vAlign w:val="bottom"/>
          </w:tcPr>
          <w:p>
            <w:pPr>
              <w:spacing w:after="0"/>
              <w:rPr>
                <w:sz w:val="1"/>
                <w:szCs w:val="1"/>
                <w:color w:val="auto"/>
              </w:rPr>
            </w:pPr>
          </w:p>
        </w:tc>
      </w:tr>
      <w:tr>
        <w:trPr>
          <w:trHeight w:val="176"/>
        </w:trPr>
        <w:tc>
          <w:tcPr>
            <w:tcW w:w="4460" w:type="dxa"/>
            <w:vAlign w:val="bottom"/>
            <w:tcBorders>
              <w:top w:val="single" w:sz="8" w:color="CCEEFF"/>
            </w:tcBorders>
          </w:tcPr>
          <w:p>
            <w:pPr>
              <w:ind w:left="20"/>
              <w:spacing w:after="0" w:line="176" w:lineRule="exact"/>
              <w:rPr>
                <w:sz w:val="20"/>
                <w:szCs w:val="20"/>
                <w:color w:val="auto"/>
              </w:rPr>
            </w:pPr>
            <w:r>
              <w:rPr>
                <w:rFonts w:ascii="Arial" w:cs="Arial" w:eastAsia="Arial" w:hAnsi="Arial"/>
                <w:sz w:val="18"/>
                <w:szCs w:val="18"/>
                <w:color w:val="auto"/>
              </w:rPr>
              <w:t>Accumulated other comprehensive (loss) income, end</w:t>
            </w:r>
          </w:p>
        </w:tc>
        <w:tc>
          <w:tcPr>
            <w:tcW w:w="260" w:type="dxa"/>
            <w:vAlign w:val="bottom"/>
            <w:tcBorders>
              <w:top w:val="single" w:sz="8" w:color="CCEEFF"/>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(10,955,879)</w:t>
            </w: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4,265,038</w:t>
            </w:r>
          </w:p>
        </w:tc>
        <w:tc>
          <w:tcPr>
            <w:tcW w:w="2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(10,955,879)</w:t>
            </w:r>
          </w:p>
        </w:tc>
        <w:tc>
          <w:tcPr>
            <w:tcW w:w="320" w:type="dxa"/>
            <w:vAlign w:val="bottom"/>
            <w:tcBorders>
              <w:top w:val="single" w:sz="8" w:color="CCEEFF"/>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4,265,038</w:t>
            </w:r>
          </w:p>
        </w:tc>
        <w:tc>
          <w:tcPr>
            <w:tcW w:w="0" w:type="dxa"/>
            <w:vAlign w:val="bottom"/>
          </w:tcPr>
          <w:p>
            <w:pPr>
              <w:spacing w:after="0"/>
              <w:rPr>
                <w:sz w:val="1"/>
                <w:szCs w:val="1"/>
                <w:color w:val="auto"/>
              </w:rPr>
            </w:pPr>
          </w:p>
        </w:tc>
      </w:tr>
      <w:tr>
        <w:trPr>
          <w:trHeight w:val="221"/>
        </w:trPr>
        <w:tc>
          <w:tcPr>
            <w:tcW w:w="4460" w:type="dxa"/>
            <w:vAlign w:val="bottom"/>
          </w:tcPr>
          <w:p>
            <w:pPr>
              <w:ind w:left="20"/>
              <w:spacing w:after="0"/>
              <w:rPr>
                <w:sz w:val="20"/>
                <w:szCs w:val="20"/>
                <w:color w:val="auto"/>
              </w:rPr>
            </w:pPr>
            <w:r>
              <w:rPr>
                <w:rFonts w:ascii="Arial" w:cs="Arial" w:eastAsia="Arial" w:hAnsi="Arial"/>
                <w:sz w:val="18"/>
                <w:szCs w:val="18"/>
                <w:color w:val="auto"/>
              </w:rPr>
              <w:t>of period</w:t>
            </w:r>
          </w:p>
        </w:tc>
        <w:tc>
          <w:tcPr>
            <w:tcW w:w="2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right="200"/>
        <w:spacing w:after="0" w:line="276" w:lineRule="auto"/>
        <w:rPr>
          <w:sz w:val="20"/>
          <w:szCs w:val="20"/>
          <w:color w:val="auto"/>
        </w:rPr>
      </w:pPr>
      <w:r>
        <w:rPr>
          <w:rFonts w:ascii="Arial" w:cs="Arial" w:eastAsia="Arial" w:hAnsi="Arial"/>
          <w:sz w:val="18"/>
          <w:szCs w:val="18"/>
          <w:color w:val="auto"/>
        </w:rPr>
        <w:t>The following table presents details of reclassifications out of accumulated other comprehensive (loss) income for the three and six months ended June 30, 2022 and 2021:</w:t>
      </w:r>
    </w:p>
    <w:p>
      <w:pPr>
        <w:sectPr>
          <w:pgSz w:w="11900" w:h="16838" w:orient="portrait"/>
          <w:cols w:equalWidth="0" w:num="1">
            <w:col w:w="11240"/>
          </w:cols>
          <w:pgMar w:left="320" w:top="364" w:right="339" w:bottom="1440" w:gutter="0" w:footer="0" w:header="0"/>
        </w:sectPr>
      </w:pPr>
    </w:p>
    <w:p>
      <w:pPr>
        <w:spacing w:after="0" w:line="163" w:lineRule="exact"/>
        <w:rPr>
          <w:sz w:val="20"/>
          <w:szCs w:val="20"/>
          <w:color w:val="auto"/>
        </w:rPr>
      </w:pPr>
    </w:p>
    <w:p>
      <w:pPr>
        <w:jc w:val="center"/>
        <w:ind w:left="720"/>
        <w:spacing w:after="0" w:line="261" w:lineRule="auto"/>
        <w:rPr>
          <w:sz w:val="20"/>
          <w:szCs w:val="20"/>
          <w:color w:val="auto"/>
        </w:rPr>
      </w:pPr>
      <w:r>
        <w:rPr>
          <w:rFonts w:ascii="Arial" w:cs="Arial" w:eastAsia="Arial" w:hAnsi="Arial"/>
          <w:sz w:val="16"/>
          <w:szCs w:val="16"/>
          <w:b w:val="1"/>
          <w:bCs w:val="1"/>
          <w:color w:val="auto"/>
        </w:rPr>
        <w:t>Details about Accumulated Other Comprehensive Income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-13335</wp:posOffset>
            </wp:positionV>
            <wp:extent cx="25031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72" w:lineRule="exact"/>
        <w:rPr>
          <w:sz w:val="20"/>
          <w:szCs w:val="20"/>
          <w:color w:val="auto"/>
        </w:rPr>
      </w:pPr>
    </w:p>
    <w:p>
      <w:pPr>
        <w:ind w:left="680" w:right="180"/>
        <w:spacing w:after="0"/>
        <w:rPr>
          <w:sz w:val="20"/>
          <w:szCs w:val="20"/>
          <w:color w:val="auto"/>
        </w:rPr>
      </w:pPr>
      <w:r>
        <w:rPr>
          <w:rFonts w:ascii="Arial" w:cs="Arial" w:eastAsia="Arial" w:hAnsi="Arial"/>
          <w:sz w:val="18"/>
          <w:szCs w:val="18"/>
          <w:color w:val="auto"/>
        </w:rPr>
        <w:t>Unrealized (losses) gains on available-for-sale debt securities</w:t>
      </w:r>
    </w:p>
    <w:p>
      <w:pPr>
        <w:ind w:left="900"/>
        <w:spacing w:after="0" w:line="229" w:lineRule="auto"/>
        <w:rPr>
          <w:sz w:val="20"/>
          <w:szCs w:val="20"/>
          <w:color w:val="auto"/>
        </w:rPr>
      </w:pPr>
      <w:r>
        <w:rPr>
          <w:rFonts w:ascii="Arial" w:cs="Arial" w:eastAsia="Arial" w:hAnsi="Arial"/>
          <w:sz w:val="18"/>
          <w:szCs w:val="18"/>
          <w:color w:val="auto"/>
        </w:rPr>
        <w:t>Realized (loss) gain on sale</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of securities</w:t>
      </w:r>
    </w:p>
    <w:p>
      <w:pPr>
        <w:spacing w:after="0" w:line="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Provision for income taxes</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net reclassifications for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4280" w:type="dxa"/>
            <w:vAlign w:val="bottom"/>
            <w:gridSpan w:val="7"/>
            <w:vMerge w:val="restart"/>
          </w:tcPr>
          <w:p>
            <w:pPr>
              <w:jc w:val="center"/>
              <w:spacing w:after="0"/>
              <w:rPr>
                <w:sz w:val="20"/>
                <w:szCs w:val="20"/>
                <w:color w:val="auto"/>
              </w:rPr>
            </w:pPr>
            <w:r>
              <w:rPr>
                <w:rFonts w:ascii="Arial" w:cs="Arial" w:eastAsia="Arial" w:hAnsi="Arial"/>
                <w:sz w:val="16"/>
                <w:szCs w:val="16"/>
                <w:b w:val="1"/>
                <w:bCs w:val="1"/>
                <w:color w:val="auto"/>
              </w:rPr>
              <w:t>Amounts Reclassified from Other Comprehensive</w:t>
            </w:r>
          </w:p>
        </w:tc>
        <w:tc>
          <w:tcPr>
            <w:tcW w:w="100" w:type="dxa"/>
            <w:vAlign w:val="bottom"/>
          </w:tcPr>
          <w:p>
            <w:pPr>
              <w:spacing w:after="0"/>
              <w:rPr>
                <w:sz w:val="14"/>
                <w:szCs w:val="14"/>
                <w:color w:val="auto"/>
              </w:rPr>
            </w:pPr>
          </w:p>
        </w:tc>
        <w:tc>
          <w:tcPr>
            <w:tcW w:w="216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rPr>
              <w:t>Affected Line item in the</w:t>
            </w:r>
          </w:p>
        </w:tc>
        <w:tc>
          <w:tcPr>
            <w:tcW w:w="0" w:type="dxa"/>
            <w:vAlign w:val="bottom"/>
          </w:tcPr>
          <w:p>
            <w:pPr>
              <w:spacing w:after="0"/>
              <w:rPr>
                <w:sz w:val="1"/>
                <w:szCs w:val="1"/>
                <w:color w:val="auto"/>
              </w:rPr>
            </w:pPr>
          </w:p>
        </w:tc>
      </w:tr>
      <w:tr>
        <w:trPr>
          <w:trHeight w:val="162"/>
        </w:trPr>
        <w:tc>
          <w:tcPr>
            <w:tcW w:w="428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Consolidated Statements</w:t>
            </w:r>
          </w:p>
        </w:tc>
        <w:tc>
          <w:tcPr>
            <w:tcW w:w="0" w:type="dxa"/>
            <w:vAlign w:val="bottom"/>
          </w:tcPr>
          <w:p>
            <w:pPr>
              <w:spacing w:after="0"/>
              <w:rPr>
                <w:sz w:val="1"/>
                <w:szCs w:val="1"/>
                <w:color w:val="auto"/>
              </w:rPr>
            </w:pPr>
          </w:p>
        </w:tc>
      </w:tr>
      <w:tr>
        <w:trPr>
          <w:trHeight w:val="216"/>
        </w:trPr>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w w:val="99"/>
              </w:rPr>
              <w:t>(Loss) Income</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Income</w:t>
            </w:r>
          </w:p>
        </w:tc>
        <w:tc>
          <w:tcPr>
            <w:tcW w:w="0" w:type="dxa"/>
            <w:vAlign w:val="bottom"/>
          </w:tcPr>
          <w:p>
            <w:pPr>
              <w:spacing w:after="0"/>
              <w:rPr>
                <w:sz w:val="1"/>
                <w:szCs w:val="1"/>
                <w:color w:val="auto"/>
              </w:rPr>
            </w:pPr>
          </w:p>
        </w:tc>
      </w:tr>
      <w:tr>
        <w:trPr>
          <w:trHeight w:val="194"/>
        </w:trPr>
        <w:tc>
          <w:tcPr>
            <w:tcW w:w="218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10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-7620</wp:posOffset>
            </wp:positionV>
            <wp:extent cx="6720840" cy="265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20840" cy="26543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280" w:hanging="256"/>
        <w:spacing w:after="0"/>
        <w:tabs>
          <w:tab w:leader="none" w:pos="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(261,483)  $   332,872  $  (597,818)  $   777,625   </w:t>
      </w:r>
      <w:r>
        <w:rPr>
          <w:rFonts w:ascii="Arial" w:cs="Arial" w:eastAsia="Arial" w:hAnsi="Arial"/>
          <w:sz w:val="17"/>
          <w:szCs w:val="17"/>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24765</wp:posOffset>
            </wp:positionV>
            <wp:extent cx="672084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20840" cy="14541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54,911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(69,903)</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125,542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(163,301)</w:t>
            </w:r>
          </w:p>
        </w:tc>
        <w:tc>
          <w:tcPr>
            <w:tcW w:w="2220" w:type="dxa"/>
            <w:vAlign w:val="bottom"/>
          </w:tcPr>
          <w:p>
            <w:pPr>
              <w:ind w:left="120"/>
              <w:spacing w:after="0"/>
              <w:rPr>
                <w:sz w:val="20"/>
                <w:szCs w:val="20"/>
                <w:color w:val="auto"/>
              </w:rPr>
            </w:pPr>
            <w:r>
              <w:rPr>
                <w:rFonts w:ascii="Arial" w:cs="Arial" w:eastAsia="Arial" w:hAnsi="Arial"/>
                <w:sz w:val="18"/>
                <w:szCs w:val="18"/>
                <w:color w:val="auto"/>
                <w:w w:val="98"/>
              </w:rPr>
              <w:t>Provision for income taxes</w:t>
            </w:r>
          </w:p>
        </w:tc>
      </w:tr>
      <w:tr>
        <w:trPr>
          <w:trHeight w:val="210"/>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(206,572)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262,969</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(472,276)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614,324</w:t>
            </w:r>
          </w:p>
        </w:tc>
        <w:tc>
          <w:tcPr>
            <w:tcW w:w="2220" w:type="dxa"/>
            <w:vAlign w:val="bottom"/>
          </w:tcPr>
          <w:p>
            <w:pPr>
              <w:ind w:left="120"/>
              <w:spacing w:after="0"/>
              <w:rPr>
                <w:sz w:val="20"/>
                <w:szCs w:val="20"/>
                <w:color w:val="auto"/>
              </w:rPr>
            </w:pPr>
            <w:r>
              <w:rPr>
                <w:rFonts w:ascii="Arial" w:cs="Arial" w:eastAsia="Arial" w:hAnsi="Arial"/>
                <w:sz w:val="18"/>
                <w:szCs w:val="18"/>
                <w:color w:val="auto"/>
              </w:rPr>
              <w:t>Net of tax</w:t>
            </w: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540" w:space="160"/>
            <w:col w:w="6540"/>
          </w:cols>
          <w:pgMar w:left="320" w:top="364" w:right="339" w:bottom="1440" w:gutter="0" w:footer="0" w:header="0"/>
          <w:type w:val="continuous"/>
        </w:sectPr>
      </w:pPr>
    </w:p>
    <w:p>
      <w:pPr>
        <w:spacing w:after="0" w:line="321"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Debt and Financing Arrangements</w:t>
      </w:r>
    </w:p>
    <w:p>
      <w:pPr>
        <w:spacing w:after="0" w:line="252"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On October 15, 2018, the Company entered into a Credit Agreement (“Credit Agreement”) with PNC as the administrative agent and sole lender.</w:t>
      </w:r>
    </w:p>
    <w:p>
      <w:pPr>
        <w:spacing w:after="0" w:line="18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Pursuant to this Credit Agreement, the Company has access to a $150 million senior revolving credit facility (“Revolver”). Under the terms of the Credit Agreement, the Company is entitled to further request an additional aggregate principal amount of up to $100 million, subject to the satisfaction of certain conditions. In addition, the Company is entitled to the benefit of swing loans from amounts otherwise available under the Revolver in the aggregate principal amount of up to $20 million and to request Letters of Credit from amounts otherwise available under the Revolver in the aggregate principle amount up to $20 million, both subject to certain conditions. The obligations of the Company under the Credit Agreement are not secured,</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but are subject to certain covenants. As of June 30, 2022, there was no outstanding balance on the Revolver. The Revolver expires on October 15, 2023.</w:t>
      </w:r>
    </w:p>
    <w:p>
      <w:pPr>
        <w:spacing w:after="0" w:line="180"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The Credit Agreement contains customary representations and warranties and certain covenants that place certain limitations on the Company.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2022, the Company is in compliance with its covenants under the Credit Agreement.</w:t>
      </w:r>
    </w:p>
    <w:p>
      <w:pPr>
        <w:spacing w:after="0" w:line="200" w:lineRule="exact"/>
        <w:rPr>
          <w:sz w:val="20"/>
          <w:szCs w:val="20"/>
          <w:color w:val="auto"/>
        </w:rPr>
      </w:pPr>
    </w:p>
    <w:p>
      <w:pPr>
        <w:spacing w:after="0" w:line="295"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Equity</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decrease in common stock during the six months ended June 30, 2022, was primarily due to the repurchases of 2.4 million shares, partially offset by the issuance of 1.1 million shares of the Company’s common stock, net of cancellations, under the Company’s stock-based compensation plans. The total net decrease was 1.3 million shares.</w:t>
      </w:r>
    </w:p>
    <w:p>
      <w:pPr>
        <w:spacing w:after="0" w:line="19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recorded a cash dividend of $0.120 per share during the second quarter of 2022 as compared to a cash dividend of $0.120 per share during the second quarter of 2021. The second quarter 2022 dividend of $28.2 million was declared on May 27, 2022, and was paid on July 20, 2022.</w:t>
      </w:r>
    </w:p>
    <w:p>
      <w:pPr>
        <w:spacing w:after="0" w:line="200" w:lineRule="exact"/>
        <w:rPr>
          <w:sz w:val="20"/>
          <w:szCs w:val="20"/>
          <w:color w:val="auto"/>
        </w:rPr>
      </w:pPr>
    </w:p>
    <w:p>
      <w:pPr>
        <w:spacing w:after="0" w:line="241"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5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regulatory,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85"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Company is responding to a subpoena issued by the staff of the Division of Enforcement of the SEC for records from approximately 2015-2019. The Company has been informed that the SEC staff may be reviewing certain accounting determinations, including determinations that the staff believes could have impacted the Company’s reported earnings per share for certain periods during that time frame. The Company has continued to assert that its financial statements filed with the SEC in Forms 10-K and 10-Q in 2015 -2019 present fairly, in all material respects, its financial condition, results of operations and cash flows as of or for the periods ending on their respective dates. The Company maintains that its actions were appropriate; however, the Company remains open to resolving this matter with the SEC, and therefore, the Company has accrued an amount as of June 30, 2022 for an estimated liability. The Company does not believe the accrued liability is material to the financial statements.</w:t>
      </w:r>
    </w:p>
    <w:p>
      <w:pPr>
        <w:spacing w:after="0" w:line="200" w:lineRule="exact"/>
        <w:rPr>
          <w:sz w:val="20"/>
          <w:szCs w:val="20"/>
          <w:color w:val="auto"/>
        </w:rPr>
      </w:pPr>
    </w:p>
    <w:p>
      <w:pPr>
        <w:spacing w:after="0" w:line="399" w:lineRule="exact"/>
        <w:rPr>
          <w:sz w:val="20"/>
          <w:szCs w:val="20"/>
          <w:color w:val="auto"/>
        </w:rPr>
      </w:pPr>
    </w:p>
    <w:p>
      <w:pPr>
        <w:ind w:left="840" w:hanging="508"/>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Segment Reporting</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The Company's automotive segment develops and manufactures digital vision and connected car products and electronics, including: automatic-dimming rearview mirrors with and without electronic features; non-auto dimming rearview mirrors with and without electronic features; and other electronics. The Company also develops and manufactures variably dimming windows and laminate products for the aerospace industry and fire protection products for the commercial construction industry. In 2020, the Company acquired Vaporsens, which specializes in nanofiber chemical sensing. These three non-automotive segments are combined into the "Other" segment as shown below. In first quarter of 2021, the Company acquired Guardian, which is combined in the Automotive Segment below. Further information in regards to the Guardian transaction is included in </w:t>
      </w:r>
      <w:r>
        <w:rPr>
          <w:rFonts w:ascii="Arial" w:cs="Arial" w:eastAsia="Arial" w:hAnsi="Arial"/>
          <w:sz w:val="18"/>
          <w:szCs w:val="18"/>
          <w:u w:val="single" w:color="auto"/>
          <w:color w:val="0000FF"/>
        </w:rPr>
        <w:t>Note 15</w:t>
      </w:r>
      <w:r>
        <w:rPr>
          <w:rFonts w:ascii="Arial" w:cs="Arial" w:eastAsia="Arial" w:hAnsi="Arial"/>
          <w:sz w:val="18"/>
          <w:szCs w:val="18"/>
          <w:color w:val="auto"/>
        </w:rPr>
        <w:t xml:space="preserve"> of the financial statements.</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2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6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7"/>
                <w:szCs w:val="17"/>
                <w:color w:val="auto"/>
              </w:rPr>
            </w:pPr>
          </w:p>
        </w:tc>
        <w:tc>
          <w:tcPr>
            <w:tcW w:w="3360" w:type="dxa"/>
            <w:vAlign w:val="bottom"/>
            <w:gridSpan w:val="3"/>
          </w:tcPr>
          <w:p>
            <w:pPr>
              <w:jc w:val="right"/>
              <w:ind w:right="893"/>
              <w:spacing w:after="0"/>
              <w:rPr>
                <w:sz w:val="20"/>
                <w:szCs w:val="20"/>
                <w:color w:val="auto"/>
              </w:rPr>
            </w:pPr>
            <w:r>
              <w:rPr>
                <w:rFonts w:ascii="Arial" w:cs="Arial" w:eastAsia="Arial" w:hAnsi="Arial"/>
                <w:sz w:val="14"/>
                <w:szCs w:val="14"/>
                <w:b w:val="1"/>
                <w:bCs w:val="1"/>
                <w:color w:val="auto"/>
              </w:rPr>
              <w:t>Six Months Ended June 30,</w:t>
            </w:r>
          </w:p>
        </w:tc>
      </w:tr>
      <w:tr>
        <w:trPr>
          <w:trHeight w:val="203"/>
        </w:trPr>
        <w:tc>
          <w:tcPr>
            <w:tcW w:w="28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2021</w:t>
            </w:r>
          </w:p>
        </w:tc>
      </w:tr>
      <w:tr>
        <w:trPr>
          <w:trHeight w:val="211"/>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288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452,951,028</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420,622,653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910,903,581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896,240,089</w:t>
            </w:r>
          </w:p>
        </w:tc>
      </w:tr>
      <w:tr>
        <w:trPr>
          <w:trHeight w:val="230"/>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10,471,974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7,382,373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242424"/>
              </w:rPr>
              <w:t>20,770,196</w:t>
            </w:r>
          </w:p>
        </w:tc>
        <w:tc>
          <w:tcPr>
            <w:tcW w:w="5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15,489,776</w:t>
            </w:r>
          </w:p>
        </w:tc>
      </w:tr>
      <w:tr>
        <w:trPr>
          <w:trHeight w:val="223"/>
        </w:trPr>
        <w:tc>
          <w:tcPr>
            <w:tcW w:w="2880" w:type="dxa"/>
            <w:vAlign w:val="bottom"/>
          </w:tcPr>
          <w:p>
            <w:pPr>
              <w:ind w:left="2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463,423,002</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428,005,026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931,673,777</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911,729,865</w:t>
            </w: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2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(Loss) from operations:</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9"/>
        </w:trPr>
        <w:tc>
          <w:tcPr>
            <w:tcW w:w="288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86,908,119</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101,790,310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190,383,628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236,458,363</w:t>
            </w:r>
          </w:p>
        </w:tc>
      </w:tr>
      <w:tr>
        <w:trPr>
          <w:trHeight w:val="230"/>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(1,117,150)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(1,865,689)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(1,286,755)</w:t>
            </w:r>
          </w:p>
        </w:tc>
        <w:tc>
          <w:tcPr>
            <w:tcW w:w="5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(2,800,041)</w:t>
            </w:r>
          </w:p>
        </w:tc>
      </w:tr>
      <w:tr>
        <w:trPr>
          <w:trHeight w:val="223"/>
        </w:trPr>
        <w:tc>
          <w:tcPr>
            <w:tcW w:w="2880" w:type="dxa"/>
            <w:vAlign w:val="bottom"/>
          </w:tcPr>
          <w:p>
            <w:pPr>
              <w:ind w:left="2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85,790,969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99,924,621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189,096,873</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233,658,322</w:t>
            </w:r>
          </w:p>
        </w:tc>
      </w:tr>
      <w:tr>
        <w:trPr>
          <w:trHeight w:val="21"/>
        </w:trPr>
        <w:tc>
          <w:tcPr>
            <w:tcW w:w="2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44"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effective tax rate was 15.0% in the six months ended June 30, 2022, compared to an effective tax rate of 15.7% for the same period in 2021. Generally, effective tax rates for these periods differ from statutory federal income tax rates, due to provisions for state and local income taxes, permanent tax differences, and the foreign-derived intangible income tax deduction and research and development tax credits.</w:t>
      </w:r>
    </w:p>
    <w:p>
      <w:pPr>
        <w:spacing w:after="0" w:line="203"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w:t>
      </w:r>
    </w:p>
    <w:p>
      <w:pPr>
        <w:spacing w:after="0" w:line="252" w:lineRule="exact"/>
        <w:rPr>
          <w:sz w:val="20"/>
          <w:szCs w:val="20"/>
          <w:color w:val="auto"/>
        </w:rPr>
      </w:pPr>
    </w:p>
    <w:p>
      <w:pPr>
        <w:jc w:val="both"/>
        <w:ind w:left="660"/>
        <w:spacing w:after="0" w:line="279" w:lineRule="auto"/>
        <w:rPr>
          <w:sz w:val="20"/>
          <w:szCs w:val="20"/>
          <w:color w:val="auto"/>
        </w:rPr>
      </w:pPr>
      <w:r>
        <w:rPr>
          <w:rFonts w:ascii="Arial" w:cs="Arial" w:eastAsia="Arial" w:hAnsi="Arial"/>
          <w:sz w:val="18"/>
          <w:szCs w:val="18"/>
          <w:color w:val="auto"/>
        </w:rPr>
        <w:t>The following table shows the Company’s Automotive revenue and Other Products revenue disaggregated by geographical location for Automotive Products for the three and six month periods ended June 30, 2022 and June 30, 2021: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2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7"/>
                <w:szCs w:val="17"/>
                <w:color w:val="auto"/>
              </w:rPr>
            </w:pPr>
          </w:p>
        </w:tc>
        <w:tc>
          <w:tcPr>
            <w:tcW w:w="3300" w:type="dxa"/>
            <w:vAlign w:val="bottom"/>
            <w:gridSpan w:val="3"/>
          </w:tcPr>
          <w:p>
            <w:pPr>
              <w:jc w:val="right"/>
              <w:ind w:right="852"/>
              <w:spacing w:after="0"/>
              <w:rPr>
                <w:sz w:val="20"/>
                <w:szCs w:val="20"/>
                <w:color w:val="auto"/>
              </w:rPr>
            </w:pPr>
            <w:r>
              <w:rPr>
                <w:rFonts w:ascii="Arial" w:cs="Arial" w:eastAsia="Arial" w:hAnsi="Arial"/>
                <w:sz w:val="14"/>
                <w:szCs w:val="14"/>
                <w:b w:val="1"/>
                <w:bCs w:val="1"/>
                <w:color w:val="auto"/>
              </w:rPr>
              <w:t>Six Months Ended June 30,</w:t>
            </w:r>
          </w:p>
        </w:tc>
      </w:tr>
      <w:tr>
        <w:trPr>
          <w:trHeight w:val="20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2021</w:t>
            </w:r>
          </w:p>
        </w:tc>
      </w:tr>
      <w:tr>
        <w:trPr>
          <w:trHeight w:val="224"/>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Products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2620" w:type="dxa"/>
            <w:vAlign w:val="bottom"/>
          </w:tcPr>
          <w:p>
            <w:pPr>
              <w:ind w:left="120"/>
              <w:spacing w:after="0"/>
              <w:rPr>
                <w:sz w:val="20"/>
                <w:szCs w:val="20"/>
                <w:color w:val="auto"/>
              </w:rPr>
            </w:pPr>
            <w:r>
              <w:rPr>
                <w:rFonts w:ascii="Arial" w:cs="Arial" w:eastAsia="Arial" w:hAnsi="Arial"/>
                <w:sz w:val="18"/>
                <w:szCs w:val="18"/>
                <w:color w:val="auto"/>
              </w:rPr>
              <w:t>U.S.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145,818,259</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135,857,058</w:t>
            </w:r>
          </w:p>
        </w:tc>
        <w:tc>
          <w:tcPr>
            <w:tcW w:w="16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288,012,229</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282,282,375</w:t>
            </w:r>
          </w:p>
        </w:tc>
      </w:tr>
      <w:tr>
        <w:trPr>
          <w:trHeight w:val="230"/>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Germany</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71,580,008</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58,935,672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139,145,328</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128,350,856</w:t>
            </w:r>
          </w:p>
        </w:tc>
      </w:tr>
      <w:tr>
        <w:trPr>
          <w:trHeight w:val="230"/>
        </w:trPr>
        <w:tc>
          <w:tcPr>
            <w:tcW w:w="2620" w:type="dxa"/>
            <w:vAlign w:val="bottom"/>
          </w:tcPr>
          <w:p>
            <w:pPr>
              <w:ind w:left="120"/>
              <w:spacing w:after="0"/>
              <w:rPr>
                <w:sz w:val="20"/>
                <w:szCs w:val="20"/>
                <w:color w:val="auto"/>
              </w:rPr>
            </w:pPr>
            <w:r>
              <w:rPr>
                <w:rFonts w:ascii="Arial" w:cs="Arial" w:eastAsia="Arial" w:hAnsi="Arial"/>
                <w:sz w:val="18"/>
                <w:szCs w:val="18"/>
                <w:color w:val="auto"/>
              </w:rPr>
              <w:t>Japan</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46,655,756</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54,160,515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101,418,244</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108,064,110</w:t>
            </w:r>
          </w:p>
        </w:tc>
      </w:tr>
      <w:tr>
        <w:trPr>
          <w:trHeight w:val="230"/>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Mexico</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29,792,178</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28,589,143</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61,927,257</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60,335,131</w:t>
            </w:r>
          </w:p>
        </w:tc>
      </w:tr>
      <w:tr>
        <w:trPr>
          <w:trHeight w:val="229"/>
        </w:trPr>
        <w:tc>
          <w:tcPr>
            <w:tcW w:w="2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159,104,827</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143,080,265</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320,400,523</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317,207,617</w:t>
            </w:r>
          </w:p>
        </w:tc>
      </w:tr>
      <w:tr>
        <w:trPr>
          <w:trHeight w:val="22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452,951,028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420,622,653</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242424"/>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42424"/>
              </w:rPr>
              <w:t>910,903,581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896,240,089</w:t>
            </w:r>
          </w:p>
        </w:tc>
      </w:tr>
      <w:tr>
        <w:trPr>
          <w:trHeight w:val="229"/>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 (U.S.)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10,471,974</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7,382,373</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42424"/>
              </w:rPr>
              <w:t>20,770,196</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15,489,776</w:t>
            </w:r>
          </w:p>
        </w:tc>
      </w:tr>
      <w:tr>
        <w:trPr>
          <w:trHeight w:val="24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463,423,002</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428,005,026</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931,673,777</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911,729,865</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a pandemic; global supply chain constraints;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right="480"/>
        <w:spacing w:after="0" w:line="279" w:lineRule="auto"/>
        <w:rPr>
          <w:sz w:val="20"/>
          <w:szCs w:val="20"/>
          <w:color w:val="auto"/>
        </w:rPr>
      </w:pPr>
      <w:r>
        <w:rPr>
          <w:rFonts w:ascii="Arial" w:cs="Arial" w:eastAsia="Arial" w:hAnsi="Arial"/>
          <w:sz w:val="18"/>
          <w:szCs w:val="18"/>
          <w:color w:val="auto"/>
        </w:rPr>
        <w:t>The following table disaggregates the Company’s Automotive revenue and Other revenue by major source for the three and six month periods ended June 30, 2022 and June 30, 2021: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358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17"/>
                <w:szCs w:val="17"/>
                <w:color w:val="auto"/>
              </w:rPr>
            </w:pPr>
          </w:p>
        </w:tc>
        <w:tc>
          <w:tcPr>
            <w:tcW w:w="290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7"/>
                <w:szCs w:val="17"/>
                <w:color w:val="auto"/>
              </w:rPr>
            </w:pPr>
          </w:p>
        </w:tc>
        <w:tc>
          <w:tcPr>
            <w:tcW w:w="3280" w:type="dxa"/>
            <w:vAlign w:val="bottom"/>
            <w:gridSpan w:val="3"/>
          </w:tcPr>
          <w:p>
            <w:pPr>
              <w:jc w:val="right"/>
              <w:ind w:right="85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2"/>
        </w:trPr>
        <w:tc>
          <w:tcPr>
            <w:tcW w:w="35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Segment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40"/>
              <w:spacing w:after="0"/>
              <w:rPr>
                <w:sz w:val="20"/>
                <w:szCs w:val="20"/>
                <w:color w:val="auto"/>
              </w:rPr>
            </w:pPr>
            <w:r>
              <w:rPr>
                <w:rFonts w:ascii="Arial" w:cs="Arial" w:eastAsia="Arial" w:hAnsi="Arial"/>
                <w:sz w:val="18"/>
                <w:szCs w:val="18"/>
                <w:color w:val="auto"/>
              </w:rPr>
              <w:t>Automotive Mirrors &amp; Electronics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419,492,115</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390,074,655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843,118,604</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825,581,585</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HomeLink Modules*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33,458,913</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30,547,998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67,784,977</w:t>
            </w:r>
          </w:p>
        </w:tc>
        <w:tc>
          <w:tcPr>
            <w:tcW w:w="4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70,658,504</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color w:val="auto"/>
              </w:rPr>
              <w:t>Total Automotive Products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452,951,028</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420,622,653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910,903,581</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896,240,089</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Other Segment</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Fire Protection Products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9,645,549</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6,319,662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18,093,236</w:t>
            </w: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12,123,820</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Aerospace Products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826,425</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1,062,711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2,676,960</w:t>
            </w: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3,365,956</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10,471,974</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7,382,373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20,770,196</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15,489,776</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*Excludes HomeLink revenue where HomeLink electronics are integrated into interior auto-dimming mirrors.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666940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Leases</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 has operating leases for certain sales and engineering offices, as well as other vehicles and equipment, which are included within "Plant and Equipment - Net" section of the Condensed Consolidated Balance Sheets. The leases have remaining lease terms of 1 year to 5 years. The weighted average remaining lease term for operating leases as of June 30, 2022 was 2 years, with a weighted average discount rate of 4.4%.</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for operating leases as of June 30,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34925</wp:posOffset>
            </wp:positionV>
            <wp:extent cx="666051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60515" cy="1289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23495</wp:posOffset>
            </wp:positionV>
            <wp:extent cx="66605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60515" cy="825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0" w:type="dxa"/>
            <w:vAlign w:val="bottom"/>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2022 (excluding the three months ended June 30, 2022)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706,167</w:t>
            </w:r>
          </w:p>
        </w:tc>
        <w:tc>
          <w:tcPr>
            <w:tcW w:w="22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1,016,442</w:t>
            </w:r>
          </w:p>
        </w:tc>
        <w:tc>
          <w:tcPr>
            <w:tcW w:w="22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223,816</w:t>
            </w:r>
          </w:p>
        </w:tc>
        <w:tc>
          <w:tcPr>
            <w:tcW w:w="22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33,226</w:t>
            </w:r>
          </w:p>
        </w:tc>
        <w:tc>
          <w:tcPr>
            <w:tcW w:w="22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22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22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future minimum lease payments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1,986,905</w:t>
            </w:r>
          </w:p>
        </w:tc>
        <w:tc>
          <w:tcPr>
            <w:tcW w:w="22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(34,730)</w:t>
            </w:r>
          </w:p>
        </w:tc>
        <w:tc>
          <w:tcPr>
            <w:tcW w:w="22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1,952,175</w:t>
            </w:r>
          </w:p>
        </w:tc>
        <w:tc>
          <w:tcPr>
            <w:tcW w:w="220" w:type="dxa"/>
            <w:vAlign w:val="bottom"/>
          </w:tcPr>
          <w:p>
            <w:pPr>
              <w:spacing w:after="0"/>
              <w:rPr>
                <w:sz w:val="19"/>
                <w:szCs w:val="19"/>
                <w:color w:val="auto"/>
              </w:rPr>
            </w:pPr>
          </w:p>
        </w:tc>
      </w:tr>
      <w:tr>
        <w:trPr>
          <w:trHeight w:val="358"/>
        </w:trPr>
        <w:tc>
          <w:tcPr>
            <w:tcW w:w="800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2"/>
        </w:trPr>
        <w:tc>
          <w:tcPr>
            <w:tcW w:w="80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Reported as of June 30, 2022</w:t>
            </w: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r>
      <w:tr>
        <w:trPr>
          <w:trHeight w:val="251"/>
        </w:trPr>
        <w:tc>
          <w:tcPr>
            <w:tcW w:w="260" w:type="dxa"/>
            <w:vAlign w:val="bottom"/>
          </w:tcPr>
          <w:p>
            <w:pPr>
              <w:spacing w:after="0"/>
              <w:rPr>
                <w:sz w:val="21"/>
                <w:szCs w:val="21"/>
                <w:color w:val="auto"/>
              </w:rPr>
            </w:pPr>
          </w:p>
        </w:tc>
        <w:tc>
          <w:tcPr>
            <w:tcW w:w="7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1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1,265,582</w:t>
            </w:r>
          </w:p>
        </w:tc>
      </w:tr>
      <w:tr>
        <w:trPr>
          <w:trHeight w:val="230"/>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686,593</w:t>
            </w:r>
          </w:p>
        </w:tc>
      </w:tr>
      <w:tr>
        <w:trPr>
          <w:trHeight w:val="223"/>
        </w:trPr>
        <w:tc>
          <w:tcPr>
            <w:tcW w:w="260" w:type="dxa"/>
            <w:vAlign w:val="bottom"/>
            <w:shd w:val="clear" w:color="auto" w:fill="CCEEFF"/>
          </w:tcPr>
          <w:p>
            <w:pPr>
              <w:spacing w:after="0"/>
              <w:rPr>
                <w:sz w:val="19"/>
                <w:szCs w:val="19"/>
                <w:color w:val="auto"/>
              </w:rPr>
            </w:pPr>
          </w:p>
        </w:tc>
        <w:tc>
          <w:tcPr>
            <w:tcW w:w="7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1,952,175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Acquisition</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On March 3, 2021 the Company acquired Guardian for approximately $12.0 million. Guardian is an Israeli research and development company that specializes in in-cabin sensing technologies for the automotive industry. The Company funded the acquisition with cash on hand. The valuation process was completed during the fourth quarter of 2021.</w:t>
      </w:r>
    </w:p>
    <w:p>
      <w:pPr>
        <w:spacing w:after="0" w:line="19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 xml:space="preserve">Guardian is now a 100% owned subsidiary of the Company as Gentex Technologies (Israel), LTD, and is classified within the Automotive segment. The Company accounted for the acquisition under the provisions of FASB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SECOND QUARTER 2022 VERSUS SECOND QUARTER 2021</w:t>
      </w:r>
    </w:p>
    <w:p>
      <w:pPr>
        <w:spacing w:after="0" w:line="144"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second quarter of 2022 increased by $35.4 million or 8% when compared with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2021.</w:t>
      </w:r>
    </w:p>
    <w:p>
      <w:pPr>
        <w:spacing w:after="0" w:line="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Automotive net sales for the second quarter of 2022 were $452.9 million, compared with automotive net sales of $420.6 million in the second quarter of 2021. The 3% increase in automotive mirror unit shipments in the second quarter of 2022 to 10.7 million units compared with 10.4 million units in the second quarter of 2021, was driven primarily by a 7% quarter over quarter increase in North American auto-dimming mirror unit shipments.</w:t>
      </w:r>
    </w:p>
    <w:p>
      <w:pPr>
        <w:spacing w:after="0" w:line="203" w:lineRule="exact"/>
        <w:rPr>
          <w:sz w:val="20"/>
          <w:szCs w:val="20"/>
          <w:color w:val="auto"/>
        </w:rPr>
      </w:pPr>
    </w:p>
    <w:p>
      <w:pPr>
        <w:ind w:left="660" w:right="220"/>
        <w:spacing w:after="0" w:line="287"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and six months ended June 30, 2022, and 2021 </w:t>
      </w: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341"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3800" w:type="dxa"/>
            <w:vAlign w:val="bottom"/>
          </w:tcPr>
          <w:p>
            <w:pPr>
              <w:spacing w:after="0"/>
              <w:rPr>
                <w:sz w:val="17"/>
                <w:szCs w:val="17"/>
                <w:color w:val="auto"/>
              </w:rPr>
            </w:pPr>
          </w:p>
        </w:tc>
        <w:tc>
          <w:tcPr>
            <w:tcW w:w="34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3280" w:type="dxa"/>
            <w:vAlign w:val="bottom"/>
            <w:tcBorders>
              <w:bottom w:val="single" w:sz="8" w:color="auto"/>
            </w:tcBorders>
            <w:gridSpan w:val="3"/>
          </w:tcPr>
          <w:p>
            <w:pPr>
              <w:jc w:val="right"/>
              <w:ind w:right="63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8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9"/>
              </w:rPr>
              <w:t>14%</w:t>
            </w: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4,288</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3,946</w:t>
            </w:r>
          </w:p>
        </w:tc>
        <w:tc>
          <w:tcPr>
            <w:tcW w:w="10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9%</w:t>
            </w:r>
          </w:p>
        </w:tc>
      </w:tr>
      <w:tr>
        <w:trPr>
          <w:trHeight w:val="229"/>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9"/>
              </w:rPr>
              <w:t>(2)%</w:t>
            </w: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2,929</w:t>
            </w: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2,990</w:t>
            </w: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w:t>
            </w:r>
          </w:p>
        </w:tc>
      </w:tr>
      <w:tr>
        <w:trPr>
          <w:trHeight w:val="223"/>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North American Mirror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7%</w:t>
            </w: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7,217</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6,936</w:t>
            </w:r>
          </w:p>
        </w:tc>
        <w:tc>
          <w:tcPr>
            <w:tcW w:w="10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w:t>
            </w:r>
          </w:p>
        </w:tc>
      </w:tr>
      <w:tr>
        <w:trPr>
          <w:trHeight w:val="270"/>
        </w:trPr>
        <w:tc>
          <w:tcPr>
            <w:tcW w:w="3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Interior Mirrors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2%</w:t>
            </w: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9,996</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10,590</w:t>
            </w:r>
          </w:p>
        </w:tc>
        <w:tc>
          <w:tcPr>
            <w:tcW w:w="1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w:t>
            </w:r>
          </w:p>
        </w:tc>
      </w:tr>
      <w:tr>
        <w:trPr>
          <w:trHeight w:val="230"/>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Exterior Mirrors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9"/>
              </w:rPr>
              <w:t>(2)%</w:t>
            </w: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4,482</w:t>
            </w: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4,676</w:t>
            </w: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(4)%</w:t>
            </w:r>
          </w:p>
        </w:tc>
      </w:tr>
      <w:tr>
        <w:trPr>
          <w:trHeight w:val="223"/>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International Mirror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1%</w:t>
            </w: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14,477</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15,266</w:t>
            </w:r>
          </w:p>
        </w:tc>
        <w:tc>
          <w:tcPr>
            <w:tcW w:w="1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w:t>
            </w:r>
          </w:p>
        </w:tc>
      </w:tr>
      <w:tr>
        <w:trPr>
          <w:trHeight w:val="270"/>
        </w:trPr>
        <w:tc>
          <w:tcPr>
            <w:tcW w:w="3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5%</w:t>
            </w: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14,284</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14,535</w:t>
            </w:r>
          </w:p>
        </w:tc>
        <w:tc>
          <w:tcPr>
            <w:tcW w:w="1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w:t>
            </w:r>
          </w:p>
        </w:tc>
      </w:tr>
      <w:tr>
        <w:trPr>
          <w:trHeight w:val="229"/>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9"/>
              </w:rPr>
              <w:t>(2)%</w:t>
            </w: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7,411</w:t>
            </w: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7,666</w:t>
            </w: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(3)%</w:t>
            </w:r>
          </w:p>
        </w:tc>
      </w:tr>
      <w:tr>
        <w:trPr>
          <w:trHeight w:val="248"/>
        </w:trPr>
        <w:tc>
          <w:tcPr>
            <w:tcW w:w="3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Auto-Dimming Mirror Units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center"/>
              <w:ind w:right="52"/>
              <w:spacing w:after="0"/>
              <w:rPr>
                <w:sz w:val="20"/>
                <w:szCs w:val="20"/>
                <w:color w:val="auto"/>
              </w:rPr>
            </w:pPr>
            <w:r>
              <w:rPr>
                <w:rFonts w:ascii="Arial" w:cs="Arial" w:eastAsia="Arial" w:hAnsi="Arial"/>
                <w:sz w:val="18"/>
                <w:szCs w:val="18"/>
                <w:color w:val="auto"/>
                <w:w w:val="99"/>
              </w:rPr>
              <w:t>3%</w:t>
            </w:r>
          </w:p>
        </w:tc>
        <w:tc>
          <w:tcPr>
            <w:tcW w:w="11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21,695</w:t>
            </w: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22,202</w:t>
            </w:r>
          </w:p>
        </w:tc>
        <w:tc>
          <w:tcPr>
            <w:tcW w:w="10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Note: Percent change and amounts may not total due to rounding.</w:t>
      </w:r>
    </w:p>
    <w:p>
      <w:pPr>
        <w:spacing w:after="0" w:line="250"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Other net sales were $ 10.5 million in the second quarter of 2022, an increase of 42%, compared to $7.4 million in the second quarter of 2021. This increase is in large part attributable to a 53% quarter over quarter increase in fire protection sales, which increased to $9.6 million in the second quarter of 2022, compared to $6.3 million in the second quarter of 2021. Dimmable aircraft sales decreased by 22% for the second quarter of 2022 to $0.8 million, from $1.1 million in the second quarter of 2021.</w:t>
      </w:r>
    </w:p>
    <w:p>
      <w:pPr>
        <w:spacing w:after="0" w:line="3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to 68.0% for the second quarter of 2022, versus</w:t>
      </w:r>
      <w:r>
        <w:rPr>
          <w:rFonts w:ascii="Arial" w:cs="Arial" w:eastAsia="Arial" w:hAnsi="Arial"/>
          <w:sz w:val="18"/>
          <w:szCs w:val="18"/>
          <w:i w:val="1"/>
          <w:iCs w:val="1"/>
          <w:color w:val="auto"/>
        </w:rPr>
        <w:t xml:space="preserve"> </w:t>
      </w:r>
      <w:r>
        <w:rPr>
          <w:rFonts w:ascii="Arial" w:cs="Arial" w:eastAsia="Arial" w:hAnsi="Arial"/>
          <w:sz w:val="18"/>
          <w:szCs w:val="18"/>
          <w:color w:val="auto"/>
        </w:rPr>
        <w:t>64.6% in the same quarter last year. The quarter over quarter decrease in the gross profit margin was primarily the result of raw material cost increases, labor cost increases in response to a tight labor market, product mix shifts, and annual customer price reductions. On a quarter over quarter basis, raw material increases had a negative impact of approximately 150 - 200 basis points on gross margin. Both labor cost increases and product mix shifts each had a separate negative impact on gross margin of approximately 50 - 100 basis points on a quarter over quarter. Annual customer price reductions had a negative impact of approximately 100 - 150 basis points on gross margin on a quarter over quarter basis.</w:t>
      </w:r>
    </w:p>
    <w:p>
      <w:pPr>
        <w:spacing w:after="0" w:line="331"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 R &amp; D") expenses for the second quarter of 2022 increased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$3.8 million when compared with the second quarter of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FAAC16"/>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3" w:name="page24"/>
    <w:bookmarkEnd w:id="23"/>
    <w:p>
      <w:pPr>
        <w:jc w:val="both"/>
        <w:spacing w:after="0" w:line="262" w:lineRule="auto"/>
        <w:rPr>
          <w:sz w:val="20"/>
          <w:szCs w:val="20"/>
          <w:color w:val="auto"/>
        </w:rPr>
      </w:pPr>
      <w:r>
        <w:rPr>
          <w:rFonts w:ascii="Arial" w:cs="Arial" w:eastAsia="Arial" w:hAnsi="Arial"/>
          <w:sz w:val="18"/>
          <w:szCs w:val="18"/>
          <w:color w:val="auto"/>
        </w:rPr>
        <w:t>Selling, general and administrative ("S, G &amp; A") expenses increased by 31% or $7.1 million for the second quarter of 2022 compared to the second quarter of 2021. S, G &amp; A expenses were 6% of net sales in the second quarter of 2022, compared to 5% of net sales in the second quarter of 2021. S, G, &amp; A expenses increased on a quarter over quarter basis primarily due to staffing and professional fees, outbound freight expenses and travel related expenses.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operating expenses were $62.6 million in the second quarter of 2022, which increased by 21% or $10.9 million, from $51.7 million in the second quarter of 2021.</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u w:val="single" w:color="auto"/>
          <w:color w:val="auto"/>
        </w:rPr>
        <w:t>Total Other (Loss)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second quarter of 2022 decreased by $2.9 million when compared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2021.</w:t>
      </w:r>
    </w:p>
    <w:p>
      <w:pPr>
        <w:spacing w:after="0" w:line="3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14.6% for, and an income tax expense of $12.4 million was recorded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2022 compared to an income tax expense of $15.3 million for the same quarter of 2021. Typically, effective tax rates for the Company differ from statutory federal income tax rates, due to provisions for state and local income taxes, permanent tax differences, research and development tax credits and the foreign-derived intangible income tax deduction.</w:t>
      </w:r>
    </w:p>
    <w:p>
      <w:pPr>
        <w:spacing w:after="0" w:line="9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second quarter of 2022 was $72.4 million, down from a net income of $86.5 million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2021.</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second quarter of 2022 of $0.31 which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diluted share of $0.36 for the second quarter of 2021.</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JUNE 30, 2022 VERSUS SIX MONTHS ENDED JUNE 30, 2021</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six months ended June 30, 2022 increased by $19.9 million or 2% when compared with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2021.</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Automotive net sales for the first six months of 2022 were $910.9 million, up 2% compared with automotive net sales of $896.2 million for the first six months of 2021, despite a 2% period over period decrease in automotive mirror unit shipments. International automotive mirror shipments in the six months ended June 30, 2022 decreased 5% to 14.5 million units compared with the same period in 2021.</w:t>
      </w:r>
    </w:p>
    <w:p>
      <w:pPr>
        <w:spacing w:after="0" w:line="3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to 66.9% for the first six months of 2022, versus</w:t>
      </w:r>
      <w:r>
        <w:rPr>
          <w:rFonts w:ascii="Arial" w:cs="Arial" w:eastAsia="Arial" w:hAnsi="Arial"/>
          <w:sz w:val="18"/>
          <w:szCs w:val="18"/>
          <w:i w:val="1"/>
          <w:iCs w:val="1"/>
          <w:color w:val="auto"/>
        </w:rPr>
        <w:t xml:space="preserve"> </w:t>
      </w:r>
      <w:r>
        <w:rPr>
          <w:rFonts w:ascii="Arial" w:cs="Arial" w:eastAsia="Arial" w:hAnsi="Arial"/>
          <w:sz w:val="18"/>
          <w:szCs w:val="18"/>
          <w:color w:val="auto"/>
        </w:rPr>
        <w:t>63.3% in the same period last year. The period over period decrease in the gross profit margin was primarily the result of raw material cost increases, labor cost increases in response to a tight labor market, and annual customer price reductions. On a period over period basis, raw material increases had a negative impact of approximately 150 - 200 basis points on gross margin. Labor cost increases had a negative impact on gross margin of approximately 50 - 100 basis points on a period over period basis. Annual customer price reductions had a negative impact of approximately 100 - 150 basis points on gross margin on a period over period basis.</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 R &amp; D expenses for the six months ended June 30, 2022 were $64.8 million, compared with $56.7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last year. The 14% increase in E, R &amp; D expenses in the first six months of 2022 compared to the same period in 2021 was primarily due to additional staffing and professional fees, related to new product development and the ongoing product re-designs necessary to mitigate electronics part shortages.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 G &amp; A expenses for the first six months of 2022 increased 23% or $10.3 million when compared with the same period last year. This increase in S, G &amp; A expenses in the first six months of 2022 compared to the first six months of 2021 was primarily due to staffing and professional fees, increases in outbound freight expenses, and the return of in-person customer meetings and trade show related expenses.</w:t>
      </w:r>
    </w:p>
    <w:p>
      <w:pPr>
        <w:spacing w:after="0" w:line="9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u w:val="single" w:color="auto"/>
          <w:color w:val="auto"/>
        </w:rPr>
        <w:t>Total Other (Loss)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loss for the six months ended June 30, 2022 was $1.0 million, compared with a total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of $3.4 million for the same period last year.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24" w:name="page25"/>
    <w:bookmarkEnd w:id="24"/>
    <w:p>
      <w:pPr>
        <w:jc w:val="both"/>
        <w:spacing w:after="0" w:line="262"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15.0% for the six months ended June 30, 2022 compared to 15.7%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2021. Generally, effective tax rates for these periods differ from statutory federal income tax rates, due to provisions for state and local income taxes, permanent tax differences, the foreign-derived intangible income tax deduction and research and development tax credits.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six months ended June 30, 2022 decreased by $ 40.0 million or 20% to $159.9 million versus</w:t>
      </w:r>
      <w:r>
        <w:rPr>
          <w:rFonts w:ascii="Arial" w:cs="Arial" w:eastAsia="Arial" w:hAnsi="Arial"/>
          <w:sz w:val="18"/>
          <w:szCs w:val="18"/>
          <w:i w:val="1"/>
          <w:iCs w:val="1"/>
          <w:color w:val="auto"/>
        </w:rPr>
        <w:t xml:space="preserve"> </w:t>
      </w:r>
      <w:r>
        <w:rPr>
          <w:rFonts w:ascii="Arial" w:cs="Arial" w:eastAsia="Arial" w:hAnsi="Arial"/>
          <w:sz w:val="18"/>
          <w:szCs w:val="18"/>
          <w:color w:val="auto"/>
        </w:rPr>
        <w:t>$200.0 million in the same period last year. The decrease in net income was primarily the result of the period over period changes in sales, gross margins and operating profits.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six months ended June 30, 2022 of $0.68 which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earnings per diluted share of $0.82 for the six months ended June 30, 2021. The period over period decrease in earnings per share is primarily due to the lower net income, but was positively impacted by a lower diluted share count when compared to the same period of 2021.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cash and cash equivalents as of June 30, 2022 were $269.4 million, which increased $7.1 million compared to $262.3 million as of December 31, 2021. The increase was primarily due to cash flows from operations, which was partially offset by dividend payments, share repurchases, and capital expenditures, during the six months ended June 30, 2022.</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Short-term investments as of June 30, 2022 were $12.0 million, up from $5.4 million as of December 31, 2021, and long-term investments were $157.7 million as of June 30, 2022, compared to $207.7 million as of December 31, 2021. Equity method investments increased to $39.9 million, primarily as a result of additional investment purchases during the six months ended June 30, 2022.</w:t>
      </w:r>
    </w:p>
    <w:p>
      <w:pPr>
        <w:spacing w:after="0" w:line="1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Accounts receivable as of June 30, 2022 increased approximately $24.6 million compared to December 31, 2021, primarily due to the timing of sales during the most recently completed six months. As of June 30, 2022, all of the Company's material tier one and OEM customers continue to be in good standing.</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Inventories as of June 30, 2022 were $392.6 million, compared to $316.3 million as of December 31, 2021, primarily due to increases in raw materials and finished goods.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Accounts payable as of June 30, 2022 increased approximately $88.3 million to $186.6 million when compared to December 31, 2021, primarily driven by month end payment timing, increased inventory, and increased capital expenditures.</w:t>
      </w:r>
    </w:p>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Accrued liabilities as of June 30, 2022 increased approximately $16.2 million compared to December 31, 2021, primarily due to an increase in accrued salaries and wages, as well as accrued income taxes.</w:t>
      </w:r>
    </w:p>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Cash flow from operating activities for the six months ended June 30, 2022 decreased $63.0 million to $189.3 million, compared with $252.2 million during the same six month period last year, primarily due decreases in net income and changes in working capital.</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Capital expenditures for the six months ended June 30, 2022 were approximately $58.0 million, compared with approximately $31.4 million for the same six month period last year.</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facility needs. In the first quarter of 2022, the Company began construction on a 350,000 square-foot manufacturing facility located at a 140 acre site in Zeeland, Michigan, where the Company previously performed master planning and completed land infrastructure improvements. The total cost of the building project is expected to be approximately $80 - $90 million and will be funded with cash and cash equivalents on hand. The facility is expected to be operational in the fourth quarter of 2023. The Company has also begun construction on two building expansions during the second quarter of 2022. The Company is expanding its current distribution center for an additional 300,000 square feet, with a total cost expected to be approximately $40 - $45 million. The Company is also expanding one of its manufacturing facilities for an additional 60,000 feet, with a total cost expected to be $20 - $30 million. Both expansion projects will be funded with cash and cash equivalents on hand.</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estimates that it currently has building capacity to manufacture approximately 34 - 37 million interior mirror units annually and approximately 15 - 18 million exterior mirror units annually, based on current product mix. The Company also evaluates equipment capacity on an ongoing basis and adds equipment as needed.</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considers the current working capital and long-term investments, in addition to internally generated cash flow, its Credit Agreement, and credit worthiness, to be sufficient to cover anticipated cash needs for the foreseeable future considering its contractual obligations and commitments.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working capital and long-term investments: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2021</w:t>
            </w:r>
          </w:p>
        </w:tc>
      </w:tr>
      <w:tr>
        <w:trPr>
          <w:trHeight w:val="224"/>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705,714,844</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691,319,649</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157,704,267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207,693,147</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863,419,111</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899,012,796</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7" w:right="339" w:bottom="1440" w:gutter="0" w:footer="0" w:header="0"/>
        </w:sectPr>
      </w:pPr>
    </w:p>
    <w:bookmarkStart w:id="26" w:name="page27"/>
    <w:bookmarkEnd w:id="26"/>
    <w:p>
      <w:pPr>
        <w:jc w:val="both"/>
        <w:spacing w:after="0" w:line="256" w:lineRule="auto"/>
        <w:rPr>
          <w:sz w:val="20"/>
          <w:szCs w:val="20"/>
          <w:color w:val="auto"/>
        </w:rPr>
      </w:pPr>
      <w:r>
        <w:rPr>
          <w:rFonts w:ascii="Arial" w:cs="Arial" w:eastAsia="Arial" w:hAnsi="Arial"/>
          <w:sz w:val="18"/>
          <w:szCs w:val="18"/>
          <w:color w:val="auto"/>
        </w:rPr>
        <w:t xml:space="preserve">The Company has a previously announced share repurchase plan under which the Board of Directors has authorized the repurchase of shares of the Company's common stock, which remains a part of the broader publicly disclosed capital allocation strategy. Future share repurchases may vary from time to time and will take into account macroeconomic events (including the COVID-19 pandemic, industry-wide parts shortages, and global supply chain and labor constraints), market trends, and other factors the Company deems appropriate (including the market price of the stock, anti-dilutive effect of repurchases, and available cash). During the six months ended June 30, 2022, the Company repurchased 2,440,190 shares. The Company has 22,383,878 shares remaining under the plan as of June 30, 2022, as is further detailed in </w:t>
      </w:r>
      <w:r>
        <w:rPr>
          <w:rFonts w:ascii="Arial" w:cs="Arial" w:eastAsia="Arial" w:hAnsi="Arial"/>
          <w:sz w:val="18"/>
          <w:szCs w:val="18"/>
          <w:u w:val="single" w:color="auto"/>
          <w:color w:val="auto"/>
        </w:rPr>
        <w:t>Part II, Item 2</w:t>
      </w:r>
      <w:r>
        <w:rPr>
          <w:rFonts w:ascii="Arial" w:cs="Arial" w:eastAsia="Arial" w:hAnsi="Arial"/>
          <w:sz w:val="18"/>
          <w:szCs w:val="18"/>
          <w:color w:val="auto"/>
        </w:rPr>
        <w:t xml:space="preserve"> of this Form 10-Q.</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second quarter of 2022, the Company reported net sales of $463.4 million, compared to net sales of $428.0 million in the second quarter of 2021. For the second quarter of 2022, global light vehicle production decreased approximately 3% when compared to the second quarter of 2021. Additionally, light vehicle production in the Company's primary markets of North America, Europe and Japan/Korea, declined by 1% on a quarter over quarter basis. These declines were primarily a result of the ongoing industry-wide component shortages and global supply chain constraints. Additionally, when compared to the mid-April 2022 IHS Markit light vehicle production forecast in the Company’s primary regions, actual light vehicle production during the second quarter of 2022 declined in excess of 4%.</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When looking forward into the third quarter and into 2023, the Company believes that the overall demand for vehicles and its products should still provide opportunities for the Company to continue to outperform the underlying market.</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second quarter of 2022, the Company had 44 total new launches of interior and exterior auto-dimming mirrors and electronic features. Among these launches in the second quarter of 2022, there were several new base inside auto-dimming mirror launches and 40% were for the China domestic market.</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engaged in ongoing conversations with certain customers regarding the inflationary aspects of the business and how to address the higher cost structure that has come as a result of electronics and supply chain and labor shortages during the last 18 months. The Company is working in a collaborative manner with its customers with the goal of growing the business and maintaining good business relationships, while at the same time meaningfully addressing the impact of existing inflationary pressures. These conversations and negotiations are expected to last throughout 2022 and likely into calendar 2023 for some customers.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Camera Systems</w:t>
      </w:r>
    </w:p>
    <w:p>
      <w:pPr>
        <w:spacing w:after="0" w:line="24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production in the fourth quarter of 2015. Current automotive design trends are yielding vehicles with small rear windows that are often further obstructed by headrests, passengers, and roof support pillars which can significantly hinder the mirror’s rearward view.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offers bi-modal functionality. In mirror mode, the product functions as an auto-dimming rearview mirror which means that during nighttime driving, digital light 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essential, because in the event of any failure of the camera or display, the product is able to function as a mirror, which meets long-standing safety requirements in the automotive industry. In addition, the driver has the ability to switch between modes to accommodate usage preferences for various weather conditions, lighting conditions, and driving tasks.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4" w:right="339" w:bottom="1440" w:gutter="0" w:footer="0" w:header="0"/>
        </w:sectPr>
      </w:pPr>
    </w:p>
    <w:bookmarkStart w:id="27" w:name="page28"/>
    <w:bookmarkEnd w:id="27"/>
    <w:p>
      <w:pPr>
        <w:jc w:val="both"/>
        <w:spacing w:after="0" w:line="226" w:lineRule="auto"/>
        <w:rPr>
          <w:sz w:val="20"/>
          <w:szCs w:val="20"/>
          <w:color w:val="auto"/>
        </w:rPr>
      </w:pPr>
      <w:r>
        <w:rPr>
          <w:rFonts w:ascii="Arial" w:cs="Arial" w:eastAsia="Arial" w:hAnsi="Arial"/>
          <w:sz w:val="18"/>
          <w:szCs w:val="18"/>
          <w:color w:val="auto"/>
        </w:rPr>
        <w:t>As of the second quarter of 2022, the Company is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thirteen different automaker customers, which are General Motors, Subaru, Toyota, Nissan, Jaguar Land Rover, Mitsubishi, Aston Martin, Stellantis, along with Maserati and Fiat, Mercedes, Ferrari, and Ford. As of the end of the first quarter of 2022, the Company is shipping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72 nameplates. The second quarter 2020 launch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Toyota Harrier was the first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launch with Digital Video Recording ("DVR") capability. This mirror and system launched in the Japan market, and combine the superior functionality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the added capability to record video from the rearward facing and forward-facing cameras simultaneously. Per OEM request, the data is stored to an SD storage card. This integrated solution provides consumers with the features they want, while allowing the OEM to control the integration and execution in the vehicle. The Company remains confident that ongoing discussions with certain other customers may in the future cause such customers to consider adding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into their product road-map for future vehicles. As of the end of the second quarter of 2022, the Company has been awarded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programs with 14 OEMs.</w:t>
      </w:r>
    </w:p>
    <w:p>
      <w:pPr>
        <w:spacing w:after="0" w:line="15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enhance capability and usability of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previously introduced its three-camera rear vision system that streams rear video in multiple composite views to its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believes it is the industry’s first practical and comprehensive rear vision solution designed to meet automaker, driver, safety and regulatory requirements. The Company's rear vision system, known generally as a camera monitoring system ("CMS"), uses three cameras to provide a comprehensive view of the sides and rear of the vehicle. The side-view cameras are discretely housed in downsized, automatic-dimming exterior mirrors. Their video feeds are combined with that of a roof-mounted or rear window based camera and stitched together into multiple composite views, which are streamed to the driver using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thereby enhancing safety by allowing the system to fail safe. During any failures due to weather conditions or otherwise that disrupt the digital view, drivers can still safely use the interior and exterior mirrors. The system also supports user preference by permitting drivers to use standard mirror views, camera views, or both. The system can also be tuned to meet the various regulatory field-of-view requirements around the world by using different types of flat and curved glass, combined with simple alterations to the video viewing modes.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On March 31, 2014, the Alliance of Automobile Manufacturers petitioned the National Highway Traffic Safety Administration</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("NHTSA") to allow automakers to use cameras as an option to replace conventional rearview mirrors within the United States. At the annual SAE Government-Industry Meeting in January 2017, NHTSA requested that SAE develop Recommended Procedures for test protocols and performance criteria for camera monitoring systems that would replace mirror systems on light vehicles in the U.S. market. SAE assigned the task to the Driver Vision Committee, and the SAE Driver Vision Committee created a CMS Task Force to draft the Recommended Procedures. NHTSA published a report dated October 2018 related to camera monitoring systems for outside mirror replacements. On October 10, 2019, an Advanced Notice of Proposed Rulemaking (ANPRM) was published seeking public comment on permitting camera-based rear visibility systems, as an alternative to inside and outside rearview mirrors required under Federal motor vehicle safety standard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18, 2019, a petition for temporary exemption from FMVSS 111 submitted by Audi of America was published requesting NHTSA to grant a two-year exemption to sell up to 2,500 vehicles for each twelve month period (up to 5,000 vehicles) that are equipped with camera monitoring systems and do not include FMVSS 111 compliant outside mirrors.</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28" w:right="339" w:bottom="1440" w:gutter="0" w:footer="0" w:header="0"/>
        </w:sectPr>
      </w:pPr>
    </w:p>
    <w:bookmarkStart w:id="28" w:name="page29"/>
    <w:bookmarkEnd w:id="28"/>
    <w:p>
      <w:pPr>
        <w:jc w:val="both"/>
        <w:spacing w:after="0" w:line="244"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CMS to replace mirrors in Japan and European countries. Since January 2017, camera monitoring systems are also permitted as an alternative to replace mirrors in the Korean market.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As noted, the Company has been in production with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since 2015 and has, in the ordinary course of business, been awarded programs with fourteen OEM customers. The Company is currently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thirteen automaker customers. The Company's CMS solution uses three cameras to provide a comprehensive view of the sides and rear of the vehicle while still providing the traditional safety of interior and exterior mirrors, which mirrors continue to function when cameras are obstructed or are not functioning. The Company has also previously announced that it continues development in the areas of imager performance, camera dynamic range, lens design, image processing from the camera to the display, and camera lens cleaning. The Company acknowledges that as such technology evolves over time, such as cameras replacing mirrors and/or autonomous driving, there will be increased competition.</w:t>
      </w:r>
    </w:p>
    <w:p>
      <w:pPr>
        <w:spacing w:after="0" w:line="11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Company's proprietary high beam control system integrated into its auto-dimming mirror.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Generation 4, which was developed using the fourth generation of the Company's custom designed CMOS imager, has an advanced feature set made possible by the high dynamic range of the imager including: high beam assist; dynamic forward lighting with high beams constantly on; LED matrix beam; and a variety of specific detection applications including tunnel, fog and road type as well as certain lane tracking features to assist with lighting control. The Company has the ability to package the control electronics inside of its interior rearview mirrors with a self-calibrating camera attached to the mirror mount with optimal mechanical packaging which also provides for ease of service. In addition, the Company has long been integrating its camera products to optimize performance by combining with other systems on the vehicle, including radar, navigation, steering and related modules provided by other suppliers. This enables the Company to provide its customers with highly customizable solutions that meets their unique needs and specifications.</w:t>
      </w:r>
    </w:p>
    <w:p>
      <w:pPr>
        <w:spacing w:after="0" w:line="22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European New Car Assessment Program ("Euro NCAP") provides an incentive for automobiles sold in Europe to apply safety technologies that include driver assist features such as lane detection, vehicle detection, and pedestrian detection as standard equipment. Euro NCAP compliant driver assist systems are also capable of including high beam assist as a function. The increased application of Euro NCAP on European vehicles has had the effect of replacing, and could potentially continue replacing,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on these vehicles.</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December 8, 2015 NHTSA proposed changes to the NHTSA's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 NHTSA initially intended to implement the enhancements in NCAP in 2018, beginning with model year 2019 vehicles. The NCAP implementation has been delayed. Under these proposed changes, the Company believes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will qualify with the semi-automatic headlamp NCAP rating system, and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and exterior mirrors with blind spot alert lighting can be included in a system that qualifies with the lower beam headlamp performance and blind spot detection NCAP rating system, respectively. On October 16, 2019, NHTSA issued a press release comparing NCAP to other regions’ version of NCAP, identified new technologies that are not currently included in NCAP, and suggested Congress legislatively direct actions to improve NCAP. In March 2020, HR 6256 was introduced, which would require NHTSA to update NCAP. There are multiple bills being discussed in both the U.S. House of Representatives and the U.S. Senate that relate to NCAP.</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On October 12, 2018, NHTSA published a Notice of Proposed Rulemaking ("NPRM") for amendments to Federal Motor Vehicle Safety Standard ("FMVSS") No. 108: </w:t>
      </w:r>
      <w:r>
        <w:rPr>
          <w:rFonts w:ascii="Arial" w:cs="Arial" w:eastAsia="Arial" w:hAnsi="Arial"/>
          <w:sz w:val="18"/>
          <w:szCs w:val="18"/>
          <w:i w:val="1"/>
          <w:iCs w:val="1"/>
          <w:color w:val="auto"/>
        </w:rPr>
        <w:t>Lamps, reflective devices, and associated</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9" w:right="339" w:bottom="1440" w:gutter="0" w:footer="0" w:header="0"/>
        </w:sectPr>
      </w:pPr>
    </w:p>
    <w:bookmarkStart w:id="29" w:name="page30"/>
    <w:bookmarkEnd w:id="29"/>
    <w:p>
      <w:pPr>
        <w:jc w:val="both"/>
        <w:spacing w:after="0" w:line="231" w:lineRule="auto"/>
        <w:rPr>
          <w:sz w:val="20"/>
          <w:szCs w:val="20"/>
          <w:color w:val="auto"/>
        </w:rPr>
      </w:pPr>
      <w:r>
        <w:rPr>
          <w:rFonts w:ascii="Arial" w:cs="Arial" w:eastAsia="Arial" w:hAnsi="Arial"/>
          <w:sz w:val="18"/>
          <w:szCs w:val="18"/>
          <w:i w:val="1"/>
          <w:iCs w:val="1"/>
          <w:color w:val="auto"/>
        </w:rPr>
        <w:t>equipment</w:t>
      </w:r>
      <w:r>
        <w:rPr>
          <w:rFonts w:ascii="Arial" w:cs="Arial" w:eastAsia="Arial" w:hAnsi="Arial"/>
          <w:sz w:val="18"/>
          <w:szCs w:val="18"/>
          <w:color w:val="auto"/>
        </w:rPr>
        <w:t>, and initiated a comment period. The NPRM proposes amendments that would permit the certification of adaptive driving</w:t>
      </w:r>
      <w:r>
        <w:rPr>
          <w:rFonts w:ascii="Arial" w:cs="Arial" w:eastAsia="Arial" w:hAnsi="Arial"/>
          <w:sz w:val="18"/>
          <w:szCs w:val="18"/>
          <w:i w:val="1"/>
          <w:iCs w:val="1"/>
          <w:color w:val="auto"/>
        </w:rPr>
        <w:t xml:space="preserve"> </w:t>
      </w:r>
      <w:r>
        <w:rPr>
          <w:rFonts w:ascii="Arial" w:cs="Arial" w:eastAsia="Arial" w:hAnsi="Arial"/>
          <w:sz w:val="18"/>
          <w:szCs w:val="18"/>
          <w:color w:val="auto"/>
        </w:rPr>
        <w:t>beam headlighting systems, if the manufacturer chooses to equip vehicles with these systems. NHTSA proposes to establish appropriate performance requirements to ensure the safe introduction of adaptive driving beam headlighting systems if equipped on newly manufactured vehicles. The Company believes that its dynamic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control system (dynamic forward lighting or DFL), which has been sold in markets outside of North America for several years, will meet the requirements of the new FMVSS 108 standards, if amended.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has and will continue to be affected by increased competition by suppliers of multi-function driver assist camera products, which are able to achieve some of the same functionality as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 at a lower cost, due to other suppliers leveraging similar hardware costs, but offering products with multiple software features.</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noted, on October 10, 2019, an Advanced Notice of Proposed Rulemaking ("ANPRM") was published seeking public comment on permitting camera-based rear visibility systems, as an alternative to inside and outside rearview mirrors required under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February 1, 2022, NHTSA signed a Final Rule to allow for adaptive driving beam headlights and such Final Rule is awaiting publication in the Federal Registrar. The Company believes its adaptive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(dynamic lighting system), which has been manufactured and sold for many years in jurisdictions outside the United States, will be permitted under the NHTSA Final Rule.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Connected Car</w:t>
      </w:r>
    </w:p>
    <w:p>
      <w:pPr>
        <w:spacing w:after="0" w:line="142"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The Company's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are the auto industry's most widely used and trusted car-to-home communication system, with an estimated 50 million units on the road. The system consists of two or three in-vehicle buttons that can be programmed to operate garage doors, security gates, home lighting, and other radio-frequency-controlled devices. During the first quarter of 2017, the Company demonstrated the next generation of HomeLink</w:t>
      </w:r>
      <w:r>
        <w:rPr>
          <w:rFonts w:ascii="Arial" w:cs="Arial" w:eastAsia="Arial" w:hAnsi="Arial"/>
          <w:sz w:val="23"/>
          <w:szCs w:val="23"/>
          <w:color w:val="auto"/>
          <w:vertAlign w:val="superscript"/>
        </w:rPr>
        <w:t>®</w:t>
      </w:r>
      <w:r>
        <w:rPr>
          <w:rFonts w:ascii="Arial" w:cs="Arial" w:eastAsia="Arial" w:hAnsi="Arial"/>
          <w:sz w:val="18"/>
          <w:szCs w:val="18"/>
          <w:color w:val="auto"/>
        </w:rPr>
        <w:t>, commonly referred to as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which uses both RF and wireless cloud-based connectivity to deliver complete vehicle-to-home automation. With HomeLink Connect</w:t>
      </w:r>
      <w:r>
        <w:rPr>
          <w:rFonts w:ascii="Arial" w:cs="Arial" w:eastAsia="Arial" w:hAnsi="Arial"/>
          <w:sz w:val="23"/>
          <w:szCs w:val="23"/>
          <w:color w:val="auto"/>
          <w:vertAlign w:val="superscript"/>
        </w:rPr>
        <w:t>®</w:t>
      </w:r>
      <w:r>
        <w:rPr>
          <w:rFonts w:ascii="Arial" w:cs="Arial" w:eastAsia="Arial" w:hAnsi="Arial"/>
          <w:sz w:val="18"/>
          <w:szCs w:val="18"/>
          <w:color w:val="auto"/>
        </w:rPr>
        <w:t>, a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 press communicates with the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on the user’s smartphone. The app contains predefined, user-programmed actions, from single device operations to entire home automation scenes. The app, in turn, communicates to the home’s smart hub over the cloud activates the appropriate devices, including security systems, door locks, thermostats, lighting, and other home automation devices, providing comprehensive vehicle-to-home automation. The ability to prepare the home for arrival or departure can occur with one button press. For the automaker, it allows them to offer a customizable, yet proven solution without the engineering effort or security concerns associated with integrating third party software into the vehicle’s computer network. The Company also continues to work on providing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for alternative automobile and vehicle types which include but are not limited to motorcycles, mopeds, snowmobiles, tractors, combines, lawn mowers, loaders, bulldozers, road-graders, backhoes and golf carts. In May 2021, the Company announced the Volkswagen as the first automaker to offer Bluetooth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enabled mirror for home automation that works in conjunction with HomeLink Connect</w:t>
      </w:r>
      <w:r>
        <w:rPr>
          <w:rFonts w:ascii="Arial" w:cs="Arial" w:eastAsia="Arial" w:hAnsi="Arial"/>
          <w:sz w:val="23"/>
          <w:szCs w:val="23"/>
          <w:color w:val="auto"/>
          <w:vertAlign w:val="superscript"/>
        </w:rPr>
        <w:t>®</w:t>
      </w:r>
      <w:r>
        <w:rPr>
          <w:rFonts w:ascii="Arial" w:cs="Arial" w:eastAsia="Arial" w:hAnsi="Arial"/>
          <w:sz w:val="18"/>
          <w:szCs w:val="18"/>
          <w:color w:val="auto"/>
        </w:rPr>
        <w:t>. The Company further continues to work with compatibility partners for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in newer markets like China. The unique attributes of the China market allow for potential different use cases of these products and offer the potential for additional growth opportunities for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and products. In 2017, the Company began its first volume production shipments of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units on vehicles for the China market.</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the Company announced a partnership with TransCore to provide automobile manufacturers with a vehicle-integrated tolling solution that enables motorists to drive on nearly all U.S. toll roads without a traditional toll tag on the windshield. Currently more than 75 percent of new car registrations are in states with toll roads with over 50 million drivers accessing these roads each year. The interior mirror is the optimal location for a vehicle-integrated toll transponder and it eliminates the need to affix multiple toll tags to the windshield and helps automakers seamlessly integrate toll collection into the car. Since the</w:t>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30" w:name="page31"/>
    <w:bookmarkEnd w:id="30"/>
    <w:p>
      <w:pPr>
        <w:jc w:val="both"/>
        <w:spacing w:after="0" w:line="230" w:lineRule="auto"/>
        <w:rPr>
          <w:sz w:val="20"/>
          <w:szCs w:val="20"/>
          <w:color w:val="auto"/>
        </w:rPr>
      </w:pPr>
      <w:r>
        <w:rPr>
          <w:rFonts w:ascii="Arial" w:cs="Arial" w:eastAsia="Arial" w:hAnsi="Arial"/>
          <w:sz w:val="18"/>
          <w:szCs w:val="18"/>
          <w:color w:val="auto"/>
        </w:rPr>
        <w:t>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provides transportation agencies with an interoperability solution without costly infrastructure changes to the thousands of miles of toll lanes throughout North America. The Company believes that this product could potentially represent another growth opportunity over the next several years.</w:t>
      </w:r>
    </w:p>
    <w:p>
      <w:pPr>
        <w:spacing w:after="0" w:line="221"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The Company has its first OEM award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Audi. Currently, the Company is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11 platforms, which are: the A4, A5, A6, A7, A8, Q5, Q5 Sportback, Q7, Q8, e-tron, and the e-tron Sportback. The Company expects further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nameplate launches with Audi throughout 2022 and 2023. During the third quarter of 2021, the Company began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a second OEM customer, Mercedes, on the EQS model. In April 2020, the Company was honored with an Automotive News PACE Award for its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which recognizes automotive suppliers for superior innovation, technological advancement, and business performance.</w:t>
      </w:r>
    </w:p>
    <w:p>
      <w:pPr>
        <w:spacing w:after="0" w:line="22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Further, the Company has previously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3"/>
          <w:szCs w:val="23"/>
          <w:color w:val="auto"/>
          <w:vertAlign w:val="superscript"/>
        </w:rPr>
        <w:t>®</w:t>
      </w:r>
      <w:r>
        <w:rPr>
          <w:rFonts w:ascii="Arial" w:cs="Arial" w:eastAsia="Arial" w:hAnsi="Arial"/>
          <w:sz w:val="18"/>
          <w:szCs w:val="18"/>
          <w:color w:val="auto"/>
        </w:rPr>
        <w:t>. The biometric system will allow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 The Company announced in January 2018 that it completed an exclusive licensing agreement, in the ordinary course of business, with Fingerprint Cards AB to deploy its ActiveIRIS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iris-scanning biometric technology in automotive applications.</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2020, the Company announced a partnership, in the ordinary course of business, with PayByCar™, to pursue compatibility between the Company's Integrated Toll Module and PayByCar's innovative payment solution that allows drivers to use their smartphones and toll transponder to fuel up at certain gas stations without using cash or a credit card. Compatibility between these two technologies can help to grow each company's respective consumer base while introducing new users to the benefits of the transactional vehicle.</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 the automotive industry’s leading car-to-home automation system. HomeLink® consists of vehicle-integrated buttons that can be programmed to operate a myriad of home automation devices. Integration of Simplenight into the Company's HomeLink Connect® app is underway and will allow users to program their HomeLink® buttons and control cloud-based devices from their vehicles.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Dimmable Devices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other aircraft manufacturers that have an interest in this technology regarding potential additional programs. In January 2019, the Company announced that its latest generation of dimmable aircraft windows will be offered as optional content on the new Boeing 777X. During the third quarter of 2019, the first production shipments of variably dimmable windows were made to Boeing for the 777X program. In January 2020, the Company announced that</w:t>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28" w:right="339" w:bottom="1440" w:gutter="0" w:footer="0" w:header="0"/>
        </w:sectPr>
      </w:pPr>
    </w:p>
    <w:bookmarkStart w:id="31" w:name="page32"/>
    <w:bookmarkEnd w:id="31"/>
    <w:p>
      <w:pPr>
        <w:jc w:val="both"/>
        <w:ind w:right="20"/>
        <w:spacing w:after="0" w:line="287" w:lineRule="auto"/>
        <w:rPr>
          <w:sz w:val="20"/>
          <w:szCs w:val="20"/>
          <w:color w:val="auto"/>
        </w:rPr>
      </w:pPr>
      <w:r>
        <w:rPr>
          <w:rFonts w:ascii="Arial" w:cs="Arial" w:eastAsia="Arial" w:hAnsi="Arial"/>
          <w:sz w:val="18"/>
          <w:szCs w:val="18"/>
          <w:color w:val="auto"/>
        </w:rPr>
        <w:t>Airbus will also be offering the Company's dimmable aircraft windows on an aircraft with production having began in the fourth quarter of 2021.</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 month 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 In 2022, the Company continues to further develop and work on the intelligent medical lighting system in order to assess system performance and work toward obtaining any necessary approvals.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Automotive revenues represent approximately 97% - 99% of the Company's total revenue, consisting of interior and exterior electrochromic automatic-dimming rearview mirrors and automotive electronics.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as the Company engages with automotive customers regarding the inflationary aspects of the business, it continues to experience pricing pressure from such customers and competitors, in addition to raw material cost increases, labor cost increases, and logistics costs, which will continue to cause downward pressure on its sales and profit margins. The Company works continuously to offset these supply chain issues and inflationary pressures with engineering and purchasing cost reductions, productivity improvements, increases in unit sales volume, and negotiations with customers to reduce the impact of the inflationary pressures, but there is no assurance the Company will be able to do so in the future.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can be affected by uncertain economic conditions that can reduce demand for its products, including the current inflationary environment. The Company has been likewise affected by the COVID-19 pandemic and industry-wide parts shortages and global supply constraints and labor shortages.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dimmable devices, electronics and other features that it offers for the automotive, aerospace and medical industry.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most recent forecasts for light vehicle production for the third quarter of 2022, and full years 2022 and 2023 are based on the mid-July 2022 IHS Markit light vehicle production forecast for light vehicle production in North America, Europe, Japan/Korea and China. Third quarter of 2022, and calendar years 2022 and 2023 forecasted light vehicle production volumes are shown below:</w:t>
      </w:r>
    </w:p>
    <w:p>
      <w:pPr>
        <w:spacing w:after="0" w:line="229" w:lineRule="exact"/>
        <w:rPr>
          <w:sz w:val="20"/>
          <w:szCs w:val="20"/>
          <w:color w:val="auto"/>
        </w:rPr>
      </w:pPr>
    </w:p>
    <w:p>
      <w:pPr>
        <w:jc w:val="center"/>
        <w:ind w:right="3540"/>
        <w:spacing w:after="0"/>
        <w:rPr>
          <w:sz w:val="20"/>
          <w:szCs w:val="20"/>
          <w:color w:val="auto"/>
        </w:rPr>
      </w:pPr>
      <w:r>
        <w:rPr>
          <w:rFonts w:ascii="Arial" w:cs="Arial" w:eastAsia="Arial" w:hAnsi="Arial"/>
          <w:sz w:val="19"/>
          <w:szCs w:val="19"/>
          <w:b w:val="1"/>
          <w:bCs w:val="1"/>
          <w:color w:val="auto"/>
        </w:rPr>
        <w:t>Light Vehicle Production (per IHS Markit Automotive mid-July light vehicle</w:t>
      </w:r>
    </w:p>
    <w:p>
      <w:pPr>
        <w:jc w:val="center"/>
        <w:ind w:right="3540"/>
        <w:spacing w:after="0"/>
        <w:rPr>
          <w:sz w:val="20"/>
          <w:szCs w:val="20"/>
          <w:color w:val="auto"/>
        </w:rPr>
      </w:pPr>
      <w:r>
        <w:rPr>
          <w:rFonts w:ascii="Arial" w:cs="Arial" w:eastAsia="Arial" w:hAnsi="Arial"/>
          <w:sz w:val="20"/>
          <w:szCs w:val="20"/>
          <w:b w:val="1"/>
          <w:bCs w:val="1"/>
          <w:color w:val="auto"/>
        </w:rPr>
        <w:t>production forecast)</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20"/>
          <w:szCs w:val="20"/>
          <w:b w:val="1"/>
          <w:bCs w:val="1"/>
          <w:i w:val="1"/>
          <w:iCs w:val="1"/>
          <w:color w:val="auto"/>
        </w:rPr>
        <w:t>(in Millions)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Q3</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Q3</w:t>
            </w:r>
          </w:p>
        </w:tc>
        <w:tc>
          <w:tcPr>
            <w:tcW w:w="7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0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Calendar Calendar Calendar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2023 vs</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2022 vs</w:t>
            </w:r>
          </w:p>
        </w:tc>
        <w:tc>
          <w:tcPr>
            <w:tcW w:w="0" w:type="dxa"/>
            <w:vAlign w:val="bottom"/>
          </w:tcPr>
          <w:p>
            <w:pPr>
              <w:spacing w:after="0"/>
              <w:rPr>
                <w:sz w:val="1"/>
                <w:szCs w:val="1"/>
                <w:color w:val="auto"/>
              </w:rPr>
            </w:pPr>
          </w:p>
        </w:tc>
      </w:tr>
      <w:tr>
        <w:trPr>
          <w:trHeight w:val="148"/>
        </w:trPr>
        <w:tc>
          <w:tcPr>
            <w:tcW w:w="1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Region</w:t>
            </w:r>
          </w:p>
        </w:tc>
        <w:tc>
          <w:tcPr>
            <w:tcW w:w="5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rPr>
              <w:t>Year</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Year</w:t>
            </w:r>
          </w:p>
        </w:tc>
        <w:tc>
          <w:tcPr>
            <w:tcW w:w="7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Year</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2022</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9"/>
        </w:trPr>
        <w:tc>
          <w:tcPr>
            <w:tcW w:w="1340" w:type="dxa"/>
            <w:vAlign w:val="bottom"/>
            <w:vMerge w:val="continue"/>
          </w:tcPr>
          <w:p>
            <w:pPr>
              <w:spacing w:after="0"/>
              <w:rPr>
                <w:sz w:val="16"/>
                <w:szCs w:val="16"/>
                <w:color w:val="auto"/>
              </w:rPr>
            </w:pPr>
          </w:p>
        </w:tc>
        <w:tc>
          <w:tcPr>
            <w:tcW w:w="540" w:type="dxa"/>
            <w:vAlign w:val="bottom"/>
          </w:tcPr>
          <w:p>
            <w:pPr>
              <w:ind w:left="10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 Change</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1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5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3.71</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16.41</w:t>
            </w:r>
          </w:p>
        </w:tc>
        <w:tc>
          <w:tcPr>
            <w:tcW w:w="6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14.70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1340" w:type="dxa"/>
            <w:vAlign w:val="bottom"/>
          </w:tcPr>
          <w:p>
            <w:pPr>
              <w:ind w:left="20"/>
              <w:spacing w:after="0"/>
              <w:rPr>
                <w:sz w:val="20"/>
                <w:szCs w:val="20"/>
                <w:color w:val="auto"/>
              </w:rPr>
            </w:pPr>
            <w:r>
              <w:rPr>
                <w:rFonts w:ascii="Arial" w:cs="Arial" w:eastAsia="Arial" w:hAnsi="Arial"/>
                <w:sz w:val="18"/>
                <w:szCs w:val="18"/>
                <w:color w:val="auto"/>
              </w:rPr>
              <w:t>Europe</w:t>
            </w:r>
          </w:p>
        </w:tc>
        <w:tc>
          <w:tcPr>
            <w:tcW w:w="540" w:type="dxa"/>
            <w:vAlign w:val="bottom"/>
          </w:tcPr>
          <w:p>
            <w:pPr>
              <w:ind w:left="100"/>
              <w:spacing w:after="0"/>
              <w:rPr>
                <w:sz w:val="20"/>
                <w:szCs w:val="20"/>
                <w:color w:val="auto"/>
              </w:rPr>
            </w:pPr>
            <w:r>
              <w:rPr>
                <w:rFonts w:ascii="Arial" w:cs="Arial" w:eastAsia="Arial" w:hAnsi="Arial"/>
                <w:sz w:val="18"/>
                <w:szCs w:val="18"/>
                <w:color w:val="auto"/>
              </w:rPr>
              <w:t>3.90</w:t>
            </w:r>
          </w:p>
        </w:tc>
        <w:tc>
          <w:tcPr>
            <w:tcW w:w="540" w:type="dxa"/>
            <w:vAlign w:val="bottom"/>
          </w:tcPr>
          <w:p>
            <w:pPr>
              <w:jc w:val="right"/>
              <w:spacing w:after="0"/>
              <w:rPr>
                <w:sz w:val="20"/>
                <w:szCs w:val="20"/>
                <w:color w:val="auto"/>
              </w:rPr>
            </w:pPr>
            <w:r>
              <w:rPr>
                <w:rFonts w:ascii="Arial" w:cs="Arial" w:eastAsia="Arial" w:hAnsi="Arial"/>
                <w:sz w:val="18"/>
                <w:szCs w:val="18"/>
                <w:color w:val="auto"/>
              </w:rPr>
              <w:t>2.98</w:t>
            </w:r>
          </w:p>
        </w:tc>
        <w:tc>
          <w:tcPr>
            <w:tcW w:w="72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17.98</w:t>
            </w: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16.33</w:t>
            </w:r>
          </w:p>
        </w:tc>
        <w:tc>
          <w:tcPr>
            <w:tcW w:w="640" w:type="dxa"/>
            <w:vAlign w:val="bottom"/>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75"/>
        </w:trPr>
        <w:tc>
          <w:tcPr>
            <w:tcW w:w="1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Japan and</w:t>
            </w:r>
          </w:p>
        </w:tc>
        <w:tc>
          <w:tcPr>
            <w:tcW w:w="5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2.95</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11.85</w:t>
            </w:r>
          </w:p>
        </w:tc>
        <w:tc>
          <w:tcPr>
            <w:tcW w:w="66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11.20</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8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Korea</w:t>
            </w:r>
          </w:p>
        </w:tc>
        <w:tc>
          <w:tcPr>
            <w:tcW w:w="540" w:type="dxa"/>
            <w:vAlign w:val="bottom"/>
            <w:vMerge w:val="continue"/>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tcBorders>
              <w:right w:val="single" w:sz="8" w:color="auto"/>
            </w:tcBorders>
            <w:vMerge w:val="continue"/>
            <w:shd w:val="clear" w:color="auto" w:fill="CCEEFF"/>
          </w:tcPr>
          <w:p>
            <w:pPr>
              <w:spacing w:after="0"/>
              <w:rPr>
                <w:sz w:val="21"/>
                <w:szCs w:val="21"/>
                <w:color w:val="auto"/>
              </w:rPr>
            </w:pPr>
          </w:p>
        </w:tc>
        <w:tc>
          <w:tcPr>
            <w:tcW w:w="860" w:type="dxa"/>
            <w:vAlign w:val="bottom"/>
            <w:tcBorders>
              <w:right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China</w:t>
            </w: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6.10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26.58</w:t>
            </w: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24.92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56"/>
        </w:trPr>
        <w:tc>
          <w:tcPr>
            <w:tcW w:w="13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Light</w:t>
            </w: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tcBorders>
              <w:right w:val="single" w:sz="8" w:color="auto"/>
            </w:tcBorders>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Vehicle</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16.66 13.73</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72.82</w:t>
            </w:r>
          </w:p>
        </w:tc>
        <w:tc>
          <w:tcPr>
            <w:tcW w:w="66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67.15</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8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6"/>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1080" w:type="dxa"/>
            <w:vAlign w:val="bottom"/>
            <w:tcBorders>
              <w:bottom w:val="single" w:sz="8" w:color="auto"/>
            </w:tcBorders>
            <w:gridSpan w:val="2"/>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Based on the aforementioned light vehicle production forecast and the results for the first six months of 2022, the Company is updating certain guidance for calendar year 2022 as shown below.</w:t>
      </w:r>
    </w:p>
    <w:p>
      <w:pPr>
        <w:spacing w:after="0" w:line="2" w:lineRule="exact"/>
        <w:rPr>
          <w:sz w:val="20"/>
          <w:szCs w:val="20"/>
          <w:color w:val="auto"/>
        </w:rPr>
      </w:pPr>
    </w:p>
    <w:p>
      <w:pPr>
        <w:ind w:left="640" w:hanging="320"/>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is expected to be between $1.87 and $1.97 billion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Gross Margin is expected to be between 33% and 34%</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Expenses are expected to be approximately $230 to $240 million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Estimated Annual Tax Rate, which assumes no changes to the statutory rate, is expected to be between 15% and 16%</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Expenditures are expected to be between $125 and $150 million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Depreciation and Amortization is expected to be between $100 and $105 million</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Due to high levels of volatility in customer orders and vehicle production volumes, electronics supply chain constraints, the Ukraine-Russia conflict, labor shortages, and overall economic uncertainty, the Company continues to expect that revenue will remain difficult to forecast for the remainder of the year. Other ongoing uncertainties remain including: light vehicle production levels; industry-wide parts shortages and global supply chain constraints; impacts of already in place and potential additional future tariffs; impacts of regulation changes; automotive plant shutdowns; vehicle sales rates in Europe, Asia and North America; OEM strategies and cost pressures; customer inventory management and the impact of potential automotive customer (including their Tier 1 suppliers) and supplier bankruptcies; work stoppages; etc., all of which could disrupt shipments to these customers and make forecasting difficult.</w:t>
      </w:r>
    </w:p>
    <w:p>
      <w:pPr>
        <w:spacing w:after="0" w:line="21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accordance with the previously announced share repurchase plan, the Company will consider the appropriateness of continuing to repurchase additional shares of common stock in the future in support of the capital allocation strategy, but share repurchases may vary from time to time and will take into account macroeconomic events (including the COVID-19 pandemic and shutdowns related to the microchip shortage as well as other supply chain and labor constraints), market trends, and other factors the Company deems appropriate (including the market price of the stock, anti-dilutive effect of repurchases, and available cash). As of June 30, 2022, the Company has 22.4 million shares remaining available for repurchase under the previously announced share repurchase plan.</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based on the mid-July 2022 light vehicle production estimates for 2023, the Company is providing revenue guidance for 2023, despite the fact that there continues to be uncertainty regarding: macroeconomic conditions (including inflation); underlying overall consumer demand for light vehicles worldwide; supply chain and labor constraints; and the continued impact from the COVID-19 pandemic. The Company now estimates that revenue for calendar year 2023 will be approximately 15% - 20% higher than the updated 2022 estimated revenue estimates of $1.87 - $1.97 billion. As noted above, continuing uncertainties make forecasting difficult.</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7"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4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17"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in its Annual Report on Form 10-K for the fiscal year ended December 31, 2021.</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and interest rate risk. Fluctuating interest rates could negatively impact the Company's financial performance due to realized losses on the sale of fixed income investments and/or recognized losses due to impairment of available for sale securities (mark-to-market adjustments). For the quarter ended June 30, 2022, any material changes in risk factors that were disclosed in the Company's report on Form 10-K for the year ended December 31, 2021 are set forth herein.</w:t>
      </w:r>
    </w:p>
    <w:p>
      <w:pPr>
        <w:spacing w:after="0" w:line="11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and Chinese Yuan Renminbi accounts, which currently are not significant overall to the Company as a whole. Because the Company sells its automotive mirrors throughout the world, and automotive manufacturing is highly dependent on general economic conditions and the global supply chain, the Company has been and will continue to be affected by uncertain economic conditions in North American and foreign markets, including inflation, that have and could continue to reduce demand for its products.</w:t>
      </w:r>
    </w:p>
    <w:p>
      <w:pPr>
        <w:spacing w:after="0" w:line="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June 30, 2022, and have concluded that as of that date, the Company's disclosure controls and procedures are effective.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June 30, 2022 that materially affected, or are reasonably likely to materially affect, the Company's internal control over financial reporting.</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This Quarterly Report contains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w:t>
      </w:r>
      <w:r>
        <w:rPr>
          <w:rFonts w:ascii="Arial" w:cs="Arial" w:eastAsia="Arial" w:hAnsi="Arial"/>
          <w:sz w:val="18"/>
          <w:szCs w:val="18"/>
          <w:color w:val="0A0A0A"/>
        </w:rPr>
        <w:t>These</w:t>
      </w:r>
      <w:r>
        <w:rPr>
          <w:rFonts w:ascii="Arial" w:cs="Arial" w:eastAsia="Arial" w:hAnsi="Arial"/>
          <w:sz w:val="18"/>
          <w:szCs w:val="18"/>
          <w:color w:val="auto"/>
        </w:rPr>
        <w:t xml:space="preserve"> </w:t>
      </w:r>
      <w:r>
        <w:rPr>
          <w:rFonts w:ascii="Arial" w:cs="Arial" w:eastAsia="Arial" w:hAnsi="Arial"/>
          <w:sz w:val="18"/>
          <w:szCs w:val="18"/>
          <w:color w:val="0A0A0A"/>
        </w:rPr>
        <w:t>forward-looking statements generally can be identified by the use of words such as “anticipate,” “believe,” “could,” “estimate,” “expect,” “forecast,” “future,” “goal,” “guidance,” “hope,” “intend,” “may,” “opinion,” “optimistic,” “plan,” “poised,” “predict,” “project,” “should,” “strategy,” “target,” “will,”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changes in consumer and customer preferences for our products (such as cameras replacing mirrors and/or</w:t>
      </w:r>
    </w:p>
    <w:p>
      <w:pPr>
        <w:sectPr>
          <w:pgSz w:w="11900" w:h="16838" w:orient="portrait"/>
          <w:cols w:equalWidth="0" w:num="1">
            <w:col w:w="11240"/>
          </w:cols>
          <w:pgMar w:left="320" w:top="1187"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type w:val="continuous"/>
        </w:sectPr>
      </w:pPr>
    </w:p>
    <w:bookmarkStart w:id="34" w:name="page35"/>
    <w:bookmarkEnd w:id="34"/>
    <w:p>
      <w:pPr>
        <w:jc w:val="both"/>
        <w:spacing w:after="0" w:line="253" w:lineRule="auto"/>
        <w:rPr>
          <w:sz w:val="20"/>
          <w:szCs w:val="20"/>
          <w:color w:val="auto"/>
        </w:rPr>
      </w:pPr>
      <w:r>
        <w:rPr>
          <w:rFonts w:ascii="Arial" w:cs="Arial" w:eastAsia="Arial" w:hAnsi="Arial"/>
          <w:sz w:val="18"/>
          <w:szCs w:val="18"/>
          <w:color w:val="0A0A0A"/>
        </w:rPr>
        <w:t>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 including securities litigation relating to the conduct of our business; the length and severity of the COVID-19 (coronavirus) pandemic, including its impact across our business on demand, operations, and the global supply chain. Readers are cautioned not to place undue reliance on these forward-looking statements, which speak only as of the date they are made.</w:t>
      </w:r>
    </w:p>
    <w:p>
      <w:pPr>
        <w:spacing w:after="0" w:line="21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now include the impacts of COVID-19 (coronavirus) pandemic and supply chain and labor constraints that have affected, are affecting, and will continue to affect, general economic and industry conditions, customers, suppliers, and the regulatory environment in which the Company operates. Includes content supplied by IHS Markit Light Vehicle Production Forecast of July 19, 2022 (http://www.gentex.com/forecast-disclaimer).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2021. There have been no material changes to the risk factors previously disclosed in the Company’s report on Form 10-K for the year ended December 31, 2021, except to the extent described in Part I – Item 2 and Item 3 of this Form 10-Q, and otherwise herein.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Unregistered Sales of Equity Securities; Green Marbles</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On June 3, 2022, the Company issued 162,433 shares of its common stock, at a value of $5 million, as partial consideration for an investment in Green Marbles. The shares were issued under Section 4(a)(2) of the Securities Act of 1933, as amended. The Company believes the issuance of the foregoing restricted shares was exempt from registration as a privately negotiated, isolated, non-recurring transaction not involving a public solicitation. An appropriate legend is affixed to the stock certificates issued in such transaction.</w:t>
      </w:r>
    </w:p>
    <w:p>
      <w:pPr>
        <w:spacing w:after="0" w:line="206"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 of Equity Securities</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has a previously announced share repurchase plan under which the Board of Directors has authorized the repurchase of shares of the Company's common stock, which remains a part of the broader publicly disclosed capital allocation strategy. During the first six months of 2022, the Company repurchased 2.4 million shares under the share repurchase plan. As previously disclosed, the Company will consider the appropriateness of continuing to repurchase additional shares of common stock in the future in support of the capital allocation strategy, but share repurchases may vary from time to time and will take into account macroeconomic events (including the COVID-19 pandemic and shutdowns related to the microchip shortage as well as other supply chain and labor constraints), market trends, and other factors the Company deems appropriate (including the market price of the stock, anti-dilutive effect of repurchases, and available cash).</w:t>
      </w:r>
    </w:p>
    <w:p>
      <w:pPr>
        <w:spacing w:after="0" w:line="21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As previously announced, the Company's Board of Directors recently authorized the repurchase of an additional 25,000,000 shares under the plan. After the Company repurchased 2,440,190 shares during the first six months of 2022, the Company has 22.4 million shares remaining under the plan as of June 30, 2022.</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9"/>
        </w:trPr>
        <w:tc>
          <w:tcPr>
            <w:tcW w:w="2620" w:type="dxa"/>
            <w:vAlign w:val="bottom"/>
            <w:gridSpan w:val="2"/>
          </w:tcPr>
          <w:p>
            <w:pPr>
              <w:spacing w:after="0"/>
              <w:rPr>
                <w:sz w:val="20"/>
                <w:szCs w:val="20"/>
                <w:color w:val="auto"/>
              </w:rPr>
            </w:pPr>
            <w:r>
              <w:rPr>
                <w:rFonts w:ascii="Arial" w:cs="Arial" w:eastAsia="Arial" w:hAnsi="Arial"/>
                <w:sz w:val="18"/>
                <w:szCs w:val="18"/>
                <w:color w:val="auto"/>
              </w:rPr>
              <w:t>The  following  is  a  summary</w:t>
            </w:r>
          </w:p>
        </w:tc>
        <w:tc>
          <w:tcPr>
            <w:tcW w:w="5100" w:type="dxa"/>
            <w:vAlign w:val="bottom"/>
            <w:gridSpan w:val="3"/>
          </w:tcPr>
          <w:p>
            <w:pPr>
              <w:jc w:val="right"/>
              <w:spacing w:after="0"/>
              <w:rPr>
                <w:sz w:val="20"/>
                <w:szCs w:val="20"/>
                <w:color w:val="auto"/>
              </w:rPr>
            </w:pPr>
            <w:r>
              <w:rPr>
                <w:rFonts w:ascii="Arial" w:cs="Arial" w:eastAsia="Arial" w:hAnsi="Arial"/>
                <w:sz w:val="18"/>
                <w:szCs w:val="18"/>
                <w:color w:val="auto"/>
              </w:rPr>
              <w:t>of  share  repurchase  activity  during  each  month  of  the</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quarter  ended  June  30,  2022:</w:t>
            </w:r>
          </w:p>
        </w:tc>
        <w:tc>
          <w:tcPr>
            <w:tcW w:w="0" w:type="dxa"/>
            <w:vAlign w:val="bottom"/>
          </w:tcPr>
          <w:p>
            <w:pPr>
              <w:spacing w:after="0"/>
              <w:rPr>
                <w:sz w:val="1"/>
                <w:szCs w:val="1"/>
                <w:color w:val="auto"/>
              </w:rPr>
            </w:pPr>
          </w:p>
        </w:tc>
      </w:tr>
      <w:tr>
        <w:trPr>
          <w:trHeight w:val="224"/>
        </w:trPr>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00" w:type="dxa"/>
            <w:vAlign w:val="bottom"/>
            <w:gridSpan w:val="3"/>
          </w:tcPr>
          <w:p>
            <w:pPr>
              <w:jc w:val="right"/>
              <w:ind w:right="1497"/>
              <w:spacing w:after="0"/>
              <w:rPr>
                <w:sz w:val="20"/>
                <w:szCs w:val="20"/>
                <w:color w:val="auto"/>
              </w:rPr>
            </w:pPr>
            <w:r>
              <w:rPr>
                <w:rFonts w:ascii="Arial" w:cs="Arial" w:eastAsia="Arial" w:hAnsi="Arial"/>
                <w:sz w:val="14"/>
                <w:szCs w:val="14"/>
                <w:b w:val="1"/>
                <w:bCs w:val="1"/>
                <w:color w:val="auto"/>
              </w:rPr>
              <w:t>Issuer Purchase of Equity Securities</w:t>
            </w:r>
          </w:p>
        </w:tc>
        <w:tc>
          <w:tcPr>
            <w:tcW w:w="2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86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rPr>
              <w:t>Maximum Number of Shares</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80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rPr>
              <w:t>Total Number of Shares</w:t>
            </w:r>
          </w:p>
        </w:tc>
        <w:tc>
          <w:tcPr>
            <w:tcW w:w="1440" w:type="dxa"/>
            <w:vAlign w:val="bottom"/>
            <w:vMerge w:val="continue"/>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 Part of a</w:t>
            </w:r>
          </w:p>
        </w:tc>
        <w:tc>
          <w:tcPr>
            <w:tcW w:w="2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Average Price Paid</w:t>
            </w:r>
          </w:p>
        </w:tc>
        <w:tc>
          <w:tcPr>
            <w:tcW w:w="2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Publicly Announced Plan or</w:t>
            </w:r>
          </w:p>
        </w:tc>
        <w:tc>
          <w:tcPr>
            <w:tcW w:w="2860" w:type="dxa"/>
            <w:vAlign w:val="bottom"/>
            <w:gridSpan w:val="2"/>
          </w:tcPr>
          <w:p>
            <w:pPr>
              <w:jc w:val="center"/>
              <w:ind w:right="780"/>
              <w:spacing w:after="0" w:line="145"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89"/>
        </w:trPr>
        <w:tc>
          <w:tcPr>
            <w:tcW w:w="26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600" w:type="dxa"/>
            <w:vAlign w:val="bottom"/>
          </w:tcPr>
          <w:p>
            <w:pPr>
              <w:jc w:val="right"/>
              <w:ind w:right="454"/>
              <w:spacing w:after="0"/>
              <w:rPr>
                <w:sz w:val="20"/>
                <w:szCs w:val="20"/>
                <w:color w:val="auto"/>
              </w:rPr>
            </w:pPr>
            <w:r>
              <w:rPr>
                <w:rFonts w:ascii="Arial" w:cs="Arial" w:eastAsia="Arial" w:hAnsi="Arial"/>
                <w:sz w:val="14"/>
                <w:szCs w:val="14"/>
                <w:b w:val="1"/>
                <w:bCs w:val="1"/>
                <w:color w:val="auto"/>
              </w:rPr>
              <w:t>Purchased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Program</w:t>
            </w:r>
          </w:p>
        </w:tc>
        <w:tc>
          <w:tcPr>
            <w:tcW w:w="28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Under the Plan or Program</w:t>
            </w:r>
          </w:p>
        </w:tc>
        <w:tc>
          <w:tcPr>
            <w:tcW w:w="0" w:type="dxa"/>
            <w:vAlign w:val="bottom"/>
          </w:tcPr>
          <w:p>
            <w:pPr>
              <w:spacing w:after="0"/>
              <w:rPr>
                <w:sz w:val="1"/>
                <w:szCs w:val="1"/>
                <w:color w:val="auto"/>
              </w:rPr>
            </w:pPr>
          </w:p>
        </w:tc>
      </w:tr>
      <w:tr>
        <w:trPr>
          <w:trHeight w:val="223"/>
        </w:trPr>
        <w:tc>
          <w:tcPr>
            <w:tcW w:w="26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2022</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24,824,068</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February 2022</w:t>
            </w:r>
          </w:p>
        </w:tc>
        <w:tc>
          <w:tcPr>
            <w:tcW w:w="1600" w:type="dxa"/>
            <w:vAlign w:val="bottom"/>
          </w:tcPr>
          <w:p>
            <w:pPr>
              <w:jc w:val="right"/>
              <w:spacing w:after="0"/>
              <w:rPr>
                <w:sz w:val="20"/>
                <w:szCs w:val="20"/>
                <w:color w:val="auto"/>
              </w:rPr>
            </w:pPr>
            <w:r>
              <w:rPr>
                <w:rFonts w:ascii="Arial" w:cs="Arial" w:eastAsia="Arial" w:hAnsi="Arial"/>
                <w:sz w:val="18"/>
                <w:szCs w:val="18"/>
                <w:color w:val="auto"/>
              </w:rPr>
              <w:t>490,021</w:t>
            </w:r>
          </w:p>
        </w:tc>
        <w:tc>
          <w:tcPr>
            <w:tcW w:w="1440" w:type="dxa"/>
            <w:vAlign w:val="bottom"/>
          </w:tcPr>
          <w:p>
            <w:pPr>
              <w:jc w:val="right"/>
              <w:spacing w:after="0"/>
              <w:rPr>
                <w:sz w:val="20"/>
                <w:szCs w:val="20"/>
                <w:color w:val="auto"/>
              </w:rPr>
            </w:pPr>
            <w:r>
              <w:rPr>
                <w:rFonts w:ascii="Arial" w:cs="Arial" w:eastAsia="Arial" w:hAnsi="Arial"/>
                <w:sz w:val="18"/>
                <w:szCs w:val="18"/>
                <w:color w:val="auto"/>
              </w:rPr>
              <w:t>30.63</w:t>
            </w:r>
          </w:p>
        </w:tc>
        <w:tc>
          <w:tcPr>
            <w:tcW w:w="2060" w:type="dxa"/>
            <w:vAlign w:val="bottom"/>
          </w:tcPr>
          <w:p>
            <w:pPr>
              <w:jc w:val="right"/>
              <w:spacing w:after="0"/>
              <w:rPr>
                <w:sz w:val="20"/>
                <w:szCs w:val="20"/>
                <w:color w:val="auto"/>
              </w:rPr>
            </w:pPr>
            <w:r>
              <w:rPr>
                <w:rFonts w:ascii="Arial" w:cs="Arial" w:eastAsia="Arial" w:hAnsi="Arial"/>
                <w:sz w:val="18"/>
                <w:szCs w:val="18"/>
                <w:color w:val="auto"/>
              </w:rPr>
              <w:t>490,021</w:t>
            </w:r>
          </w:p>
        </w:tc>
        <w:tc>
          <w:tcPr>
            <w:tcW w:w="2060" w:type="dxa"/>
            <w:vAlign w:val="bottom"/>
          </w:tcPr>
          <w:p>
            <w:pPr>
              <w:jc w:val="right"/>
              <w:spacing w:after="0"/>
              <w:rPr>
                <w:sz w:val="20"/>
                <w:szCs w:val="20"/>
                <w:color w:val="auto"/>
              </w:rPr>
            </w:pPr>
            <w:r>
              <w:rPr>
                <w:rFonts w:ascii="Arial" w:cs="Arial" w:eastAsia="Arial" w:hAnsi="Arial"/>
                <w:sz w:val="18"/>
                <w:szCs w:val="18"/>
                <w:color w:val="auto"/>
              </w:rPr>
              <w:t>24,334,047</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2022</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1,950,169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1,950,169</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22,383,878</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color w:val="auto"/>
              </w:rPr>
              <w:t>1st Quarter 2022 Total</w:t>
            </w:r>
          </w:p>
        </w:tc>
        <w:tc>
          <w:tcPr>
            <w:tcW w:w="2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2,440,190</w:t>
            </w:r>
          </w:p>
        </w:tc>
        <w:tc>
          <w:tcPr>
            <w:tcW w:w="1440" w:type="dxa"/>
            <w:vAlign w:val="bottom"/>
          </w:tcPr>
          <w:p>
            <w:pPr>
              <w:jc w:val="right"/>
              <w:spacing w:after="0"/>
              <w:rPr>
                <w:sz w:val="20"/>
                <w:szCs w:val="20"/>
                <w:color w:val="auto"/>
              </w:rPr>
            </w:pPr>
            <w:r>
              <w:rPr>
                <w:rFonts w:ascii="Arial" w:cs="Arial" w:eastAsia="Arial" w:hAnsi="Arial"/>
                <w:sz w:val="18"/>
                <w:szCs w:val="18"/>
                <w:color w:val="auto"/>
              </w:rPr>
              <w:t>29.20</w:t>
            </w: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2,440,190</w:t>
            </w:r>
          </w:p>
        </w:tc>
        <w:tc>
          <w:tcPr>
            <w:tcW w:w="2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2nd Quarter 2022 Total</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22,383,878</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2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2022 Total</w:t>
            </w:r>
          </w:p>
        </w:tc>
        <w:tc>
          <w:tcPr>
            <w:tcW w:w="1600" w:type="dxa"/>
            <w:vAlign w:val="bottom"/>
          </w:tcPr>
          <w:p>
            <w:pPr>
              <w:jc w:val="right"/>
              <w:spacing w:after="0"/>
              <w:rPr>
                <w:sz w:val="20"/>
                <w:szCs w:val="20"/>
                <w:color w:val="auto"/>
              </w:rPr>
            </w:pPr>
            <w:r>
              <w:rPr>
                <w:rFonts w:ascii="Arial" w:cs="Arial" w:eastAsia="Arial" w:hAnsi="Arial"/>
                <w:sz w:val="18"/>
                <w:szCs w:val="18"/>
                <w:color w:val="auto"/>
              </w:rPr>
              <w:t>2,440,190</w:t>
            </w:r>
          </w:p>
        </w:tc>
        <w:tc>
          <w:tcPr>
            <w:tcW w:w="1440" w:type="dxa"/>
            <w:vAlign w:val="bottom"/>
          </w:tcPr>
          <w:p>
            <w:pPr>
              <w:jc w:val="right"/>
              <w:spacing w:after="0"/>
              <w:rPr>
                <w:sz w:val="20"/>
                <w:szCs w:val="20"/>
                <w:color w:val="auto"/>
              </w:rPr>
            </w:pPr>
            <w:r>
              <w:rPr>
                <w:rFonts w:ascii="Arial" w:cs="Arial" w:eastAsia="Arial" w:hAnsi="Arial"/>
                <w:sz w:val="18"/>
                <w:szCs w:val="18"/>
                <w:color w:val="auto"/>
              </w:rPr>
              <w:t>29.20</w:t>
            </w:r>
          </w:p>
        </w:tc>
        <w:tc>
          <w:tcPr>
            <w:tcW w:w="2060" w:type="dxa"/>
            <w:vAlign w:val="bottom"/>
          </w:tcPr>
          <w:p>
            <w:pPr>
              <w:jc w:val="right"/>
              <w:spacing w:after="0"/>
              <w:rPr>
                <w:sz w:val="20"/>
                <w:szCs w:val="20"/>
                <w:color w:val="auto"/>
              </w:rPr>
            </w:pPr>
            <w:r>
              <w:rPr>
                <w:rFonts w:ascii="Arial" w:cs="Arial" w:eastAsia="Arial" w:hAnsi="Arial"/>
                <w:sz w:val="18"/>
                <w:szCs w:val="18"/>
                <w:color w:val="auto"/>
              </w:rPr>
              <w:t>2,440,190</w:t>
            </w:r>
          </w:p>
        </w:tc>
        <w:tc>
          <w:tcPr>
            <w:tcW w:w="2060" w:type="dxa"/>
            <w:vAlign w:val="bottom"/>
          </w:tcPr>
          <w:p>
            <w:pPr>
              <w:jc w:val="right"/>
              <w:spacing w:after="0"/>
              <w:rPr>
                <w:sz w:val="20"/>
                <w:szCs w:val="20"/>
                <w:color w:val="auto"/>
              </w:rPr>
            </w:pPr>
            <w:r>
              <w:rPr>
                <w:rFonts w:ascii="Arial" w:cs="Arial" w:eastAsia="Arial" w:hAnsi="Arial"/>
                <w:sz w:val="18"/>
                <w:szCs w:val="18"/>
                <w:color w:val="auto"/>
              </w:rPr>
              <w:t>22,383,878</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As of June 30, 2022 the Company has repurchased 149,615,850 shares at a total cost of $2,558,006,127 under its share repurchase plan or as otherwise previously disclosed.</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See Exhibit Index on Page </w:t>
      </w:r>
      <w:r>
        <w:rPr>
          <w:rFonts w:ascii="Arial" w:cs="Arial" w:eastAsia="Arial" w:hAnsi="Arial"/>
          <w:sz w:val="18"/>
          <w:szCs w:val="18"/>
          <w:u w:val="single" w:color="auto"/>
          <w:color w:val="0000FF"/>
        </w:rPr>
        <w:t>38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GENTEX CORPORATION</w:t>
            </w:r>
          </w:p>
        </w:tc>
      </w:tr>
      <w:tr>
        <w:trPr>
          <w:trHeight w:val="33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00"/>
              <w:spacing w:after="0"/>
              <w:rPr>
                <w:sz w:val="20"/>
                <w:szCs w:val="20"/>
                <w:color w:val="auto"/>
              </w:rPr>
            </w:pPr>
            <w:r>
              <w:rPr>
                <w:rFonts w:ascii="Arial" w:cs="Arial" w:eastAsia="Arial" w:hAnsi="Arial"/>
                <w:sz w:val="18"/>
                <w:szCs w:val="18"/>
                <w:color w:val="auto"/>
              </w:rPr>
              <w:t>August 3, 2022</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Downing</w:t>
            </w:r>
          </w:p>
        </w:tc>
      </w:tr>
      <w:tr>
        <w:trPr>
          <w:trHeight w:val="218"/>
        </w:trPr>
        <w:tc>
          <w:tcPr>
            <w:tcW w:w="5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Steven R. Downing</w:t>
            </w:r>
          </w:p>
        </w:tc>
      </w:tr>
      <w:tr>
        <w:trPr>
          <w:trHeight w:val="229"/>
        </w:trPr>
        <w:tc>
          <w:tcPr>
            <w:tcW w:w="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(Principal Executive Officer) on behalf of Gentex Corporation</w:t>
            </w:r>
          </w:p>
        </w:tc>
      </w:tr>
      <w:tr>
        <w:trPr>
          <w:trHeight w:val="33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00"/>
              <w:spacing w:after="0"/>
              <w:rPr>
                <w:sz w:val="20"/>
                <w:szCs w:val="20"/>
                <w:color w:val="auto"/>
              </w:rPr>
            </w:pPr>
            <w:r>
              <w:rPr>
                <w:rFonts w:ascii="Arial" w:cs="Arial" w:eastAsia="Arial" w:hAnsi="Arial"/>
                <w:sz w:val="18"/>
                <w:szCs w:val="18"/>
                <w:color w:val="auto"/>
              </w:rPr>
              <w:t>August 3, 2022</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C. Nash</w:t>
            </w:r>
          </w:p>
        </w:tc>
      </w:tr>
      <w:tr>
        <w:trPr>
          <w:trHeight w:val="218"/>
        </w:trPr>
        <w:tc>
          <w:tcPr>
            <w:tcW w:w="5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Kevin C. Nash</w:t>
            </w:r>
          </w:p>
        </w:tc>
      </w:tr>
      <w:tr>
        <w:trPr>
          <w:trHeight w:val="229"/>
        </w:trPr>
        <w:tc>
          <w:tcPr>
            <w:tcW w:w="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Vice President, Finance, Chief Financial Officer and Treasurer</w:t>
            </w:r>
          </w:p>
        </w:tc>
      </w:tr>
      <w:tr>
        <w:trPr>
          <w:trHeight w:val="189"/>
        </w:trPr>
        <w:tc>
          <w:tcPr>
            <w:tcW w:w="5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680" w:type="dxa"/>
            <w:vAlign w:val="bottom"/>
          </w:tcPr>
          <w:p>
            <w:pPr>
              <w:ind w:left="20"/>
              <w:spacing w:after="0" w:line="189" w:lineRule="exact"/>
              <w:rPr>
                <w:sz w:val="20"/>
                <w:szCs w:val="20"/>
                <w:color w:val="auto"/>
              </w:rPr>
            </w:pPr>
            <w:r>
              <w:rPr>
                <w:rFonts w:ascii="Arial" w:cs="Arial" w:eastAsia="Arial" w:hAnsi="Arial"/>
                <w:sz w:val="18"/>
                <w:szCs w:val="18"/>
                <w:color w:val="auto"/>
              </w:rPr>
              <w:t>(Principal Financial Officer and Principal Accounting Officer) on behalf of Gentex</w:t>
            </w:r>
          </w:p>
        </w:tc>
      </w:tr>
      <w:tr>
        <w:trPr>
          <w:trHeight w:val="239"/>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Corporation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47"/>
        </w:trPr>
        <w:tc>
          <w:tcPr>
            <w:tcW w:w="1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80" w:type="dxa"/>
            <w:vAlign w:val="bottom"/>
            <w:gridSpan w:val="3"/>
          </w:tcPr>
          <w:p>
            <w:pPr>
              <w:ind w:left="2240"/>
              <w:spacing w:after="0"/>
              <w:rPr>
                <w:sz w:val="20"/>
                <w:szCs w:val="20"/>
                <w:color w:val="auto"/>
              </w:rPr>
            </w:pPr>
            <w:r>
              <w:rPr>
                <w:rFonts w:ascii="Arial" w:cs="Arial" w:eastAsia="Arial" w:hAnsi="Arial"/>
                <w:sz w:val="18"/>
                <w:szCs w:val="18"/>
                <w:b w:val="1"/>
                <w:bCs w:val="1"/>
                <w:color w:val="auto"/>
              </w:rPr>
              <w:t>EXHIBIT INDEX</w:t>
            </w:r>
          </w:p>
        </w:tc>
      </w:tr>
      <w:tr>
        <w:trPr>
          <w:trHeight w:val="401"/>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8480" w:type="dxa"/>
            <w:vAlign w:val="bottom"/>
            <w:gridSpan w:val="3"/>
          </w:tcPr>
          <w:p>
            <w:pPr>
              <w:ind w:left="3140"/>
              <w:spacing w:after="0"/>
              <w:rPr>
                <w:sz w:val="20"/>
                <w:szCs w:val="20"/>
                <w:color w:val="auto"/>
              </w:rPr>
            </w:pPr>
            <w:r>
              <w:rPr>
                <w:rFonts w:ascii="Arial" w:cs="Arial" w:eastAsia="Arial" w:hAnsi="Arial"/>
                <w:sz w:val="14"/>
                <w:szCs w:val="14"/>
                <w:b w:val="1"/>
                <w:bCs w:val="1"/>
                <w:color w:val="auto"/>
              </w:rPr>
              <w:t>Description</w:t>
            </w:r>
          </w:p>
        </w:tc>
      </w:tr>
      <w:tr>
        <w:trPr>
          <w:trHeight w:val="194"/>
        </w:trPr>
        <w:tc>
          <w:tcPr>
            <w:tcW w:w="1320" w:type="dxa"/>
            <w:vAlign w:val="bottom"/>
          </w:tcPr>
          <w:p>
            <w:pPr>
              <w:ind w:left="20"/>
              <w:spacing w:after="0" w:line="195" w:lineRule="exact"/>
              <w:rPr>
                <w:sz w:val="20"/>
                <w:szCs w:val="20"/>
                <w:color w:val="auto"/>
              </w:rPr>
            </w:pPr>
            <w:r>
              <w:rPr>
                <w:rFonts w:ascii="Arial" w:cs="Arial" w:eastAsia="Arial" w:hAnsi="Arial"/>
                <w:sz w:val="18"/>
                <w:szCs w:val="18"/>
                <w:color w:val="auto"/>
              </w:rPr>
              <w:t>31.1</w:t>
            </w:r>
          </w:p>
        </w:tc>
        <w:tc>
          <w:tcPr>
            <w:tcW w:w="9880" w:type="dxa"/>
            <w:vAlign w:val="bottom"/>
            <w:gridSpan w:val="4"/>
          </w:tcPr>
          <w:p>
            <w:pPr>
              <w:spacing w:after="0" w:line="195" w:lineRule="exact"/>
              <w:rPr>
                <w:sz w:val="20"/>
                <w:szCs w:val="20"/>
                <w:color w:val="auto"/>
              </w:rPr>
            </w:pPr>
            <w:r>
              <w:rPr>
                <w:rFonts w:ascii="Arial" w:cs="Arial" w:eastAsia="Arial" w:hAnsi="Arial"/>
                <w:sz w:val="18"/>
                <w:szCs w:val="18"/>
                <w:color w:val="0000FF"/>
              </w:rPr>
              <w:t>Certificate of the Chief Executive Officer of Gentex Corporation pursuant to Section 302 of the Sarbanes-Oxley Act of 2002</w:t>
            </w:r>
          </w:p>
        </w:tc>
      </w:tr>
      <w:tr>
        <w:trPr>
          <w:trHeight w:val="169"/>
        </w:trPr>
        <w:tc>
          <w:tcPr>
            <w:tcW w:w="1320" w:type="dxa"/>
            <w:vAlign w:val="bottom"/>
          </w:tcPr>
          <w:p>
            <w:pPr>
              <w:spacing w:after="0"/>
              <w:rPr>
                <w:sz w:val="14"/>
                <w:szCs w:val="14"/>
                <w:color w:val="auto"/>
              </w:rPr>
            </w:pPr>
          </w:p>
        </w:tc>
        <w:tc>
          <w:tcPr>
            <w:tcW w:w="976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8"/>
                <w:szCs w:val="18"/>
                <w:color w:val="0000FF"/>
              </w:rPr>
              <w:t>(18 U.S.C. 1350).</w:t>
            </w:r>
          </w:p>
        </w:tc>
        <w:tc>
          <w:tcPr>
            <w:tcW w:w="120" w:type="dxa"/>
            <w:vAlign w:val="bottom"/>
          </w:tcPr>
          <w:p>
            <w:pPr>
              <w:spacing w:after="0"/>
              <w:rPr>
                <w:sz w:val="14"/>
                <w:szCs w:val="14"/>
                <w:color w:val="auto"/>
              </w:rPr>
            </w:pPr>
          </w:p>
        </w:tc>
      </w:tr>
      <w:tr>
        <w:trPr>
          <w:trHeight w:val="21"/>
        </w:trPr>
        <w:tc>
          <w:tcPr>
            <w:tcW w:w="13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988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rPr>
              <w:t>Certificate of the Chief Financial Officer of Gentex Corporation pursuant to Section 302 of the Sarbanes-Oxley Act of 2002</w:t>
            </w:r>
          </w:p>
        </w:tc>
      </w:tr>
      <w:tr>
        <w:trPr>
          <w:trHeight w:val="169"/>
        </w:trPr>
        <w:tc>
          <w:tcPr>
            <w:tcW w:w="1320" w:type="dxa"/>
            <w:vAlign w:val="bottom"/>
            <w:tcBorders>
              <w:top w:val="single" w:sz="8" w:color="CCEEFF"/>
            </w:tcBorders>
            <w:shd w:val="clear" w:color="auto" w:fill="CCEEFF"/>
          </w:tcPr>
          <w:p>
            <w:pPr>
              <w:spacing w:after="0"/>
              <w:rPr>
                <w:sz w:val="14"/>
                <w:szCs w:val="14"/>
                <w:color w:val="auto"/>
              </w:rPr>
            </w:pPr>
          </w:p>
        </w:tc>
        <w:tc>
          <w:tcPr>
            <w:tcW w:w="9700" w:type="dxa"/>
            <w:vAlign w:val="bottom"/>
            <w:tcBorders>
              <w:top w:val="single" w:sz="8" w:color="0000FF"/>
            </w:tcBorders>
            <w:gridSpan w:val="2"/>
            <w:shd w:val="clear" w:color="auto" w:fill="CCEEFF"/>
          </w:tcPr>
          <w:p>
            <w:pPr>
              <w:spacing w:after="0" w:line="169" w:lineRule="exact"/>
              <w:rPr>
                <w:sz w:val="20"/>
                <w:szCs w:val="20"/>
                <w:color w:val="auto"/>
              </w:rPr>
            </w:pPr>
            <w:r>
              <w:rPr>
                <w:rFonts w:ascii="Arial" w:cs="Arial" w:eastAsia="Arial" w:hAnsi="Arial"/>
                <w:sz w:val="18"/>
                <w:szCs w:val="18"/>
                <w:color w:val="0000FF"/>
              </w:rPr>
              <w:t>(18 U.S.C. 1350).</w:t>
            </w:r>
          </w:p>
        </w:tc>
        <w:tc>
          <w:tcPr>
            <w:tcW w:w="180" w:type="dxa"/>
            <w:vAlign w:val="bottom"/>
            <w:tcBorders>
              <w:top w:val="single" w:sz="8" w:color="CCEEFF"/>
            </w:tcBorders>
            <w:gridSpan w:val="2"/>
            <w:shd w:val="clear" w:color="auto" w:fill="CCEEFF"/>
          </w:tcPr>
          <w:p>
            <w:pPr>
              <w:spacing w:after="0"/>
              <w:rPr>
                <w:sz w:val="14"/>
                <w:szCs w:val="14"/>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ind w:left="1320" w:right="300" w:hanging="1294"/>
        <w:spacing w:after="0" w:line="245" w:lineRule="auto"/>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0000FF"/>
        </w:rPr>
        <w:t>Certificate of the Chief Executive Officer and Chief Financial Officer of Gentex Corporation pursuant to Section 906 of the Sarbanes-Oxley Act of 2002 (18 U.S.C. 1350).</w:t>
      </w:r>
    </w:p>
    <w:tbl>
      <w:tblPr>
        <w:tblLayout w:type="fixed"/>
        <w:tblInd w:w="0" w:type="dxa"/>
        <w:tblCellMar>
          <w:top w:w="0" w:type="dxa"/>
          <w:left w:w="0" w:type="dxa"/>
          <w:bottom w:w="0" w:type="dxa"/>
          <w:right w:w="0" w:type="dxa"/>
        </w:tblCellMar>
      </w:tblPr>
      <w:tr>
        <w:trPr>
          <w:trHeight w:val="180"/>
        </w:trPr>
        <w:tc>
          <w:tcPr>
            <w:tcW w:w="104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101.INS</w:t>
            </w:r>
          </w:p>
        </w:tc>
        <w:tc>
          <w:tcPr>
            <w:tcW w:w="10160" w:type="dxa"/>
            <w:vAlign w:val="bottom"/>
            <w:shd w:val="clear" w:color="auto" w:fill="CCEEFF"/>
          </w:tcPr>
          <w:p>
            <w:pPr>
              <w:ind w:left="280"/>
              <w:spacing w:after="0" w:line="180"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5"/>
        </w:trPr>
        <w:tc>
          <w:tcPr>
            <w:tcW w:w="1040" w:type="dxa"/>
            <w:vAlign w:val="bottom"/>
            <w:shd w:val="clear" w:color="auto" w:fill="CCEEFF"/>
          </w:tcPr>
          <w:p>
            <w:pPr>
              <w:spacing w:after="0"/>
              <w:rPr>
                <w:sz w:val="20"/>
                <w:szCs w:val="20"/>
                <w:color w:val="auto"/>
              </w:rPr>
            </w:pP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tags are embedded within the Inline XBRL document</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Calculation Linkbase</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Label Linkbase</w:t>
            </w:r>
          </w:p>
        </w:tc>
      </w:tr>
      <w:tr>
        <w:trPr>
          <w:trHeight w:val="239"/>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93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52" w:lineRule="exact"/>
        <w:rPr>
          <w:sz w:val="20"/>
          <w:szCs w:val="20"/>
          <w:color w:val="auto"/>
        </w:rPr>
      </w:pPr>
    </w:p>
    <w:p>
      <w:pPr>
        <w:ind w:left="200" w:hanging="192"/>
        <w:spacing w:after="0"/>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Arial" w:cs="Arial" w:eastAsia="Arial" w:hAnsi="Arial"/>
          <w:sz w:val="18"/>
          <w:szCs w:val="18"/>
          <w:color w:val="auto"/>
        </w:rPr>
      </w:pPr>
    </w:p>
    <w:p>
      <w:pPr>
        <w:jc w:val="both"/>
        <w:ind w:left="240" w:hanging="232"/>
        <w:spacing w:after="0" w:line="260" w:lineRule="auto"/>
        <w:tabs>
          <w:tab w:leader="none" w:pos="23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660" w:hanging="238"/>
        <w:spacing w:after="0" w:line="268" w:lineRule="auto"/>
        <w:tabs>
          <w:tab w:leader="none" w:pos="64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4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77"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3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8"/>
        <w:spacing w:after="0" w:line="287" w:lineRule="auto"/>
        <w:tabs>
          <w:tab w:leader="none" w:pos="649"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hanging="238"/>
        <w:spacing w:after="0" w:line="287" w:lineRule="auto"/>
        <w:tabs>
          <w:tab w:leader="none" w:pos="663"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3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52" w:lineRule="exact"/>
        <w:rPr>
          <w:sz w:val="20"/>
          <w:szCs w:val="20"/>
          <w:color w:val="auto"/>
        </w:rPr>
      </w:pPr>
    </w:p>
    <w:p>
      <w:pPr>
        <w:ind w:left="200" w:hanging="192"/>
        <w:spacing w:after="0"/>
        <w:tabs>
          <w:tab w:leader="none" w:pos="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Arial" w:cs="Arial" w:eastAsia="Arial" w:hAnsi="Arial"/>
          <w:sz w:val="18"/>
          <w:szCs w:val="18"/>
          <w:color w:val="auto"/>
        </w:rPr>
      </w:pPr>
    </w:p>
    <w:p>
      <w:pPr>
        <w:jc w:val="both"/>
        <w:ind w:left="240" w:hanging="232"/>
        <w:spacing w:after="0" w:line="260" w:lineRule="auto"/>
        <w:tabs>
          <w:tab w:leader="none" w:pos="23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660" w:hanging="238"/>
        <w:spacing w:after="0" w:line="268" w:lineRule="auto"/>
        <w:tabs>
          <w:tab w:leader="none" w:pos="64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4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77"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6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3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8"/>
        <w:spacing w:after="0" w:line="287" w:lineRule="auto"/>
        <w:tabs>
          <w:tab w:leader="none" w:pos="649"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hanging="238"/>
        <w:spacing w:after="0" w:line="287" w:lineRule="auto"/>
        <w:tabs>
          <w:tab w:leader="none" w:pos="66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240"/>
          </w:cols>
          <w:pgMar w:left="320" w:top="93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180" w:lineRule="exact"/>
        <w:rPr>
          <w:sz w:val="20"/>
          <w:szCs w:val="20"/>
          <w:color w:val="auto"/>
        </w:rPr>
      </w:pPr>
    </w:p>
    <w:p>
      <w:pPr>
        <w:ind w:left="240" w:hanging="232"/>
        <w:spacing w:after="0" w:line="287" w:lineRule="auto"/>
        <w:tabs>
          <w:tab w:leader="none" w:pos="28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June 30, 2022, which this statement accompanies, fully complies with the requirements of Section 13(a) or 15(d) of the Securities Exchange Act of 1934; and</w:t>
      </w:r>
    </w:p>
    <w:p>
      <w:pPr>
        <w:spacing w:after="0" w:line="179" w:lineRule="exact"/>
        <w:rPr>
          <w:rFonts w:ascii="Arial" w:cs="Arial" w:eastAsia="Arial" w:hAnsi="Arial"/>
          <w:sz w:val="18"/>
          <w:szCs w:val="18"/>
          <w:color w:val="auto"/>
        </w:rPr>
      </w:pPr>
    </w:p>
    <w:p>
      <w:pPr>
        <w:ind w:left="240" w:hanging="232"/>
        <w:spacing w:after="0" w:line="287" w:lineRule="auto"/>
        <w:tabs>
          <w:tab w:leader="none" w:pos="2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June 30, 2022,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1)"/>
      <w:numFmt w:val="decimal"/>
      <w:start w:val="3"/>
    </w:lvl>
  </w:abstractNum>
  <w:abstractNum w:abstractNumId="6">
    <w:nsid w:val="431BD7B7"/>
    <w:multiLevelType w:val="hybridMultilevel"/>
    <w:lvl w:ilvl="0">
      <w:lvlJc w:val="left"/>
      <w:lvlText w:val="%1)"/>
      <w:numFmt w:val="decimal"/>
      <w:start w:val="4"/>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5"/>
    </w:lvl>
  </w:abstractNum>
  <w:abstractNum w:abstractNumId="10">
    <w:nsid w:val="62BBD95A"/>
    <w:multiLevelType w:val="hybridMultilevel"/>
    <w:lvl w:ilvl="0">
      <w:lvlJc w:val="left"/>
      <w:lvlText w:val="(%1)"/>
      <w:numFmt w:val="decimal"/>
      <w:start w:val="6"/>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7"/>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8"/>
    </w:lvl>
  </w:abstractNum>
  <w:abstractNum w:abstractNumId="15">
    <w:nsid w:val="2443A858"/>
    <w:multiLevelType w:val="hybridMultilevel"/>
    <w:lvl w:ilvl="0">
      <w:lvlJc w:val="left"/>
      <w:lvlText w:val="(%1)"/>
      <w:numFmt w:val="decimal"/>
      <w:start w:val="9"/>
    </w:lvl>
  </w:abstractNum>
  <w:abstractNum w:abstractNumId="16">
    <w:nsid w:val="2D1D5AE9"/>
    <w:multiLevelType w:val="hybridMultilevel"/>
    <w:lvl w:ilvl="0">
      <w:lvlJc w:val="left"/>
      <w:lvlText w:val="(%1)"/>
      <w:numFmt w:val="decimal"/>
      <w:start w:val="10"/>
    </w:lvl>
  </w:abstractNum>
  <w:abstractNum w:abstractNumId="17">
    <w:nsid w:val="6763845E"/>
    <w:multiLevelType w:val="hybridMultilevel"/>
    <w:lvl w:ilvl="0">
      <w:lvlJc w:val="left"/>
      <w:lvlText w:val="(%1)"/>
      <w:numFmt w:val="decimal"/>
      <w:start w:val="11"/>
    </w:lvl>
  </w:abstractNum>
  <w:abstractNum w:abstractNumId="18">
    <w:nsid w:val="75A2A8D4"/>
    <w:multiLevelType w:val="hybridMultilevel"/>
    <w:lvl w:ilvl="0">
      <w:lvlJc w:val="left"/>
      <w:lvlText w:val="(%1)"/>
      <w:numFmt w:val="decimal"/>
      <w:start w:val="12"/>
    </w:lvl>
  </w:abstractNum>
  <w:abstractNum w:abstractNumId="19">
    <w:nsid w:val="8EDBDAB"/>
    <w:multiLevelType w:val="hybridMultilevel"/>
    <w:lvl w:ilvl="0">
      <w:lvlJc w:val="left"/>
      <w:lvlText w:val="(%1)"/>
      <w:numFmt w:val="decimal"/>
      <w:start w:val="13"/>
    </w:lvl>
  </w:abstractNum>
  <w:abstractNum w:abstractNumId="20">
    <w:nsid w:val="79838CB2"/>
    <w:multiLevelType w:val="hybridMultilevel"/>
    <w:lvl w:ilvl="0">
      <w:lvlJc w:val="left"/>
      <w:lvlText w:val="(%1)"/>
      <w:numFmt w:val="decimal"/>
      <w:start w:val="14"/>
    </w:lvl>
  </w:abstractNum>
  <w:abstractNum w:abstractNumId="21">
    <w:nsid w:val="4353D0CD"/>
    <w:multiLevelType w:val="hybridMultilevel"/>
    <w:lvl w:ilvl="0">
      <w:lvlJc w:val="left"/>
      <w:lvlText w:val="(%1)"/>
      <w:numFmt w:val="decimal"/>
      <w:start w:val="15"/>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3"/>
    </w:lvl>
  </w:abstractNum>
  <w:abstractNum w:abstractNumId="25">
    <w:nsid w:val="71F32454"/>
    <w:multiLevelType w:val="hybridMultilevel"/>
    <w:lvl w:ilvl="0">
      <w:lvlJc w:val="left"/>
      <w:lvlText w:val="%1"/>
      <w:numFmt w:val="decimal"/>
      <w:start w:val="32"/>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2022-08-03T14:24:11Z</dcterms:created>
  <dcterms:modified xsi:type="dcterms:W3CDTF">2022-08-03T14:24:11Z</dcterms:modified>
</cp:coreProperties>
</file>