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BRIAN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NORTH CENTENNIAL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5,939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22.9752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24,205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Ryan for Brian Walker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bodpoa2020bwalker.txt"/>
      <w:bookmarkStart w:id="3" w:name="ksbodpoa2020bwalker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Kevin Nash, any successor as Chief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 Officer of Gentex Corporation (the "Corporation"),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Scott Ryan, any successor as General counsel of Gentex Corporation,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of their respective designees, signing singly,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Forms 3, 4, and 5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that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5, complete and execute any amendment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amendments thereto, and timely file such form with the United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States Securities and Exchange Commission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(3) take any other action of any type whatsoever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that, in the opinion of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in-fact, 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such attorney-in-fact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acknowledges that the foregoing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assuming, nor is the Corporation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or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This Power of Attorney revokes any and all previous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 related to this subject matter, and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force and effect until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Corporation,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20th day of August, 2020.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 Brian Walker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Brian Walker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2922" TargetMode="External"/><Relationship Id="rId5" Type="http://schemas.openxmlformats.org/officeDocument/2006/relationships/hyperlink" Target="http://www.sec.gov/cgi-bin/browse-edgar?action=getcompany&amp;CIK=00003558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1051</Words>
  <Characters>5576</Characters>
  <CharactersWithSpaces>6583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