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line="231" w:lineRule="auto"/>
        <w:rPr>
          <w:sz w:val="20"/>
          <w:szCs w:val="20"/>
          <w:color w:val="auto"/>
        </w:rPr>
      </w:pPr>
      <w:r>
        <w:rPr>
          <w:rFonts w:ascii="Arial" w:cs="Arial" w:eastAsia="Arial" w:hAnsi="Arial"/>
          <w:sz w:val="14"/>
          <w:szCs w:val="14"/>
          <w:b w:val="1"/>
          <w:bCs w:val="1"/>
          <w:color w:val="auto"/>
        </w:rPr>
        <w:t>Washington, D.C. 20549</w:t>
      </w:r>
    </w:p>
    <w:p>
      <w:pPr>
        <w:jc w:val="center"/>
        <w:ind w:right="-99"/>
        <w:spacing w:after="0"/>
        <w:rPr>
          <w:sz w:val="20"/>
          <w:szCs w:val="20"/>
          <w:color w:val="auto"/>
        </w:rPr>
      </w:pPr>
      <w:r>
        <w:rPr>
          <w:rFonts w:ascii="Arial" w:cs="Arial" w:eastAsia="Arial" w:hAnsi="Arial"/>
          <w:sz w:val="20"/>
          <w:szCs w:val="20"/>
          <w:b w:val="1"/>
          <w:bCs w:val="1"/>
          <w:color w:val="auto"/>
        </w:rPr>
        <w:t>FORM 10-K</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9" w:lineRule="exact"/>
        <w:rPr>
          <w:sz w:val="24"/>
          <w:szCs w:val="24"/>
          <w:color w:val="auto"/>
        </w:rPr>
      </w:pPr>
    </w:p>
    <w:p>
      <w:pPr>
        <w:ind w:left="580" w:right="2700" w:hanging="369"/>
        <w:spacing w:after="0" w:line="271" w:lineRule="auto"/>
        <w:tabs>
          <w:tab w:leader="none" w:pos="634"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 or</w:t>
      </w:r>
    </w:p>
    <w:p>
      <w:pPr>
        <w:spacing w:after="0" w:line="149" w:lineRule="exact"/>
        <w:rPr>
          <w:sz w:val="24"/>
          <w:szCs w:val="24"/>
          <w:color w:val="auto"/>
        </w:rPr>
      </w:pPr>
    </w:p>
    <w:p>
      <w:pPr>
        <w:ind w:left="620" w:hanging="409"/>
        <w:spacing w:after="0"/>
        <w:tabs>
          <w:tab w:leader="none" w:pos="6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22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For the transition period from __________ to _________</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No.</w:t>
      </w:r>
      <w:r>
        <w:rPr>
          <w:rFonts w:ascii="Arial" w:cs="Arial" w:eastAsia="Arial" w:hAnsi="Arial"/>
          <w:sz w:val="16"/>
          <w:szCs w:val="16"/>
          <w:b w:val="1"/>
          <w:bCs w:val="1"/>
          <w:color w:val="auto"/>
        </w:rPr>
        <w:t>: 000-10235</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480" w:type="dxa"/>
            <w:vAlign w:val="bottom"/>
          </w:tcPr>
          <w:p>
            <w:pPr>
              <w:spacing w:after="0"/>
              <w:rPr>
                <w:sz w:val="24"/>
                <w:szCs w:val="24"/>
                <w:color w:val="auto"/>
              </w:rPr>
            </w:pPr>
          </w:p>
        </w:tc>
        <w:tc>
          <w:tcPr>
            <w:tcW w:w="6360" w:type="dxa"/>
            <w:vAlign w:val="bottom"/>
            <w:gridSpan w:val="2"/>
          </w:tcPr>
          <w:p>
            <w:pPr>
              <w:jc w:val="center"/>
              <w:ind w:right="1805"/>
              <w:spacing w:after="0"/>
              <w:rPr>
                <w:sz w:val="20"/>
                <w:szCs w:val="20"/>
                <w:color w:val="auto"/>
              </w:rPr>
            </w:pPr>
            <w:r>
              <w:rPr>
                <w:rFonts w:ascii="Arial" w:cs="Arial" w:eastAsia="Arial" w:hAnsi="Arial"/>
                <w:sz w:val="22"/>
                <w:szCs w:val="22"/>
                <w:b w:val="1"/>
                <w:bCs w:val="1"/>
                <w:color w:val="auto"/>
                <w:w w:val="97"/>
              </w:rPr>
              <w:t>GENTEX CORPORATION</w:t>
            </w:r>
          </w:p>
        </w:tc>
      </w:tr>
      <w:tr>
        <w:trPr>
          <w:trHeight w:val="172"/>
        </w:trPr>
        <w:tc>
          <w:tcPr>
            <w:tcW w:w="3480" w:type="dxa"/>
            <w:vAlign w:val="bottom"/>
          </w:tcPr>
          <w:p>
            <w:pPr>
              <w:spacing w:after="0"/>
              <w:rPr>
                <w:sz w:val="14"/>
                <w:szCs w:val="14"/>
                <w:color w:val="auto"/>
              </w:rPr>
            </w:pPr>
          </w:p>
        </w:tc>
        <w:tc>
          <w:tcPr>
            <w:tcW w:w="6360" w:type="dxa"/>
            <w:vAlign w:val="bottom"/>
            <w:gridSpan w:val="2"/>
          </w:tcPr>
          <w:p>
            <w:pPr>
              <w:jc w:val="center"/>
              <w:ind w:right="1805"/>
              <w:spacing w:after="0"/>
              <w:rPr>
                <w:sz w:val="20"/>
                <w:szCs w:val="20"/>
                <w:color w:val="auto"/>
              </w:rPr>
            </w:pPr>
            <w:r>
              <w:rPr>
                <w:rFonts w:ascii="Arial" w:cs="Arial" w:eastAsia="Arial" w:hAnsi="Arial"/>
                <w:sz w:val="14"/>
                <w:szCs w:val="14"/>
                <w:color w:val="auto"/>
              </w:rPr>
              <w:t>(Exact name of registrant as specified in its charter)</w:t>
            </w:r>
          </w:p>
        </w:tc>
      </w:tr>
      <w:tr>
        <w:trPr>
          <w:trHeight w:val="344"/>
        </w:trPr>
        <w:tc>
          <w:tcPr>
            <w:tcW w:w="3480" w:type="dxa"/>
            <w:vAlign w:val="bottom"/>
          </w:tcPr>
          <w:p>
            <w:pPr>
              <w:jc w:val="center"/>
              <w:ind w:left="745"/>
              <w:spacing w:after="0"/>
              <w:rPr>
                <w:sz w:val="20"/>
                <w:szCs w:val="20"/>
                <w:color w:val="auto"/>
              </w:rPr>
            </w:pPr>
            <w:r>
              <w:rPr>
                <w:rFonts w:ascii="Arial" w:cs="Arial" w:eastAsia="Arial" w:hAnsi="Arial"/>
                <w:sz w:val="16"/>
                <w:szCs w:val="16"/>
                <w:b w:val="1"/>
                <w:bCs w:val="1"/>
                <w:color w:val="auto"/>
              </w:rPr>
              <w:t>Michigan</w:t>
            </w:r>
          </w:p>
        </w:tc>
        <w:tc>
          <w:tcPr>
            <w:tcW w:w="2600" w:type="dxa"/>
            <w:vAlign w:val="bottom"/>
          </w:tcPr>
          <w:p>
            <w:pPr>
              <w:spacing w:after="0"/>
              <w:rPr>
                <w:sz w:val="24"/>
                <w:szCs w:val="24"/>
                <w:color w:val="auto"/>
              </w:rPr>
            </w:pPr>
          </w:p>
        </w:tc>
        <w:tc>
          <w:tcPr>
            <w:tcW w:w="3760" w:type="dxa"/>
            <w:vAlign w:val="bottom"/>
          </w:tcPr>
          <w:p>
            <w:pPr>
              <w:jc w:val="right"/>
              <w:ind w:right="305"/>
              <w:spacing w:after="0"/>
              <w:rPr>
                <w:sz w:val="20"/>
                <w:szCs w:val="20"/>
                <w:color w:val="auto"/>
              </w:rPr>
            </w:pPr>
            <w:r>
              <w:rPr>
                <w:rFonts w:ascii="Arial" w:cs="Arial" w:eastAsia="Arial" w:hAnsi="Arial"/>
                <w:sz w:val="16"/>
                <w:szCs w:val="16"/>
                <w:b w:val="1"/>
                <w:bCs w:val="1"/>
                <w:color w:val="auto"/>
              </w:rPr>
              <w:t>38-2030505</w:t>
            </w:r>
          </w:p>
        </w:tc>
      </w:tr>
      <w:tr>
        <w:trPr>
          <w:trHeight w:val="213"/>
        </w:trPr>
        <w:tc>
          <w:tcPr>
            <w:tcW w:w="3480" w:type="dxa"/>
            <w:vAlign w:val="bottom"/>
          </w:tcPr>
          <w:p>
            <w:pPr>
              <w:jc w:val="center"/>
              <w:ind w:left="745"/>
              <w:spacing w:after="0"/>
              <w:rPr>
                <w:sz w:val="20"/>
                <w:szCs w:val="20"/>
                <w:color w:val="auto"/>
              </w:rPr>
            </w:pPr>
            <w:r>
              <w:rPr>
                <w:rFonts w:ascii="Arial" w:cs="Arial" w:eastAsia="Arial" w:hAnsi="Arial"/>
                <w:sz w:val="14"/>
                <w:szCs w:val="14"/>
                <w:color w:val="auto"/>
              </w:rPr>
              <w:t>State or other jurisdiction of</w:t>
            </w:r>
          </w:p>
        </w:tc>
        <w:tc>
          <w:tcPr>
            <w:tcW w:w="2600" w:type="dxa"/>
            <w:vAlign w:val="bottom"/>
          </w:tcPr>
          <w:p>
            <w:pPr>
              <w:spacing w:after="0"/>
              <w:rPr>
                <w:sz w:val="18"/>
                <w:szCs w:val="18"/>
                <w:color w:val="auto"/>
              </w:rPr>
            </w:pPr>
          </w:p>
        </w:tc>
        <w:tc>
          <w:tcPr>
            <w:tcW w:w="3760" w:type="dxa"/>
            <w:vAlign w:val="bottom"/>
          </w:tcPr>
          <w:p>
            <w:pPr>
              <w:jc w:val="center"/>
              <w:ind w:left="2065"/>
              <w:spacing w:after="0"/>
              <w:rPr>
                <w:sz w:val="20"/>
                <w:szCs w:val="20"/>
                <w:color w:val="auto"/>
              </w:rPr>
            </w:pPr>
            <w:r>
              <w:rPr>
                <w:rFonts w:ascii="Arial" w:cs="Arial" w:eastAsia="Arial" w:hAnsi="Arial"/>
                <w:sz w:val="14"/>
                <w:szCs w:val="14"/>
                <w:color w:val="auto"/>
              </w:rPr>
              <w:t>(I.R.S. Employer</w:t>
            </w:r>
          </w:p>
        </w:tc>
      </w:tr>
      <w:tr>
        <w:trPr>
          <w:trHeight w:val="172"/>
        </w:trPr>
        <w:tc>
          <w:tcPr>
            <w:tcW w:w="3480" w:type="dxa"/>
            <w:vAlign w:val="bottom"/>
          </w:tcPr>
          <w:p>
            <w:pPr>
              <w:jc w:val="center"/>
              <w:ind w:left="745"/>
              <w:spacing w:after="0"/>
              <w:rPr>
                <w:sz w:val="20"/>
                <w:szCs w:val="20"/>
                <w:color w:val="auto"/>
              </w:rPr>
            </w:pPr>
            <w:r>
              <w:rPr>
                <w:rFonts w:ascii="Arial" w:cs="Arial" w:eastAsia="Arial" w:hAnsi="Arial"/>
                <w:sz w:val="14"/>
                <w:szCs w:val="14"/>
                <w:color w:val="auto"/>
              </w:rPr>
              <w:t>incorporation or organization</w:t>
            </w:r>
          </w:p>
        </w:tc>
        <w:tc>
          <w:tcPr>
            <w:tcW w:w="2600" w:type="dxa"/>
            <w:vAlign w:val="bottom"/>
          </w:tcPr>
          <w:p>
            <w:pPr>
              <w:spacing w:after="0"/>
              <w:rPr>
                <w:sz w:val="14"/>
                <w:szCs w:val="14"/>
                <w:color w:val="auto"/>
              </w:rPr>
            </w:pPr>
          </w:p>
        </w:tc>
        <w:tc>
          <w:tcPr>
            <w:tcW w:w="3760" w:type="dxa"/>
            <w:vAlign w:val="bottom"/>
          </w:tcPr>
          <w:p>
            <w:pPr>
              <w:jc w:val="center"/>
              <w:ind w:left="2085"/>
              <w:spacing w:after="0"/>
              <w:rPr>
                <w:sz w:val="20"/>
                <w:szCs w:val="20"/>
                <w:color w:val="auto"/>
              </w:rPr>
            </w:pPr>
            <w:r>
              <w:rPr>
                <w:rFonts w:ascii="Arial" w:cs="Arial" w:eastAsia="Arial" w:hAnsi="Arial"/>
                <w:sz w:val="14"/>
                <w:szCs w:val="14"/>
                <w:color w:val="auto"/>
              </w:rPr>
              <w:t>Identification No.)</w:t>
            </w:r>
          </w:p>
        </w:tc>
      </w:tr>
      <w:tr>
        <w:trPr>
          <w:trHeight w:val="357"/>
        </w:trPr>
        <w:tc>
          <w:tcPr>
            <w:tcW w:w="3480" w:type="dxa"/>
            <w:vAlign w:val="bottom"/>
          </w:tcPr>
          <w:p>
            <w:pPr>
              <w:jc w:val="center"/>
              <w:ind w:left="745"/>
              <w:spacing w:after="0"/>
              <w:rPr>
                <w:sz w:val="20"/>
                <w:szCs w:val="20"/>
                <w:color w:val="auto"/>
              </w:rPr>
            </w:pPr>
            <w:r>
              <w:rPr>
                <w:rFonts w:ascii="Arial" w:cs="Arial" w:eastAsia="Arial" w:hAnsi="Arial"/>
                <w:sz w:val="16"/>
                <w:szCs w:val="16"/>
                <w:b w:val="1"/>
                <w:bCs w:val="1"/>
                <w:color w:val="auto"/>
              </w:rPr>
              <w:t>600 N. Centennial Street,</w:t>
            </w:r>
          </w:p>
        </w:tc>
        <w:tc>
          <w:tcPr>
            <w:tcW w:w="2600" w:type="dxa"/>
            <w:vAlign w:val="bottom"/>
          </w:tcPr>
          <w:p>
            <w:pPr>
              <w:spacing w:after="0"/>
              <w:rPr>
                <w:sz w:val="24"/>
                <w:szCs w:val="24"/>
                <w:color w:val="auto"/>
              </w:rPr>
            </w:pPr>
          </w:p>
        </w:tc>
        <w:tc>
          <w:tcPr>
            <w:tcW w:w="3760" w:type="dxa"/>
            <w:vAlign w:val="bottom"/>
          </w:tcPr>
          <w:p>
            <w:pPr>
              <w:jc w:val="right"/>
              <w:ind w:right="505"/>
              <w:spacing w:after="0"/>
              <w:rPr>
                <w:sz w:val="20"/>
                <w:szCs w:val="20"/>
                <w:color w:val="auto"/>
              </w:rPr>
            </w:pPr>
            <w:r>
              <w:rPr>
                <w:rFonts w:ascii="Arial" w:cs="Arial" w:eastAsia="Arial" w:hAnsi="Arial"/>
                <w:sz w:val="16"/>
                <w:szCs w:val="16"/>
                <w:b w:val="1"/>
                <w:bCs w:val="1"/>
                <w:color w:val="auto"/>
              </w:rPr>
              <w:t>49464</w:t>
            </w:r>
          </w:p>
        </w:tc>
      </w:tr>
      <w:tr>
        <w:trPr>
          <w:trHeight w:val="270"/>
        </w:trPr>
        <w:tc>
          <w:tcPr>
            <w:tcW w:w="3480" w:type="dxa"/>
            <w:vAlign w:val="bottom"/>
          </w:tcPr>
          <w:p>
            <w:pPr>
              <w:ind w:left="1520"/>
              <w:spacing w:after="0"/>
              <w:rPr>
                <w:sz w:val="20"/>
                <w:szCs w:val="20"/>
                <w:color w:val="auto"/>
              </w:rPr>
            </w:pPr>
            <w:r>
              <w:rPr>
                <w:rFonts w:ascii="Arial" w:cs="Arial" w:eastAsia="Arial" w:hAnsi="Arial"/>
                <w:sz w:val="16"/>
                <w:szCs w:val="16"/>
                <w:b w:val="1"/>
                <w:bCs w:val="1"/>
                <w:color w:val="auto"/>
              </w:rPr>
              <w:t>Zeeland, Michigan</w:t>
            </w:r>
          </w:p>
        </w:tc>
        <w:tc>
          <w:tcPr>
            <w:tcW w:w="2600" w:type="dxa"/>
            <w:vAlign w:val="bottom"/>
          </w:tcPr>
          <w:p>
            <w:pPr>
              <w:spacing w:after="0"/>
              <w:rPr>
                <w:sz w:val="23"/>
                <w:szCs w:val="23"/>
                <w:color w:val="auto"/>
              </w:rPr>
            </w:pPr>
          </w:p>
        </w:tc>
        <w:tc>
          <w:tcPr>
            <w:tcW w:w="3760" w:type="dxa"/>
            <w:vAlign w:val="bottom"/>
          </w:tcPr>
          <w:p>
            <w:pPr>
              <w:spacing w:after="0"/>
              <w:rPr>
                <w:sz w:val="23"/>
                <w:szCs w:val="23"/>
                <w:color w:val="auto"/>
              </w:rPr>
            </w:pPr>
          </w:p>
        </w:tc>
      </w:tr>
      <w:tr>
        <w:trPr>
          <w:trHeight w:val="222"/>
        </w:trPr>
        <w:tc>
          <w:tcPr>
            <w:tcW w:w="3480" w:type="dxa"/>
            <w:vAlign w:val="bottom"/>
          </w:tcPr>
          <w:p>
            <w:pPr>
              <w:jc w:val="center"/>
              <w:ind w:left="745"/>
              <w:spacing w:after="0"/>
              <w:rPr>
                <w:sz w:val="20"/>
                <w:szCs w:val="20"/>
                <w:color w:val="auto"/>
              </w:rPr>
            </w:pPr>
            <w:r>
              <w:rPr>
                <w:rFonts w:ascii="Arial" w:cs="Arial" w:eastAsia="Arial" w:hAnsi="Arial"/>
                <w:sz w:val="14"/>
                <w:szCs w:val="14"/>
                <w:color w:val="auto"/>
              </w:rPr>
              <w:t>(Address of principal executive offices)</w:t>
            </w:r>
          </w:p>
        </w:tc>
        <w:tc>
          <w:tcPr>
            <w:tcW w:w="2600" w:type="dxa"/>
            <w:vAlign w:val="bottom"/>
          </w:tcPr>
          <w:p>
            <w:pPr>
              <w:spacing w:after="0"/>
              <w:rPr>
                <w:sz w:val="19"/>
                <w:szCs w:val="19"/>
                <w:color w:val="auto"/>
              </w:rPr>
            </w:pPr>
          </w:p>
        </w:tc>
        <w:tc>
          <w:tcPr>
            <w:tcW w:w="3760" w:type="dxa"/>
            <w:vAlign w:val="bottom"/>
          </w:tcPr>
          <w:p>
            <w:pPr>
              <w:jc w:val="center"/>
              <w:ind w:left="2085"/>
              <w:spacing w:after="0"/>
              <w:rPr>
                <w:sz w:val="20"/>
                <w:szCs w:val="20"/>
                <w:color w:val="auto"/>
              </w:rPr>
            </w:pPr>
            <w:r>
              <w:rPr>
                <w:rFonts w:ascii="Arial" w:cs="Arial" w:eastAsia="Arial" w:hAnsi="Arial"/>
                <w:sz w:val="14"/>
                <w:szCs w:val="14"/>
                <w:color w:val="auto"/>
              </w:rPr>
              <w:t>(Zip Code)</w:t>
            </w:r>
          </w:p>
        </w:tc>
      </w:tr>
      <w:tr>
        <w:trPr>
          <w:trHeight w:val="190"/>
        </w:trPr>
        <w:tc>
          <w:tcPr>
            <w:tcW w:w="3480" w:type="dxa"/>
            <w:vAlign w:val="bottom"/>
          </w:tcPr>
          <w:p>
            <w:pPr>
              <w:spacing w:after="0"/>
              <w:rPr>
                <w:sz w:val="16"/>
                <w:szCs w:val="16"/>
                <w:color w:val="auto"/>
              </w:rPr>
            </w:pPr>
          </w:p>
        </w:tc>
        <w:tc>
          <w:tcPr>
            <w:tcW w:w="6360" w:type="dxa"/>
            <w:vAlign w:val="bottom"/>
            <w:gridSpan w:val="2"/>
          </w:tcPr>
          <w:p>
            <w:pPr>
              <w:jc w:val="center"/>
              <w:ind w:right="1825"/>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616-772-1800</w:t>
            </w:r>
          </w:p>
        </w:tc>
      </w:tr>
      <w:tr>
        <w:trPr>
          <w:trHeight w:val="324"/>
        </w:trPr>
        <w:tc>
          <w:tcPr>
            <w:tcW w:w="608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760" w:type="dxa"/>
            <w:vAlign w:val="bottom"/>
          </w:tcPr>
          <w:p>
            <w:pPr>
              <w:spacing w:after="0"/>
              <w:rPr>
                <w:sz w:val="24"/>
                <w:szCs w:val="24"/>
                <w:color w:val="auto"/>
              </w:rPr>
            </w:pPr>
          </w:p>
        </w:tc>
      </w:tr>
      <w:tr>
        <w:trPr>
          <w:trHeight w:val="330"/>
        </w:trPr>
        <w:tc>
          <w:tcPr>
            <w:tcW w:w="3480" w:type="dxa"/>
            <w:vAlign w:val="bottom"/>
            <w:tcBorders>
              <w:bottom w:val="single" w:sz="8" w:color="auto"/>
            </w:tcBorders>
          </w:tcPr>
          <w:p>
            <w:pPr>
              <w:jc w:val="center"/>
              <w:ind w:left="185"/>
              <w:spacing w:after="0"/>
              <w:rPr>
                <w:sz w:val="20"/>
                <w:szCs w:val="20"/>
                <w:color w:val="auto"/>
              </w:rPr>
            </w:pPr>
            <w:r>
              <w:rPr>
                <w:rFonts w:ascii="Arial" w:cs="Arial" w:eastAsia="Arial" w:hAnsi="Arial"/>
                <w:sz w:val="14"/>
                <w:szCs w:val="14"/>
                <w:color w:val="auto"/>
              </w:rPr>
              <w:t>Title of each Class</w:t>
            </w:r>
          </w:p>
        </w:tc>
        <w:tc>
          <w:tcPr>
            <w:tcW w:w="260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color w:val="auto"/>
              </w:rPr>
              <w:t>Trading Symbol(s)</w:t>
            </w:r>
          </w:p>
        </w:tc>
        <w:tc>
          <w:tcPr>
            <w:tcW w:w="376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rPr>
              <w:t>Name of each exchange on which registered</w:t>
            </w:r>
          </w:p>
        </w:tc>
      </w:tr>
      <w:tr>
        <w:trPr>
          <w:trHeight w:val="204"/>
        </w:trPr>
        <w:tc>
          <w:tcPr>
            <w:tcW w:w="3480" w:type="dxa"/>
            <w:vAlign w:val="bottom"/>
          </w:tcPr>
          <w:p>
            <w:pPr>
              <w:jc w:val="center"/>
              <w:ind w:left="205"/>
              <w:spacing w:after="0"/>
              <w:rPr>
                <w:sz w:val="20"/>
                <w:szCs w:val="20"/>
                <w:color w:val="auto"/>
              </w:rPr>
            </w:pPr>
            <w:r>
              <w:rPr>
                <w:rFonts w:ascii="Arial" w:cs="Arial" w:eastAsia="Arial" w:hAnsi="Arial"/>
                <w:sz w:val="14"/>
                <w:szCs w:val="14"/>
                <w:b w:val="1"/>
                <w:bCs w:val="1"/>
                <w:color w:val="auto"/>
              </w:rPr>
              <w:t>Common Stock, par value $.06 per share</w:t>
            </w:r>
          </w:p>
        </w:tc>
        <w:tc>
          <w:tcPr>
            <w:tcW w:w="2600" w:type="dxa"/>
            <w:vAlign w:val="bottom"/>
          </w:tcPr>
          <w:p>
            <w:pPr>
              <w:jc w:val="center"/>
              <w:ind w:left="321"/>
              <w:spacing w:after="0"/>
              <w:rPr>
                <w:sz w:val="20"/>
                <w:szCs w:val="20"/>
                <w:color w:val="auto"/>
              </w:rPr>
            </w:pPr>
            <w:r>
              <w:rPr>
                <w:rFonts w:ascii="Arial" w:cs="Arial" w:eastAsia="Arial" w:hAnsi="Arial"/>
                <w:sz w:val="14"/>
                <w:szCs w:val="14"/>
                <w:b w:val="1"/>
                <w:bCs w:val="1"/>
                <w:color w:val="auto"/>
              </w:rPr>
              <w:t>GNTX</w:t>
            </w:r>
          </w:p>
        </w:tc>
        <w:tc>
          <w:tcPr>
            <w:tcW w:w="3760" w:type="dxa"/>
            <w:vAlign w:val="bottom"/>
          </w:tcPr>
          <w:p>
            <w:pPr>
              <w:jc w:val="center"/>
              <w:ind w:left="45"/>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None</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(Title of Class)</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6" w:lineRule="exact"/>
        <w:rPr>
          <w:sz w:val="24"/>
          <w:szCs w:val="24"/>
          <w:color w:val="auto"/>
        </w:rPr>
      </w:pPr>
    </w:p>
    <w:p>
      <w:pPr>
        <w:ind w:left="660"/>
        <w:spacing w:after="0" w:line="214" w:lineRule="exact"/>
        <w:tabs>
          <w:tab w:leader="none" w:pos="13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Arial" w:cs="Arial" w:eastAsia="Arial" w:hAnsi="Arial"/>
          <w:sz w:val="18"/>
          <w:szCs w:val="18"/>
          <w:color w:val="auto"/>
        </w:rPr>
        <w:t>o</w:t>
      </w: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ind w:left="660"/>
        <w:spacing w:after="0" w:line="207" w:lineRule="exact"/>
        <w:tabs>
          <w:tab w:leader="none" w:pos="1320" w:val="left"/>
          <w:tab w:leader="none" w:pos="1660" w:val="left"/>
        </w:tabs>
        <w:rPr>
          <w:sz w:val="20"/>
          <w:szCs w:val="20"/>
          <w:color w:val="auto"/>
        </w:rPr>
      </w:pPr>
      <w:r>
        <w:rPr>
          <w:rFonts w:ascii="Arial" w:cs="Arial" w:eastAsia="Arial" w:hAnsi="Arial"/>
          <w:sz w:val="14"/>
          <w:szCs w:val="14"/>
          <w:color w:val="auto"/>
        </w:rPr>
        <w:t xml:space="preserve">Yes: </w:t>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235" w:lineRule="exact"/>
        <w:rPr>
          <w:sz w:val="24"/>
          <w:szCs w:val="24"/>
          <w:color w:val="auto"/>
        </w:rPr>
      </w:pPr>
    </w:p>
    <w:p>
      <w:pPr>
        <w:ind w:right="200"/>
        <w:spacing w:after="0" w:line="23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60"/>
        <w:spacing w:after="0" w:line="207" w:lineRule="exact"/>
        <w:tabs>
          <w:tab w:leader="none" w:pos="13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Arial" w:cs="Arial" w:eastAsia="Arial" w:hAnsi="Arial"/>
          <w:sz w:val="18"/>
          <w:szCs w:val="18"/>
          <w:color w:val="auto"/>
        </w:rPr>
        <w:t>o</w:t>
      </w:r>
    </w:p>
    <w:p>
      <w:pPr>
        <w:spacing w:after="0" w:line="235" w:lineRule="exact"/>
        <w:rPr>
          <w:sz w:val="24"/>
          <w:szCs w:val="24"/>
          <w:color w:val="auto"/>
        </w:rPr>
      </w:pPr>
    </w:p>
    <w:p>
      <w:pPr>
        <w:ind w:right="60"/>
        <w:spacing w:after="0" w:line="23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660"/>
        <w:spacing w:after="0" w:line="207" w:lineRule="exact"/>
        <w:tabs>
          <w:tab w:leader="none" w:pos="13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Arial" w:cs="Arial" w:eastAsia="Arial" w:hAnsi="Arial"/>
          <w:sz w:val="18"/>
          <w:szCs w:val="18"/>
          <w:color w:val="auto"/>
        </w:rPr>
        <w:t>o</w:t>
      </w:r>
    </w:p>
    <w:p>
      <w:pPr>
        <w:spacing w:after="0" w:line="370" w:lineRule="exact"/>
        <w:rPr>
          <w:sz w:val="24"/>
          <w:szCs w:val="24"/>
          <w:color w:val="auto"/>
        </w:rPr>
      </w:pPr>
    </w:p>
    <w:p>
      <w:pPr>
        <w:ind w:right="34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0" w:lineRule="exact"/>
        <w:rPr>
          <w:sz w:val="24"/>
          <w:szCs w:val="24"/>
          <w:color w:val="auto"/>
        </w:rPr>
      </w:pPr>
    </w:p>
    <w:tbl>
      <w:tblPr>
        <w:tblLayout w:type="fixed"/>
        <w:tblInd w:w="40" w:type="dxa"/>
        <w:tblCellMar>
          <w:top w:w="0" w:type="dxa"/>
          <w:left w:w="0" w:type="dxa"/>
          <w:bottom w:w="0" w:type="dxa"/>
          <w:right w:w="0" w:type="dxa"/>
        </w:tblCellMar>
      </w:tblPr>
      <w:tr>
        <w:trPr>
          <w:trHeight w:val="188"/>
        </w:trPr>
        <w:tc>
          <w:tcPr>
            <w:tcW w:w="2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ü</w:t>
            </w:r>
          </w:p>
        </w:tc>
        <w:tc>
          <w:tcPr>
            <w:tcW w:w="6780" w:type="dxa"/>
            <w:vAlign w:val="bottom"/>
          </w:tcPr>
          <w:p>
            <w:pPr>
              <w:ind w:left="4260"/>
              <w:spacing w:after="0"/>
              <w:rPr>
                <w:sz w:val="20"/>
                <w:szCs w:val="20"/>
                <w:color w:val="auto"/>
              </w:rPr>
            </w:pPr>
            <w:r>
              <w:rPr>
                <w:rFonts w:ascii="Arial" w:cs="Arial" w:eastAsia="Arial" w:hAnsi="Arial"/>
                <w:sz w:val="14"/>
                <w:szCs w:val="14"/>
                <w:color w:val="auto"/>
              </w:rPr>
              <w:t>Accelerated filer</w:t>
            </w:r>
          </w:p>
        </w:tc>
        <w:tc>
          <w:tcPr>
            <w:tcW w:w="300" w:type="dxa"/>
            <w:vAlign w:val="bottom"/>
            <w:tcBorders>
              <w:bottom w:val="single" w:sz="8" w:color="auto"/>
            </w:tcBorders>
          </w:tcPr>
          <w:p>
            <w:pPr>
              <w:spacing w:after="0"/>
              <w:rPr>
                <w:sz w:val="16"/>
                <w:szCs w:val="16"/>
                <w:color w:val="auto"/>
              </w:rPr>
            </w:pPr>
          </w:p>
        </w:tc>
      </w:tr>
      <w:tr>
        <w:trPr>
          <w:trHeight w:val="265"/>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 w:type="dxa"/>
            <w:vAlign w:val="bottom"/>
            <w:tcBorders>
              <w:bottom w:val="single" w:sz="8" w:color="auto"/>
            </w:tcBorders>
          </w:tcPr>
          <w:p>
            <w:pPr>
              <w:spacing w:after="0"/>
              <w:rPr>
                <w:sz w:val="23"/>
                <w:szCs w:val="23"/>
                <w:color w:val="auto"/>
              </w:rPr>
            </w:pPr>
          </w:p>
        </w:tc>
        <w:tc>
          <w:tcPr>
            <w:tcW w:w="6780" w:type="dxa"/>
            <w:vAlign w:val="bottom"/>
          </w:tcPr>
          <w:p>
            <w:pPr>
              <w:ind w:left="4260"/>
              <w:spacing w:after="0"/>
              <w:rPr>
                <w:sz w:val="20"/>
                <w:szCs w:val="20"/>
                <w:color w:val="auto"/>
              </w:rPr>
            </w:pPr>
            <w:r>
              <w:rPr>
                <w:rFonts w:ascii="Arial" w:cs="Arial" w:eastAsia="Arial" w:hAnsi="Arial"/>
                <w:sz w:val="14"/>
                <w:szCs w:val="14"/>
                <w:color w:val="auto"/>
              </w:rPr>
              <w:t>Smaller reporting company</w:t>
            </w:r>
          </w:p>
        </w:tc>
        <w:tc>
          <w:tcPr>
            <w:tcW w:w="300" w:type="dxa"/>
            <w:vAlign w:val="bottom"/>
            <w:tcBorders>
              <w:bottom w:val="single" w:sz="8" w:color="auto"/>
            </w:tcBorders>
          </w:tcPr>
          <w:p>
            <w:pPr>
              <w:ind w:left="40"/>
              <w:spacing w:after="0" w:line="141" w:lineRule="exact"/>
              <w:rPr>
                <w:sz w:val="20"/>
                <w:szCs w:val="20"/>
                <w:color w:val="auto"/>
              </w:rPr>
            </w:pPr>
            <w:r>
              <w:rPr>
                <w:rFonts w:ascii="MS PGothic" w:cs="MS PGothic" w:eastAsia="MS PGothic" w:hAnsi="MS PGothic"/>
                <w:sz w:val="14"/>
                <w:szCs w:val="14"/>
                <w:color w:val="auto"/>
              </w:rPr>
              <w:t>☐</w:t>
            </w:r>
          </w:p>
        </w:tc>
      </w:tr>
      <w:tr>
        <w:trPr>
          <w:trHeight w:val="259"/>
        </w:trPr>
        <w:tc>
          <w:tcPr>
            <w:tcW w:w="2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780" w:type="dxa"/>
            <w:vAlign w:val="bottom"/>
          </w:tcPr>
          <w:p>
            <w:pPr>
              <w:ind w:left="4260"/>
              <w:spacing w:after="0"/>
              <w:rPr>
                <w:sz w:val="20"/>
                <w:szCs w:val="20"/>
                <w:color w:val="auto"/>
              </w:rPr>
            </w:pPr>
            <w:r>
              <w:rPr>
                <w:rFonts w:ascii="Arial" w:cs="Arial" w:eastAsia="Arial" w:hAnsi="Arial"/>
                <w:sz w:val="14"/>
                <w:szCs w:val="14"/>
                <w:color w:val="auto"/>
              </w:rPr>
              <w:t>Emerging growth company</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6076950</wp:posOffset>
            </wp:positionH>
            <wp:positionV relativeFrom="paragraph">
              <wp:posOffset>6350</wp:posOffset>
            </wp:positionV>
            <wp:extent cx="1803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35" w:lineRule="exact"/>
        <w:rPr>
          <w:sz w:val="24"/>
          <w:szCs w:val="24"/>
          <w:color w:val="auto"/>
        </w:rPr>
      </w:pPr>
    </w:p>
    <w:p>
      <w:pPr>
        <w:ind w:right="400"/>
        <w:spacing w:after="0" w:line="277"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64" w:lineRule="exact"/>
        <w:rPr>
          <w:sz w:val="24"/>
          <w:szCs w:val="24"/>
          <w:color w:val="auto"/>
        </w:rPr>
      </w:pPr>
    </w:p>
    <w:p>
      <w:pPr>
        <w:spacing w:after="0" w:line="207" w:lineRule="exact"/>
        <w:tabs>
          <w:tab w:leader="none" w:pos="6660" w:val="left"/>
          <w:tab w:leader="none" w:pos="740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6"/>
          <w:szCs w:val="16"/>
          <w:color w:val="auto"/>
        </w:rPr>
        <w:t>☑</w:t>
      </w:r>
    </w:p>
    <w:p>
      <w:pPr>
        <w:spacing w:after="0" w:line="196" w:lineRule="exact"/>
        <w:rPr>
          <w:sz w:val="24"/>
          <w:szCs w:val="24"/>
          <w:color w:val="auto"/>
        </w:rPr>
      </w:pPr>
    </w:p>
    <w:p>
      <w:pPr>
        <w:spacing w:after="0" w:line="250" w:lineRule="auto"/>
        <w:rPr>
          <w:sz w:val="20"/>
          <w:szCs w:val="20"/>
          <w:color w:val="auto"/>
        </w:rPr>
      </w:pPr>
      <w:r>
        <w:rPr>
          <w:rFonts w:ascii="Arial" w:cs="Arial" w:eastAsia="Arial" w:hAnsi="Arial"/>
          <w:sz w:val="14"/>
          <w:szCs w:val="14"/>
          <w:color w:val="auto"/>
        </w:rPr>
        <w:t>As of June 30, 2019 (the last business day of the registrant’s most recently completed second fiscal quarter), 254,779,119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$6,258,471,128 computed at the closing price on that date.</w:t>
      </w:r>
    </w:p>
    <w:p>
      <w:pPr>
        <w:spacing w:after="0" w:line="118" w:lineRule="exact"/>
        <w:rPr>
          <w:sz w:val="24"/>
          <w:szCs w:val="24"/>
          <w:color w:val="auto"/>
        </w:rPr>
      </w:pPr>
    </w:p>
    <w:p>
      <w:pPr>
        <w:ind w:right="3000"/>
        <w:spacing w:after="0" w:line="459" w:lineRule="auto"/>
        <w:rPr>
          <w:sz w:val="20"/>
          <w:szCs w:val="20"/>
          <w:color w:val="auto"/>
        </w:rPr>
      </w:pPr>
      <w:r>
        <w:rPr>
          <w:rFonts w:ascii="Arial" w:cs="Arial" w:eastAsia="Arial" w:hAnsi="Arial"/>
          <w:sz w:val="14"/>
          <w:szCs w:val="14"/>
          <w:color w:val="auto"/>
        </w:rPr>
        <w:t>As of February 1, 2020, 251,274,340 shares of the registrant’s common stock, par value $.06 per share, were outstanding, Portions of the Company’s Proxy Statement for its 2019 Annual Meeting of Shareholders are incorporated by reference into Part III.</w:t>
      </w:r>
    </w:p>
    <w:p>
      <w:pPr>
        <w:sectPr>
          <w:pgSz w:w="11900" w:h="16838" w:orient="portrait"/>
          <w:cols w:equalWidth="0" w:num="1">
            <w:col w:w="11340"/>
          </w:cols>
          <w:pgMar w:left="240" w:top="715"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20" w:type="dxa"/>
            <w:vAlign w:val="bottom"/>
            <w:gridSpan w:val="11"/>
          </w:tcPr>
          <w:p>
            <w:pPr>
              <w:jc w:val="center"/>
              <w:ind w:right="1780"/>
              <w:spacing w:after="0"/>
              <w:rPr>
                <w:sz w:val="20"/>
                <w:szCs w:val="20"/>
                <w:color w:val="auto"/>
              </w:rPr>
            </w:pPr>
            <w:r>
              <w:rPr>
                <w:rFonts w:ascii="Arial" w:cs="Arial" w:eastAsia="Arial" w:hAnsi="Arial"/>
                <w:sz w:val="18"/>
                <w:szCs w:val="18"/>
                <w:b w:val="1"/>
                <w:bCs w:val="1"/>
                <w:color w:val="auto"/>
                <w:w w:val="99"/>
              </w:rPr>
              <w:t>GENTEX CORPORATION AND SUBSIDIARIES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20" w:type="dxa"/>
            <w:vAlign w:val="bottom"/>
            <w:gridSpan w:val="11"/>
          </w:tcPr>
          <w:p>
            <w:pPr>
              <w:jc w:val="center"/>
              <w:ind w:right="1780"/>
              <w:spacing w:after="0"/>
              <w:rPr>
                <w:sz w:val="20"/>
                <w:szCs w:val="20"/>
                <w:color w:val="auto"/>
              </w:rPr>
            </w:pPr>
            <w:r>
              <w:rPr>
                <w:rFonts w:ascii="Arial" w:cs="Arial" w:eastAsia="Arial" w:hAnsi="Arial"/>
                <w:sz w:val="18"/>
                <w:szCs w:val="18"/>
                <w:b w:val="1"/>
                <w:bCs w:val="1"/>
                <w:color w:val="auto"/>
                <w:w w:val="99"/>
              </w:rPr>
              <w:t>For the Year Ended December 31, 2019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40" w:type="dxa"/>
            <w:vAlign w:val="bottom"/>
            <w:gridSpan w:val="8"/>
          </w:tcPr>
          <w:p>
            <w:pPr>
              <w:jc w:val="center"/>
              <w:ind w:right="3260"/>
              <w:spacing w:after="0"/>
              <w:rPr>
                <w:sz w:val="20"/>
                <w:szCs w:val="20"/>
                <w:color w:val="auto"/>
              </w:rPr>
            </w:pPr>
            <w:r>
              <w:rPr>
                <w:rFonts w:ascii="Arial" w:cs="Arial" w:eastAsia="Arial" w:hAnsi="Arial"/>
                <w:sz w:val="18"/>
                <w:szCs w:val="18"/>
                <w:b w:val="1"/>
                <w:bCs w:val="1"/>
                <w:color w:val="auto"/>
              </w:rPr>
              <w:t>FORM 10-K</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9"/>
        </w:trPr>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40" w:type="dxa"/>
            <w:vAlign w:val="bottom"/>
            <w:gridSpan w:val="8"/>
          </w:tcPr>
          <w:p>
            <w:pPr>
              <w:jc w:val="center"/>
              <w:ind w:right="3260"/>
              <w:spacing w:after="0"/>
              <w:rPr>
                <w:sz w:val="20"/>
                <w:szCs w:val="20"/>
                <w:color w:val="auto"/>
              </w:rPr>
            </w:pPr>
            <w:r>
              <w:rPr>
                <w:rFonts w:ascii="Arial" w:cs="Arial" w:eastAsia="Arial" w:hAnsi="Arial"/>
                <w:sz w:val="18"/>
                <w:szCs w:val="18"/>
                <w:b w:val="1"/>
                <w:bCs w:val="1"/>
                <w:color w:val="auto"/>
                <w:w w:val="97"/>
              </w:rPr>
              <w:t>Index</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631"/>
        </w:trPr>
        <w:tc>
          <w:tcPr>
            <w:tcW w:w="1020" w:type="dxa"/>
            <w:vAlign w:val="bottom"/>
            <w:gridSpan w:val="3"/>
          </w:tcPr>
          <w:p>
            <w:pPr>
              <w:spacing w:after="0"/>
              <w:rPr>
                <w:sz w:val="20"/>
                <w:szCs w:val="20"/>
                <w:color w:val="auto"/>
              </w:rPr>
            </w:pPr>
            <w:r>
              <w:rPr>
                <w:rFonts w:ascii="Arial" w:cs="Arial" w:eastAsia="Arial" w:hAnsi="Arial"/>
                <w:sz w:val="22"/>
                <w:szCs w:val="22"/>
                <w:b w:val="1"/>
                <w:bCs w:val="1"/>
                <w:color w:val="auto"/>
              </w:rPr>
              <w:t>Part I</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3"/>
          </w:tcPr>
          <w:p>
            <w:pPr>
              <w:ind w:left="420"/>
              <w:spacing w:after="0"/>
              <w:rPr>
                <w:sz w:val="20"/>
                <w:szCs w:val="20"/>
                <w:color w:val="auto"/>
              </w:rPr>
            </w:pPr>
            <w:r>
              <w:rPr>
                <w:rFonts w:ascii="Arial" w:cs="Arial" w:eastAsia="Arial" w:hAnsi="Arial"/>
                <w:sz w:val="22"/>
                <w:szCs w:val="22"/>
                <w:b w:val="1"/>
                <w:bCs w:val="1"/>
                <w:color w:val="auto"/>
                <w:w w:val="94"/>
              </w:rPr>
              <w:t>Page</w:t>
            </w:r>
          </w:p>
        </w:tc>
      </w:tr>
      <w:tr>
        <w:trPr>
          <w:trHeight w:val="220"/>
        </w:trPr>
        <w:tc>
          <w:tcPr>
            <w:tcW w:w="560" w:type="dxa"/>
            <w:vAlign w:val="bottom"/>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460" w:type="dxa"/>
            <w:vAlign w:val="bottom"/>
            <w:gridSpan w:val="2"/>
          </w:tcPr>
          <w:p>
            <w:pPr>
              <w:spacing w:after="0"/>
              <w:rPr>
                <w:sz w:val="19"/>
                <w:szCs w:val="19"/>
                <w:color w:val="auto"/>
              </w:rPr>
            </w:pPr>
          </w:p>
        </w:tc>
        <w:tc>
          <w:tcPr>
            <w:tcW w:w="740" w:type="dxa"/>
            <w:vAlign w:val="bottom"/>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Business</w:t>
              </w:r>
            </w:hyperlink>
          </w:p>
        </w:tc>
        <w:tc>
          <w:tcPr>
            <w:tcW w:w="8040" w:type="dxa"/>
            <w:vAlign w:val="bottom"/>
            <w:gridSpan w:val="20"/>
          </w:tcPr>
          <w:p>
            <w:pPr>
              <w:spacing w:after="0"/>
              <w:rPr>
                <w:sz w:val="19"/>
                <w:szCs w:val="19"/>
                <w:color w:val="auto"/>
              </w:rPr>
            </w:pPr>
          </w:p>
        </w:tc>
        <w:tc>
          <w:tcPr>
            <w:tcW w:w="740" w:type="dxa"/>
            <w:vAlign w:val="bottom"/>
            <w:gridSpan w:val="2"/>
          </w:tcPr>
          <w:p>
            <w:pPr>
              <w:jc w:val="center"/>
              <w:ind w:left="548"/>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200" w:type="dxa"/>
            <w:vAlign w:val="bottom"/>
          </w:tcPr>
          <w:p>
            <w:pPr>
              <w:spacing w:after="0"/>
              <w:rPr>
                <w:sz w:val="19"/>
                <w:szCs w:val="19"/>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Item 1A.</w:t>
              </w:r>
            </w:hyperlink>
          </w:p>
        </w:tc>
        <w:tc>
          <w:tcPr>
            <w:tcW w:w="360" w:type="dxa"/>
            <w:vAlign w:val="bottom"/>
          </w:tcPr>
          <w:p>
            <w:pPr>
              <w:spacing w:after="0"/>
              <w:rPr>
                <w:sz w:val="20"/>
                <w:szCs w:val="20"/>
                <w:color w:val="auto"/>
              </w:rPr>
            </w:pPr>
          </w:p>
        </w:tc>
        <w:tc>
          <w:tcPr>
            <w:tcW w:w="878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740" w:type="dxa"/>
            <w:vAlign w:val="bottom"/>
            <w:gridSpan w:val="2"/>
          </w:tcPr>
          <w:p>
            <w:pPr>
              <w:jc w:val="center"/>
              <w:ind w:left="548"/>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200" w:type="dxa"/>
            <w:vAlign w:val="bottom"/>
          </w:tcPr>
          <w:p>
            <w:pPr>
              <w:spacing w:after="0"/>
              <w:rPr>
                <w:sz w:val="20"/>
                <w:szCs w:val="20"/>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Item 1B.</w:t>
              </w:r>
            </w:hyperlink>
          </w:p>
        </w:tc>
        <w:tc>
          <w:tcPr>
            <w:tcW w:w="360" w:type="dxa"/>
            <w:vAlign w:val="bottom"/>
          </w:tcPr>
          <w:p>
            <w:pPr>
              <w:spacing w:after="0"/>
              <w:rPr>
                <w:sz w:val="20"/>
                <w:szCs w:val="20"/>
                <w:color w:val="auto"/>
              </w:rPr>
            </w:pPr>
          </w:p>
        </w:tc>
        <w:tc>
          <w:tcPr>
            <w:tcW w:w="2260" w:type="dxa"/>
            <w:vAlign w:val="bottom"/>
            <w:gridSpan w:val="10"/>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Unresolved Staff Comments</w:t>
              </w:r>
            </w:hyperlink>
          </w:p>
        </w:tc>
        <w:tc>
          <w:tcPr>
            <w:tcW w:w="6520" w:type="dxa"/>
            <w:vAlign w:val="bottom"/>
            <w:gridSpan w:val="11"/>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14">
              <w:r>
                <w:rPr>
                  <w:rFonts w:ascii="Arial" w:cs="Arial" w:eastAsia="Arial" w:hAnsi="Arial"/>
                  <w:sz w:val="17"/>
                  <w:szCs w:val="17"/>
                  <w:color w:val="0000EE"/>
                  <w:w w:val="73"/>
                </w:rPr>
                <w:t>14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Item 2.</w:t>
              </w:r>
            </w:hyperlink>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gridSpan w:val="1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6520" w:type="dxa"/>
            <w:vAlign w:val="bottom"/>
            <w:gridSpan w:val="11"/>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14">
              <w:r>
                <w:rPr>
                  <w:rFonts w:ascii="Arial" w:cs="Arial" w:eastAsia="Arial" w:hAnsi="Arial"/>
                  <w:sz w:val="17"/>
                  <w:szCs w:val="17"/>
                  <w:color w:val="0000EE"/>
                  <w:w w:val="73"/>
                </w:rPr>
                <w:t>14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Item 3.</w:t>
              </w:r>
            </w:hyperlink>
          </w:p>
        </w:tc>
        <w:tc>
          <w:tcPr>
            <w:tcW w:w="460" w:type="dxa"/>
            <w:vAlign w:val="bottom"/>
            <w:gridSpan w:val="2"/>
          </w:tcPr>
          <w:p>
            <w:pPr>
              <w:spacing w:after="0"/>
              <w:rPr>
                <w:sz w:val="20"/>
                <w:szCs w:val="20"/>
                <w:color w:val="auto"/>
              </w:rPr>
            </w:pPr>
          </w:p>
        </w:tc>
        <w:tc>
          <w:tcPr>
            <w:tcW w:w="1500" w:type="dxa"/>
            <w:vAlign w:val="bottom"/>
            <w:gridSpan w:val="6"/>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Legal Proceedings</w:t>
              </w:r>
            </w:hyperlink>
          </w:p>
        </w:tc>
        <w:tc>
          <w:tcPr>
            <w:tcW w:w="7280" w:type="dxa"/>
            <w:vAlign w:val="bottom"/>
            <w:gridSpan w:val="15"/>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15">
              <w:r>
                <w:rPr>
                  <w:rFonts w:ascii="Arial" w:cs="Arial" w:eastAsia="Arial" w:hAnsi="Arial"/>
                  <w:sz w:val="17"/>
                  <w:szCs w:val="17"/>
                  <w:color w:val="0000EE"/>
                  <w:w w:val="73"/>
                </w:rPr>
                <w:t>15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Item 4.</w:t>
              </w:r>
            </w:hyperlink>
          </w:p>
        </w:tc>
        <w:tc>
          <w:tcPr>
            <w:tcW w:w="460" w:type="dxa"/>
            <w:vAlign w:val="bottom"/>
            <w:gridSpan w:val="2"/>
          </w:tcPr>
          <w:p>
            <w:pPr>
              <w:spacing w:after="0"/>
              <w:rPr>
                <w:sz w:val="20"/>
                <w:szCs w:val="20"/>
                <w:color w:val="auto"/>
              </w:rPr>
            </w:pPr>
          </w:p>
        </w:tc>
        <w:tc>
          <w:tcPr>
            <w:tcW w:w="1900" w:type="dxa"/>
            <w:vAlign w:val="bottom"/>
            <w:gridSpan w:val="8"/>
          </w:tcPr>
          <w:p>
            <w:pPr>
              <w:spacing w:after="0"/>
              <w:rPr>
                <w:rFonts w:ascii="Arial" w:cs="Arial" w:eastAsia="Arial" w:hAnsi="Arial"/>
                <w:sz w:val="18"/>
                <w:szCs w:val="18"/>
                <w:color w:val="0000EE"/>
                <w:w w:val="96"/>
              </w:rPr>
            </w:pPr>
            <w:hyperlink w:anchor="page15">
              <w:r>
                <w:rPr>
                  <w:rFonts w:ascii="Arial" w:cs="Arial" w:eastAsia="Arial" w:hAnsi="Arial"/>
                  <w:sz w:val="18"/>
                  <w:szCs w:val="18"/>
                  <w:color w:val="0000EE"/>
                  <w:w w:val="96"/>
                </w:rPr>
                <w:t>Mine Safety Disclosures</w:t>
              </w:r>
            </w:hyperlink>
          </w:p>
        </w:tc>
        <w:tc>
          <w:tcPr>
            <w:tcW w:w="6880" w:type="dxa"/>
            <w:vAlign w:val="bottom"/>
            <w:gridSpan w:val="13"/>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15">
              <w:r>
                <w:rPr>
                  <w:rFonts w:ascii="Arial" w:cs="Arial" w:eastAsia="Arial" w:hAnsi="Arial"/>
                  <w:sz w:val="17"/>
                  <w:szCs w:val="17"/>
                  <w:color w:val="0000EE"/>
                  <w:w w:val="73"/>
                </w:rPr>
                <w:t>15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638"/>
        </w:trPr>
        <w:tc>
          <w:tcPr>
            <w:tcW w:w="1020" w:type="dxa"/>
            <w:vAlign w:val="bottom"/>
            <w:gridSpan w:val="3"/>
          </w:tcPr>
          <w:p>
            <w:pPr>
              <w:spacing w:after="0"/>
              <w:rPr>
                <w:sz w:val="20"/>
                <w:szCs w:val="20"/>
                <w:color w:val="auto"/>
              </w:rPr>
            </w:pPr>
            <w:r>
              <w:rPr>
                <w:rFonts w:ascii="Arial" w:cs="Arial" w:eastAsia="Arial" w:hAnsi="Arial"/>
                <w:sz w:val="22"/>
                <w:szCs w:val="22"/>
                <w:b w:val="1"/>
                <w:bCs w:val="1"/>
                <w:color w:val="auto"/>
              </w:rPr>
              <w:t>Part II</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0"/>
        </w:trPr>
        <w:tc>
          <w:tcPr>
            <w:tcW w:w="560" w:type="dxa"/>
            <w:vAlign w:val="bottom"/>
          </w:tcPr>
          <w:p>
            <w:pPr>
              <w:spacing w:after="0"/>
              <w:rPr>
                <w:rFonts w:ascii="Arial" w:cs="Arial" w:eastAsia="Arial" w:hAnsi="Arial"/>
                <w:sz w:val="18"/>
                <w:szCs w:val="18"/>
                <w:color w:val="0000EE"/>
                <w:w w:val="98"/>
              </w:rPr>
            </w:pPr>
            <w:hyperlink w:anchor="page16">
              <w:r>
                <w:rPr>
                  <w:rFonts w:ascii="Arial" w:cs="Arial" w:eastAsia="Arial" w:hAnsi="Arial"/>
                  <w:sz w:val="18"/>
                  <w:szCs w:val="18"/>
                  <w:color w:val="0000EE"/>
                  <w:w w:val="98"/>
                </w:rPr>
                <w:t>Item 5.</w:t>
              </w:r>
            </w:hyperlink>
          </w:p>
        </w:tc>
        <w:tc>
          <w:tcPr>
            <w:tcW w:w="460" w:type="dxa"/>
            <w:vAlign w:val="bottom"/>
            <w:gridSpan w:val="2"/>
          </w:tcPr>
          <w:p>
            <w:pPr>
              <w:spacing w:after="0"/>
              <w:rPr>
                <w:sz w:val="19"/>
                <w:szCs w:val="19"/>
                <w:color w:val="auto"/>
              </w:rPr>
            </w:pPr>
          </w:p>
        </w:tc>
        <w:tc>
          <w:tcPr>
            <w:tcW w:w="878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Market for the Registrant’s Common Equity, Related Stockholder Matters and Issuer Purchases of Equity</w:t>
              </w:r>
            </w:hyperlink>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83"/>
        </w:trPr>
        <w:tc>
          <w:tcPr>
            <w:tcW w:w="5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Borders>
              <w:top w:val="single" w:sz="8" w:color="0000EE"/>
            </w:tcBorders>
            <w:gridSpan w:val="2"/>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Securities</w:t>
              </w:r>
            </w:hyperlink>
          </w:p>
        </w:tc>
        <w:tc>
          <w:tcPr>
            <w:tcW w:w="7540" w:type="dxa"/>
            <w:vAlign w:val="bottom"/>
            <w:tcBorders>
              <w:top w:val="single" w:sz="8" w:color="0000EE"/>
            </w:tcBorders>
            <w:gridSpan w:val="18"/>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tcPr>
          <w:p>
            <w:pPr>
              <w:jc w:val="center"/>
              <w:ind w:right="160"/>
              <w:spacing w:after="0" w:line="183" w:lineRule="exact"/>
              <w:rPr>
                <w:rFonts w:ascii="Arial" w:cs="Arial" w:eastAsia="Arial" w:hAnsi="Arial"/>
                <w:sz w:val="17"/>
                <w:szCs w:val="17"/>
                <w:color w:val="0000EE"/>
                <w:w w:val="73"/>
              </w:rPr>
            </w:pPr>
            <w:hyperlink w:anchor="page16">
              <w:r>
                <w:rPr>
                  <w:rFonts w:ascii="Arial" w:cs="Arial" w:eastAsia="Arial" w:hAnsi="Arial"/>
                  <w:sz w:val="17"/>
                  <w:szCs w:val="17"/>
                  <w:color w:val="0000EE"/>
                  <w:w w:val="73"/>
                </w:rPr>
                <w:t>16</w:t>
              </w:r>
            </w:hyperlink>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Item 6.</w:t>
              </w:r>
            </w:hyperlink>
          </w:p>
        </w:tc>
        <w:tc>
          <w:tcPr>
            <w:tcW w:w="460" w:type="dxa"/>
            <w:vAlign w:val="bottom"/>
            <w:gridSpan w:val="2"/>
          </w:tcPr>
          <w:p>
            <w:pPr>
              <w:spacing w:after="0"/>
              <w:rPr>
                <w:sz w:val="20"/>
                <w:szCs w:val="20"/>
                <w:color w:val="auto"/>
              </w:rPr>
            </w:pPr>
          </w:p>
        </w:tc>
        <w:tc>
          <w:tcPr>
            <w:tcW w:w="878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Selected Financial Data</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17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7.</w:t>
              </w:r>
            </w:hyperlink>
          </w:p>
        </w:tc>
        <w:tc>
          <w:tcPr>
            <w:tcW w:w="460" w:type="dxa"/>
            <w:vAlign w:val="bottom"/>
            <w:gridSpan w:val="2"/>
          </w:tcPr>
          <w:p>
            <w:pPr>
              <w:spacing w:after="0"/>
              <w:rPr>
                <w:sz w:val="20"/>
                <w:szCs w:val="20"/>
                <w:color w:val="auto"/>
              </w:rPr>
            </w:pPr>
          </w:p>
        </w:tc>
        <w:tc>
          <w:tcPr>
            <w:tcW w:w="878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18</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Item 7A.</w:t>
              </w:r>
            </w:hyperlink>
          </w:p>
        </w:tc>
        <w:tc>
          <w:tcPr>
            <w:tcW w:w="360" w:type="dxa"/>
            <w:vAlign w:val="bottom"/>
          </w:tcPr>
          <w:p>
            <w:pPr>
              <w:spacing w:after="0"/>
              <w:rPr>
                <w:sz w:val="20"/>
                <w:szCs w:val="20"/>
                <w:color w:val="auto"/>
              </w:rPr>
            </w:pPr>
          </w:p>
        </w:tc>
        <w:tc>
          <w:tcPr>
            <w:tcW w:w="878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23</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Item 8.</w:t>
              </w:r>
            </w:hyperlink>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40" w:type="dxa"/>
            <w:vAlign w:val="bottom"/>
            <w:gridSpan w:val="13"/>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Financial Statements and Supplementary Data</w:t>
              </w:r>
            </w:hyperlink>
          </w:p>
        </w:tc>
        <w:tc>
          <w:tcPr>
            <w:tcW w:w="980" w:type="dxa"/>
            <w:vAlign w:val="bottom"/>
            <w:gridSpan w:val="2"/>
          </w:tcPr>
          <w:p>
            <w:pPr>
              <w:spacing w:after="0"/>
              <w:rPr>
                <w:sz w:val="20"/>
                <w:szCs w:val="20"/>
                <w:color w:val="auto"/>
              </w:rPr>
            </w:pPr>
          </w:p>
        </w:tc>
        <w:tc>
          <w:tcPr>
            <w:tcW w:w="4060" w:type="dxa"/>
            <w:vAlign w:val="bottom"/>
            <w:gridSpan w:val="6"/>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Item 9.</w:t>
              </w:r>
            </w:hyperlink>
          </w:p>
        </w:tc>
        <w:tc>
          <w:tcPr>
            <w:tcW w:w="460" w:type="dxa"/>
            <w:vAlign w:val="bottom"/>
            <w:gridSpan w:val="2"/>
          </w:tcPr>
          <w:p>
            <w:pPr>
              <w:spacing w:after="0"/>
              <w:rPr>
                <w:sz w:val="20"/>
                <w:szCs w:val="20"/>
                <w:color w:val="auto"/>
              </w:rPr>
            </w:pPr>
          </w:p>
        </w:tc>
        <w:tc>
          <w:tcPr>
            <w:tcW w:w="878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Changes in and Disagreements with Accountants on Accounting and Financial Disclosure</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24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Item 9A.</w:t>
              </w:r>
            </w:hyperlink>
          </w:p>
        </w:tc>
        <w:tc>
          <w:tcPr>
            <w:tcW w:w="360" w:type="dxa"/>
            <w:vAlign w:val="bottom"/>
          </w:tcPr>
          <w:p>
            <w:pPr>
              <w:spacing w:after="0"/>
              <w:rPr>
                <w:sz w:val="20"/>
                <w:szCs w:val="20"/>
                <w:color w:val="auto"/>
              </w:rPr>
            </w:pPr>
          </w:p>
        </w:tc>
        <w:tc>
          <w:tcPr>
            <w:tcW w:w="2000" w:type="dxa"/>
            <w:vAlign w:val="bottom"/>
            <w:gridSpan w:val="9"/>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Controls and Procedures</w:t>
              </w:r>
            </w:hyperlink>
          </w:p>
        </w:tc>
        <w:tc>
          <w:tcPr>
            <w:tcW w:w="6780" w:type="dxa"/>
            <w:vAlign w:val="bottom"/>
            <w:gridSpan w:val="12"/>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24</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Item 9B.</w:t>
              </w:r>
            </w:hyperlink>
          </w:p>
        </w:tc>
        <w:tc>
          <w:tcPr>
            <w:tcW w:w="360" w:type="dxa"/>
            <w:vAlign w:val="bottom"/>
          </w:tcPr>
          <w:p>
            <w:pPr>
              <w:spacing w:after="0"/>
              <w:rPr>
                <w:sz w:val="20"/>
                <w:szCs w:val="20"/>
                <w:color w:val="auto"/>
              </w:rPr>
            </w:pPr>
          </w:p>
        </w:tc>
        <w:tc>
          <w:tcPr>
            <w:tcW w:w="2000" w:type="dxa"/>
            <w:vAlign w:val="bottom"/>
            <w:gridSpan w:val="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6780" w:type="dxa"/>
            <w:vAlign w:val="bottom"/>
            <w:gridSpan w:val="12"/>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25">
              <w:r>
                <w:rPr>
                  <w:rFonts w:ascii="Arial" w:cs="Arial" w:eastAsia="Arial" w:hAnsi="Arial"/>
                  <w:sz w:val="17"/>
                  <w:szCs w:val="17"/>
                  <w:color w:val="0000EE"/>
                  <w:w w:val="73"/>
                </w:rPr>
                <w:t>25</w:t>
              </w:r>
            </w:hyperlink>
          </w:p>
        </w:tc>
      </w:tr>
      <w:tr>
        <w:trPr>
          <w:trHeight w:val="638"/>
        </w:trPr>
        <w:tc>
          <w:tcPr>
            <w:tcW w:w="660" w:type="dxa"/>
            <w:vAlign w:val="bottom"/>
            <w:tcBorders>
              <w:top w:val="single" w:sz="8" w:color="0000EE"/>
            </w:tcBorders>
            <w:gridSpan w:val="2"/>
          </w:tcPr>
          <w:p>
            <w:pPr>
              <w:spacing w:after="0"/>
              <w:rPr>
                <w:sz w:val="20"/>
                <w:szCs w:val="20"/>
                <w:color w:val="auto"/>
              </w:rPr>
            </w:pPr>
            <w:r>
              <w:rPr>
                <w:rFonts w:ascii="Arial" w:cs="Arial" w:eastAsia="Arial" w:hAnsi="Arial"/>
                <w:sz w:val="22"/>
                <w:szCs w:val="22"/>
                <w:b w:val="1"/>
                <w:bCs w:val="1"/>
                <w:color w:val="auto"/>
                <w:w w:val="92"/>
              </w:rPr>
              <w:t>Part III</w:t>
            </w:r>
          </w:p>
        </w:tc>
        <w:tc>
          <w:tcPr>
            <w:tcW w:w="36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r>
      <w:tr>
        <w:trPr>
          <w:trHeight w:val="220"/>
        </w:trPr>
        <w:tc>
          <w:tcPr>
            <w:tcW w:w="660" w:type="dxa"/>
            <w:vAlign w:val="bottom"/>
            <w:gridSpan w:val="2"/>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Item 10.</w:t>
              </w:r>
            </w:hyperlink>
          </w:p>
        </w:tc>
        <w:tc>
          <w:tcPr>
            <w:tcW w:w="360" w:type="dxa"/>
            <w:vAlign w:val="bottom"/>
          </w:tcPr>
          <w:p>
            <w:pPr>
              <w:spacing w:after="0"/>
              <w:rPr>
                <w:sz w:val="19"/>
                <w:szCs w:val="19"/>
                <w:color w:val="auto"/>
              </w:rPr>
            </w:pPr>
          </w:p>
        </w:tc>
        <w:tc>
          <w:tcPr>
            <w:tcW w:w="878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Directors, Executive Officers and Corporate Governance</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26</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Item 11.</w:t>
              </w:r>
            </w:hyperlink>
          </w:p>
        </w:tc>
        <w:tc>
          <w:tcPr>
            <w:tcW w:w="360" w:type="dxa"/>
            <w:vAlign w:val="bottom"/>
          </w:tcPr>
          <w:p>
            <w:pPr>
              <w:spacing w:after="0"/>
              <w:rPr>
                <w:sz w:val="20"/>
                <w:szCs w:val="20"/>
                <w:color w:val="auto"/>
              </w:rPr>
            </w:pPr>
          </w:p>
        </w:tc>
        <w:tc>
          <w:tcPr>
            <w:tcW w:w="2000" w:type="dxa"/>
            <w:vAlign w:val="bottom"/>
            <w:gridSpan w:val="9"/>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Executive Compensation</w:t>
              </w:r>
            </w:hyperlink>
          </w:p>
        </w:tc>
        <w:tc>
          <w:tcPr>
            <w:tcW w:w="2500" w:type="dxa"/>
            <w:vAlign w:val="bottom"/>
            <w:gridSpan w:val="5"/>
          </w:tcPr>
          <w:p>
            <w:pPr>
              <w:spacing w:after="0"/>
              <w:rPr>
                <w:sz w:val="20"/>
                <w:szCs w:val="20"/>
                <w:color w:val="auto"/>
              </w:rPr>
            </w:pPr>
          </w:p>
        </w:tc>
        <w:tc>
          <w:tcPr>
            <w:tcW w:w="4280" w:type="dxa"/>
            <w:vAlign w:val="bottom"/>
            <w:gridSpan w:val="7"/>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28">
              <w:r>
                <w:rPr>
                  <w:rFonts w:ascii="Arial" w:cs="Arial" w:eastAsia="Arial" w:hAnsi="Arial"/>
                  <w:sz w:val="17"/>
                  <w:szCs w:val="17"/>
                  <w:color w:val="0000EE"/>
                  <w:w w:val="73"/>
                </w:rPr>
                <w:t>28</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Item 12.</w:t>
              </w:r>
            </w:hyperlink>
          </w:p>
        </w:tc>
        <w:tc>
          <w:tcPr>
            <w:tcW w:w="360" w:type="dxa"/>
            <w:vAlign w:val="bottom"/>
          </w:tcPr>
          <w:p>
            <w:pPr>
              <w:spacing w:after="0"/>
              <w:rPr>
                <w:sz w:val="20"/>
                <w:szCs w:val="20"/>
                <w:color w:val="auto"/>
              </w:rPr>
            </w:pPr>
          </w:p>
        </w:tc>
        <w:tc>
          <w:tcPr>
            <w:tcW w:w="878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and Management and Related Stockholder Matters</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31</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Item 13.</w:t>
              </w:r>
            </w:hyperlink>
          </w:p>
        </w:tc>
        <w:tc>
          <w:tcPr>
            <w:tcW w:w="360" w:type="dxa"/>
            <w:vAlign w:val="bottom"/>
          </w:tcPr>
          <w:p>
            <w:pPr>
              <w:spacing w:after="0"/>
              <w:rPr>
                <w:sz w:val="20"/>
                <w:szCs w:val="20"/>
                <w:color w:val="auto"/>
              </w:rPr>
            </w:pPr>
          </w:p>
        </w:tc>
        <w:tc>
          <w:tcPr>
            <w:tcW w:w="802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Certain Relationships and Related Transactions, and Director Independence</w:t>
              </w:r>
            </w:hyperlink>
          </w:p>
        </w:tc>
        <w:tc>
          <w:tcPr>
            <w:tcW w:w="760" w:type="dxa"/>
            <w:vAlign w:val="bottom"/>
            <w:gridSpan w:val="2"/>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31">
              <w:r>
                <w:rPr>
                  <w:rFonts w:ascii="Arial" w:cs="Arial" w:eastAsia="Arial" w:hAnsi="Arial"/>
                  <w:sz w:val="17"/>
                  <w:szCs w:val="17"/>
                  <w:color w:val="0000EE"/>
                  <w:w w:val="73"/>
                </w:rPr>
                <w:t>31</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Item 14.</w:t>
              </w:r>
            </w:hyperlink>
          </w:p>
        </w:tc>
        <w:tc>
          <w:tcPr>
            <w:tcW w:w="360" w:type="dxa"/>
            <w:vAlign w:val="bottom"/>
          </w:tcPr>
          <w:p>
            <w:pPr>
              <w:spacing w:after="0"/>
              <w:rPr>
                <w:sz w:val="20"/>
                <w:szCs w:val="20"/>
                <w:color w:val="auto"/>
              </w:rPr>
            </w:pPr>
          </w:p>
        </w:tc>
        <w:tc>
          <w:tcPr>
            <w:tcW w:w="608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Principal Accounting Fee and Services</w:t>
              </w:r>
            </w:hyperlink>
          </w:p>
        </w:tc>
        <w:tc>
          <w:tcPr>
            <w:tcW w:w="2700" w:type="dxa"/>
            <w:vAlign w:val="bottom"/>
            <w:gridSpan w:val="5"/>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31">
              <w:r>
                <w:rPr>
                  <w:rFonts w:ascii="Arial" w:cs="Arial" w:eastAsia="Arial" w:hAnsi="Arial"/>
                  <w:sz w:val="17"/>
                  <w:szCs w:val="17"/>
                  <w:color w:val="0000EE"/>
                  <w:w w:val="73"/>
                </w:rPr>
                <w:t>31</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638"/>
        </w:trPr>
        <w:tc>
          <w:tcPr>
            <w:tcW w:w="1020" w:type="dxa"/>
            <w:vAlign w:val="bottom"/>
            <w:gridSpan w:val="3"/>
          </w:tcPr>
          <w:p>
            <w:pPr>
              <w:spacing w:after="0"/>
              <w:rPr>
                <w:sz w:val="20"/>
                <w:szCs w:val="20"/>
                <w:color w:val="auto"/>
              </w:rPr>
            </w:pPr>
            <w:r>
              <w:rPr>
                <w:rFonts w:ascii="Arial" w:cs="Arial" w:eastAsia="Arial" w:hAnsi="Arial"/>
                <w:sz w:val="22"/>
                <w:szCs w:val="22"/>
                <w:b w:val="1"/>
                <w:bCs w:val="1"/>
                <w:color w:val="auto"/>
              </w:rPr>
              <w:t>Part IV</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0"/>
        </w:trPr>
        <w:tc>
          <w:tcPr>
            <w:tcW w:w="660" w:type="dxa"/>
            <w:vAlign w:val="bottom"/>
            <w:gridSpan w:val="2"/>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Item 15.</w:t>
              </w:r>
            </w:hyperlink>
          </w:p>
        </w:tc>
        <w:tc>
          <w:tcPr>
            <w:tcW w:w="360" w:type="dxa"/>
            <w:vAlign w:val="bottom"/>
          </w:tcPr>
          <w:p>
            <w:pPr>
              <w:spacing w:after="0"/>
              <w:rPr>
                <w:sz w:val="19"/>
                <w:szCs w:val="19"/>
                <w:color w:val="auto"/>
              </w:rPr>
            </w:pPr>
          </w:p>
        </w:tc>
        <w:tc>
          <w:tcPr>
            <w:tcW w:w="878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 Financial Statement Schedules</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32</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Item 16.</w:t>
              </w:r>
            </w:hyperlink>
          </w:p>
        </w:tc>
        <w:tc>
          <w:tcPr>
            <w:tcW w:w="360" w:type="dxa"/>
            <w:vAlign w:val="bottom"/>
          </w:tcPr>
          <w:p>
            <w:pPr>
              <w:spacing w:after="0"/>
              <w:rPr>
                <w:sz w:val="20"/>
                <w:szCs w:val="20"/>
                <w:color w:val="auto"/>
              </w:rPr>
            </w:pPr>
          </w:p>
        </w:tc>
        <w:tc>
          <w:tcPr>
            <w:tcW w:w="1680" w:type="dxa"/>
            <w:vAlign w:val="bottom"/>
            <w:gridSpan w:val="7"/>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Form 10-K Summary</w:t>
              </w:r>
            </w:hyperlink>
          </w:p>
        </w:tc>
        <w:tc>
          <w:tcPr>
            <w:tcW w:w="1540" w:type="dxa"/>
            <w:vAlign w:val="bottom"/>
            <w:gridSpan w:val="5"/>
          </w:tcPr>
          <w:p>
            <w:pPr>
              <w:spacing w:after="0"/>
              <w:rPr>
                <w:sz w:val="20"/>
                <w:szCs w:val="20"/>
                <w:color w:val="auto"/>
              </w:rPr>
            </w:pPr>
          </w:p>
        </w:tc>
        <w:tc>
          <w:tcPr>
            <w:tcW w:w="5560" w:type="dxa"/>
            <w:vAlign w:val="bottom"/>
            <w:gridSpan w:val="9"/>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32">
              <w:r>
                <w:rPr>
                  <w:rFonts w:ascii="Arial" w:cs="Arial" w:eastAsia="Arial" w:hAnsi="Arial"/>
                  <w:sz w:val="17"/>
                  <w:szCs w:val="17"/>
                  <w:color w:val="0000EE"/>
                  <w:w w:val="73"/>
                </w:rPr>
                <w:t>32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7100" w:type="dxa"/>
            <w:vAlign w:val="bottom"/>
            <w:gridSpan w:val="14"/>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7100" w:type="dxa"/>
            <w:vAlign w:val="bottom"/>
            <w:gridSpan w:val="14"/>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33">
              <w:r>
                <w:rPr>
                  <w:rFonts w:ascii="Arial" w:cs="Arial" w:eastAsia="Arial" w:hAnsi="Arial"/>
                  <w:sz w:val="17"/>
                  <w:szCs w:val="17"/>
                  <w:color w:val="0000EE"/>
                  <w:w w:val="73"/>
                </w:rPr>
                <w:t>33</w:t>
              </w:r>
            </w:hyperlink>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80" w:type="dxa"/>
            <w:vAlign w:val="bottom"/>
            <w:gridSpan w:val="17"/>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4"/>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Exhibit Index</w:t>
              </w:r>
            </w:hyperlink>
          </w:p>
        </w:tc>
        <w:tc>
          <w:tcPr>
            <w:tcW w:w="7780" w:type="dxa"/>
            <w:vAlign w:val="bottom"/>
            <w:gridSpan w:val="17"/>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65">
              <w:r>
                <w:rPr>
                  <w:rFonts w:ascii="Arial" w:cs="Arial" w:eastAsia="Arial" w:hAnsi="Arial"/>
                  <w:sz w:val="17"/>
                  <w:szCs w:val="17"/>
                  <w:color w:val="0000EE"/>
                  <w:w w:val="73"/>
                </w:rPr>
                <w:t>64</w:t>
              </w:r>
            </w:hyperlink>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0740"/>
          </w:cols>
          <w:pgMar w:left="300" w:top="549" w:right="8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 Development of Business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Gentex Corporation (the "Company") was incorporated as a Michigan corporation in 1974. The Company designs, develops, manufactures, markets, and supplies digital vision, connected car, dimmable glass, and fire protection products, including: automatic-dimming rearview and non-dimming mirrors and electronics for the automotive industry; dimmable aircraft windows for the aviation industry; and commercial smoke alarms and signaling devices for the fire protection industry. The Company’s largest business segment involves designing, developing, manufacturing and marketing interior and exterior automatic-dimming automotive rearview mirrors that utilize proprietary electrochromic technology to dim in proportion to the amount of headlight glare from trailing vehicle headlamps. Within this business segment, the Company also designs, develops and manufactures various electronics that are value added features to the interior and exterior automotive rearview mirrors as well as electronics for interior visors, overhead consoles, and other locations in the vehicle. The Company ships its products to all of the major automotive producing regions worldwide, which it supports with numerous sales, engineering and distribution locations worldwide.</w:t>
      </w:r>
    </w:p>
    <w:p>
      <w:pPr>
        <w:spacing w:after="0" w:line="21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2015, the Company began making shipments of the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("FDM"</w:t>
      </w:r>
      <w:r>
        <w:rPr>
          <w:rFonts w:ascii="Arial" w:cs="Arial" w:eastAsia="Arial" w:hAnsi="Arial"/>
          <w:sz w:val="21"/>
          <w:szCs w:val="21"/>
          <w:color w:val="auto"/>
          <w:vertAlign w:val="superscript"/>
        </w:rPr>
        <w:t>®</w:t>
      </w:r>
      <w:r>
        <w:rPr>
          <w:rFonts w:ascii="Arial" w:cs="Arial" w:eastAsia="Arial" w:hAnsi="Arial"/>
          <w:sz w:val="18"/>
          <w:szCs w:val="18"/>
          <w:color w:val="auto"/>
        </w:rPr>
        <w:t>), which is an on-demand, mirror-borne LCD display that streams live, panoramic video of the vehicle's rearward view in order to improve driver rear vision. Also in 2015, the Company signed an exclusive agreement in the ordinary course of business with TransCore LLP to integrate TransCore's toll module technology into the vehicle in a first-to-market application referred to as Integrated Toll Module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"ITM"</w:t>
      </w:r>
      <w:r>
        <w:rPr>
          <w:rFonts w:ascii="Arial" w:cs="Arial" w:eastAsia="Arial" w:hAnsi="Arial"/>
          <w:sz w:val="21"/>
          <w:szCs w:val="21"/>
          <w:color w:val="auto"/>
          <w:vertAlign w:val="superscript"/>
        </w:rPr>
        <w:t>®</w:t>
      </w:r>
      <w:r>
        <w:rPr>
          <w:rFonts w:ascii="Arial" w:cs="Arial" w:eastAsia="Arial" w:hAnsi="Arial"/>
          <w:sz w:val="18"/>
          <w:szCs w:val="18"/>
          <w:color w:val="auto"/>
        </w:rPr>
        <w:t>. The interior mirror is an optimal location for a vehicle-integrated toll transponder and it eliminates the need to affix multiple toll tags to the windshield.</w:t>
      </w:r>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2017, the Company announced an agreement entered into during the ordinary course of business with VOXX International Corporation to become the exclusive aftermarket distributor of the Gentex Aftermarket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North America. The Company has also displayed a new three-camera rear vision system that streams rear video – in multiple composite views – to a rearview-mirror-integrated display. Further, the Company has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many of its other electronic features, including,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the Integrated Toll Module</w:t>
      </w:r>
      <w:r>
        <w:rPr>
          <w:rFonts w:ascii="Arial" w:cs="Arial" w:eastAsia="Arial" w:hAnsi="Arial"/>
          <w:sz w:val="21"/>
          <w:szCs w:val="21"/>
          <w:color w:val="auto"/>
          <w:vertAlign w:val="superscript"/>
        </w:rPr>
        <w:t>®</w:t>
      </w:r>
      <w:r>
        <w:rPr>
          <w:rFonts w:ascii="Arial" w:cs="Arial" w:eastAsia="Arial" w:hAnsi="Arial"/>
          <w:sz w:val="18"/>
          <w:szCs w:val="18"/>
          <w:color w:val="auto"/>
        </w:rPr>
        <w:t>. The biometric system allows for added security and convenience for multiple drivers by adding an additional factor of authentication for increased security, when a driver (or passenger) enters a vehicle. The Company announced in January 2018 that it entered into an exclusive licensing agreement, in the ordinary course of business, with Fingerprint Cards AB to deploy its ActiveIRIS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2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January 2018, the Company announced that an agreement had been signed, in the ordinary course of business, to participate in a round of financing with Yonomi, Inc., the Company's partner in home automation technology. The Company continues to work with Yonomi as a home automation aggregation partner and the Company has developed an app and cloud infrastructure called HomeLink Connect</w:t>
      </w:r>
      <w:r>
        <w:rPr>
          <w:rFonts w:ascii="Arial" w:cs="Arial" w:eastAsia="Arial" w:hAnsi="Arial"/>
          <w:sz w:val="21"/>
          <w:szCs w:val="21"/>
          <w:color w:val="auto"/>
          <w:vertAlign w:val="superscript"/>
        </w:rPr>
        <w:t>®</w:t>
      </w:r>
      <w:r>
        <w:rPr>
          <w:rFonts w:ascii="Arial" w:cs="Arial" w:eastAsia="Arial" w:hAnsi="Arial"/>
          <w:sz w:val="18"/>
          <w:szCs w:val="18"/>
          <w:color w:val="auto"/>
        </w:rPr>
        <w:t>. HomeLink Connect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home automation app that pairs with the vehicle and allows drivers to operate home automation devices from the vehicle's center console display. Drivers of HomeLink Connect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 In addition to the foregoing, the Company has addressed improvements to the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training process by adding functionality within the HomeLink Connect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app to allow consumers to pair their garage door openers with their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buttons.</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2019, the Company announced that it would be offering, as optional content, its latest generation of variable dimmable windows on the Boeing 777X aircraft. During the third quarter of 2019, the first production shipments of variably dimmable windows were made to Boeing for the 777X program. In January 2020, the Company announced that Airbus will also be offering the Company's dimmable aircraft windows on its aircraft with production starting in late 2020.</w:t>
      </w:r>
    </w:p>
    <w:p>
      <w:pPr>
        <w:sectPr>
          <w:pgSz w:w="11900" w:h="16838" w:orient="portrait"/>
          <w:cols w:equalWidth="0" w:num="1">
            <w:col w:w="11420"/>
          </w:cols>
          <w:pgMar w:left="240" w:top="765" w:right="239" w:bottom="1440" w:gutter="0" w:footer="0" w:header="0"/>
        </w:sectPr>
      </w:pPr>
    </w:p>
    <w:bookmarkStart w:id="3" w:name="page4"/>
    <w:bookmarkEnd w:id="3"/>
    <w:p>
      <w:pPr>
        <w:jc w:val="both"/>
        <w:spacing w:after="0" w:line="252"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that address major gaps in current surgical lighting solutions.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2020, the Company will be continuing to work on the intelligent medical lighting system in preparation for clinical trials in order to assess system performance and work toward obtaining any necessary approvals. The Company estimates that it could take 18 to 24 months to complete these trials, before a system could be available for commercial applications.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Automotive revenues represent approximately 97% of the Company's total revenue in 2019, mostly consisting of interior and exterior electrochromic automatic-dimming rearview mirrors and automotive electronics.</w:t>
      </w:r>
    </w:p>
    <w:p>
      <w:pPr>
        <w:spacing w:after="0" w:line="33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Narrative Description of Business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designs, develops, manufactures, markets, and supplies digital vision, connected car, dimmable glass, and fire protection products, including: automatic-dimming and non-automatic-dimming rearview mirrors and electronics for the automotive industry; dimmable aircraft windows for the aviation industry; and commercial smoke alarms and signaling devices for the fire protection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Automotive Products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i w:val="1"/>
          <w:iCs w:val="1"/>
          <w:u w:val="single" w:color="auto"/>
          <w:color w:val="auto"/>
        </w:rPr>
        <w:t>Automotive Rearview Mirrors and Electronics.</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applications are the largest business segment for the Company, mostly consisting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interior and exterior electrochromic automatic-dimming rearview mirrors and automotive electronics. 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1"/>
          <w:szCs w:val="21"/>
          <w:color w:val="auto"/>
          <w:vertAlign w:val="superscript"/>
        </w:rPr>
        <w:t>®</w:t>
      </w:r>
      <w:r>
        <w:rPr>
          <w:rFonts w:ascii="Arial" w:cs="Arial" w:eastAsia="Arial" w:hAnsi="Arial"/>
          <w:sz w:val="18"/>
          <w:szCs w:val="18"/>
          <w:color w:val="auto"/>
        </w:rPr>
        <w:t>, lighting assist and driver assist forward safety camera systems, various lighting systems, various telematics systems,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systems, and a wide variety of displays. The Company also ships interior non-automatic-dimming rearview mirrors with and without features.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can also include additional features such as turn signal indicators, side blind zone indicators, and courtesy lighting. The Company also ships exterior non-automatic-dimming rearview mirrors with similar electronic features available in its automatic-dimming applications.</w:t>
      </w:r>
    </w:p>
    <w:p>
      <w:pPr>
        <w:spacing w:after="0" w:line="20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Company manufactures other automotive electronics products through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applications in the vehicle including the rearview mirror, interior visor, overhead console, or center console. Certain of the Company's newer features can be located either in the rearview mirror or other locations in the vehicle. Additionally, as the Company expands its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and the Integrated Toll Module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 rearward facing video cameras and integrated toll transponders are being produced and sold.</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produces rearview mirrors and electronics globally for automotive passenger cars, light trucks, pickup trucks, sport utility vehicles, and vans for OEMs, automotive suppliers, and various aftermarket and accessory customers. Automotive rearview mirrors and electronics accounted for 97% of the Company’s consolidated net sales in 2019.</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the leading manufacturer of electrochromic automatic-dimming rearview mirrors in the world, and is the dominant supplier to the automotive industry. Competitors for automotive rearview mirrors include Magna International, Panasonic, YH America, Inc., BYD Auto Company, Murakami Kaimeido Company, Tokai Rika Company, Peak Power Automotive, SMR Automotive, ADAYO, Alpine Electronics, Inc., MEKRA Group, Ningbo Feng Mei, Chogqing Yimei, Guangdong, Yuanfeng, Xiamen Intretech, TT Electronics, and the China automotive aftermarket. The Company also supplies electrochromic automatic-dimming rearview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mirrors to certain of these rearview mirror competitors.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i w:val="1"/>
          <w:iCs w:val="1"/>
          <w:u w:val="single" w:color="auto"/>
          <w:color w:val="auto"/>
        </w:rPr>
        <w:t>Automotive Rearview Mirrors and Electronics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continually seeks to develop new products and is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to introduce additional advanced-feature automatic-dimming mirrors. Advanced-feature automatic-dimming mirrors currently being offered by the Company include one or more of the following features: SmartBeam</w:t>
      </w:r>
      <w:r>
        <w:rPr>
          <w:rFonts w:ascii="Arial" w:cs="Arial" w:eastAsia="Arial" w:hAnsi="Arial"/>
          <w:sz w:val="21"/>
          <w:szCs w:val="21"/>
          <w:color w:val="auto"/>
          <w:vertAlign w:val="superscript"/>
        </w:rPr>
        <w:t>®</w:t>
      </w:r>
      <w:r>
        <w:rPr>
          <w:rFonts w:ascii="Arial" w:cs="Arial" w:eastAsia="Arial" w:hAnsi="Arial"/>
          <w:sz w:val="18"/>
          <w:szCs w:val="18"/>
          <w:color w:val="auto"/>
        </w:rPr>
        <w:t>, HomeLink</w:t>
      </w:r>
      <w:r>
        <w:rPr>
          <w:rFonts w:ascii="Arial" w:cs="Arial" w:eastAsia="Arial" w:hAnsi="Arial"/>
          <w:sz w:val="21"/>
          <w:szCs w:val="21"/>
          <w:color w:val="auto"/>
          <w:vertAlign w:val="superscript"/>
        </w:rPr>
        <w:t>®</w:t>
      </w:r>
      <w:r>
        <w:rPr>
          <w:rFonts w:ascii="Arial" w:cs="Arial" w:eastAsia="Arial" w:hAnsi="Arial"/>
          <w:sz w:val="18"/>
          <w:szCs w:val="18"/>
          <w:color w:val="auto"/>
        </w:rPr>
        <w:t>, HomeLink Connect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 frameless mirror designs, LED map lamps, compass and temperature displays, telematics,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systems, hands free communication, Rear Camera Display ("RCD") interior mirrors, FDM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interior mirrors, exterior turn signals, side blind zone indicators and various other exterior mirror features that improve safety and field of view. Advanced features currently in development include: biometric authentication systems, hybrid and fully digital camera monitoring systems ("CMS"), digital video recording solutions, driver and cabin monitoring systems, cabin sensing systems, touch screen displays for mirrors, and digital enhancements to displays to improve driver safety, among other things. Other automotive products currently in development include large area dimmable devices which include, such as sunroof and moonroof applications, driver and passenger windows and other window surfaces in vehicles, among others.</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Automotive Rearview Mirrors and Electronics 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 America, Europe and Asia, the Company markets its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through a direct sales force utilizing its sales and engineering offices located in Germany, UK, Sweden, France, Japan, South Korea and China, as well as its headquarters in Michigan. The Company generally supplies automatic-dimming mirrors and mirrors with advanced electronic features to its customers worldwide under annual blanket purchase orders with customers, as well as under long-term agreements with certain customers, entered into in the ordinary course of the Company's business.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currently supplying mirrors and electronic modules for Aston Martin, BMW Group, Daimler Group, FCA Group, Ford Motor Co., Geely/Volvo, General Motors, Honda Motor Co., Hyundai/Kia, Jaguar/Land Rover, Karma Automotive, Mazda, Mahindra &amp; Mahindra, McLaren, PSA/Opel Group, Renault/Nissan/Mitsubishi Group, Subaru, Suzuki, Tesla, Toyota Motor Company, Volkswagen Group, as well as, shipments to domestic China manufacturers (Borgward, BYD, Chery, Dongfeng, Great Wall, Jianghuai, NextEV, and SAIC).</w:t>
      </w:r>
    </w:p>
    <w:p>
      <w:pPr>
        <w:spacing w:after="0" w:line="12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Revenues by major geographic area are disclosed in </w:t>
      </w:r>
      <w:hyperlink w:anchor="page58">
        <w:r>
          <w:rPr>
            <w:rFonts w:ascii="Arial" w:cs="Arial" w:eastAsia="Arial" w:hAnsi="Arial"/>
            <w:sz w:val="18"/>
            <w:szCs w:val="18"/>
            <w:u w:val="single" w:color="auto"/>
            <w:color w:val="0000EE"/>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Historically, new safety and comfort and convenience options have entered the original equipment automotive market on “top of the line” or luxury model automobiles. As the selection rates for the options on the luxury models increase, they generally become available on more models throughout the product line. The ongoing trend of domestic and foreign automakers is to offer several options as a package. The Company believes that its automatic-dimming mirrors with and without advanced features will continue to be offered in more option packages, and continue to be available on more small and mid-size vehicle models as consumer awareness of these safety and comfort and convenience features continue to grow, and as the Company continues its efforts to make automakers aware of the Company's technology available on competitive vehicle platforms. With design trends currently reducing visibility in today's passenger vehicles, the Company's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has gained popularity for its ability to leverage a custom camera and mirror-integrated video display to optimize a vehicle’s rearward view. The ability to optimize rearward visibility increases the use case of FDM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for many different vehicles, from volume based nameplates to luxury models. Increasing demand for the FDM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 appears to be based on the ability to capture video from a rearward-facing camera and streams it to a unique mirror-integrated LCD, which provides the driver with an unobstructed, panoramic view behind the vehicle, while at the same time offering the functionality of a standard rearview mirror with the flip of a switch.</w:t>
      </w:r>
    </w:p>
    <w:p>
      <w:pPr>
        <w:spacing w:after="0" w:line="33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u w:val="single" w:color="auto"/>
          <w:color w:val="auto"/>
        </w:rPr>
        <w:t>Automotive Rearview Mirrors and Electronics 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continues to be the leading producer of automatic-dimming rearview</w:t>
      </w:r>
      <w:r>
        <w:rPr>
          <w:rFonts w:ascii="Arial" w:cs="Arial" w:eastAsia="Arial" w:hAnsi="Arial"/>
          <w:sz w:val="18"/>
          <w:szCs w:val="18"/>
          <w:i w:val="1"/>
          <w:iCs w:val="1"/>
          <w:color w:val="auto"/>
        </w:rPr>
        <w:t xml:space="preserve"> </w:t>
      </w:r>
      <w:r>
        <w:rPr>
          <w:rFonts w:ascii="Arial" w:cs="Arial" w:eastAsia="Arial" w:hAnsi="Arial"/>
          <w:sz w:val="18"/>
          <w:szCs w:val="18"/>
          <w:color w:val="auto"/>
        </w:rPr>
        <w:t>mirrors in the world and currently is the dominant supplier to the automotive industry with an approximate 94% market share worldwide in 2019 and an approximate 92% market share in 2018. While the Company believes it will retain a dominant position in automatic-dimming rearview mirrors for some time, another U.S. manufacturer, Magna Mirrors, a division of Magna International Inc. ("Magna"), continues to compete for sales to domestic and foreign vehicle manufacturers and is supplying a number of domestic and foreign vehicle models with its versions of auto-dimming mirrors and may have considerably more resources available to it. As such, Magna may present a formidable competitive threat. The Company also continues to sell automatic-dimming exterior mirror sub-assemblies to Magna Mirrors. In addition, a Japanese manufacturer (Tokai Rika) is currently supplying a few vehicle models in Japan with solid-state electrochromic mirrors. There are also a small number of Chinese domestic mirror suppliers that are marketing and selling automatic-dimming rearview mirrors, in low volume, within the domestic China automotive market. Additionally, other companies have demonstrated products that are competitive to the Company's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 and the Company acknowledges that dimming device (e.g., electrochromic) technology is the subject of research and development effor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ts by numerous third parties.</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Through the Company's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function, the Company is the leading supplier of integrated wireless in-vehicle communication devices to the automotive industry for communication with garages, gates, parking barriers, and certain home automation products.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business continues to be awarded to the Company either through its automatic-dimming rearview mirrors, or through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electronic modules which are integrated into other areas of the automobile (i.e. visors, overhead consoles, and center consoles). In 2014, the Company announced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applications for alternative automobiles and vehicle types which include but are not limited to motorcycles, mopeds, snowmobiles, tractors, combines, lawn mowers, loaders, backhoes and golf carts. These product developments will utilize the market leading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 system of communication to the home, door locks, garage doors, gates, lights, security systems, and an increasing array of home automation products. The Company believes it is being awarded virtually all business in this area and that while the Company believes it continues to maintain a competitive advantage in this area, the increased focus on vehicle and home connectivity through other devices represents a competitive threat to this business. The Company announced in January 2018 the launch of HomeLink Connect</w:t>
      </w:r>
      <w:r>
        <w:rPr>
          <w:rFonts w:ascii="Arial" w:cs="Arial" w:eastAsia="Arial" w:hAnsi="Arial"/>
          <w:sz w:val="21"/>
          <w:szCs w:val="21"/>
          <w:color w:val="auto"/>
          <w:vertAlign w:val="superscript"/>
        </w:rPr>
        <w:t>®</w:t>
      </w:r>
      <w:r>
        <w:rPr>
          <w:rFonts w:ascii="Arial" w:cs="Arial" w:eastAsia="Arial" w:hAnsi="Arial"/>
          <w:sz w:val="18"/>
          <w:szCs w:val="18"/>
          <w:color w:val="auto"/>
        </w:rPr>
        <w:t>, an extension of the Company's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feature and an all-new home automation app that pairs with the vehicle and allows drivers to operate home automation devices from the vehicle’s center console display and/or rearview mirror controls. Drivers of HomeLink Connect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compatible vehicles will be able to download and configure the app to control a myriad of individual home automation devices, or create entire home automation settings. In August 2019, the Company announced its shipping of the latest version of its HomeLink Connect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car-to-home automation system to VOXX Electronics Corporation for sale in the automotive aftermarket. The system consists of a Bluetooth-enabled automatic-dimming mirror with integrated buttons that can be programmed to operate a myriad of radio frequency and cloud-based home automation devices.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believes its electrochromic automatic-dimming mirrors and mirrors with advanced electronic features offer significant performance advantages over competing products and the Company makes significant research and development investments to continue to increase and improve the performance advantages of its products.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numerous other companies in the world conducting research on various technologies, including electrochromics, for controlling light transmission and reflection. The Company currently believes that the electrochromic materials and manufacturing process it uses for automotive mirrors remains the most efficient and cost-effective way to produce such products. While automatic-dimming mirrors using other technologies may eliminate glare, the Company currently believes that each of these other technologies have inherent cost or performance limitations as compared to the Company's technologies.</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the Company continues to expand its automatic-dimming mirror products with additional advanced electronic features and expands the capabilities of its CMOS imager technology for additional features (i.e. SmartBeam</w:t>
      </w:r>
      <w:r>
        <w:rPr>
          <w:rFonts w:ascii="Arial" w:cs="Arial" w:eastAsia="Arial" w:hAnsi="Arial"/>
          <w:sz w:val="21"/>
          <w:szCs w:val="21"/>
          <w:color w:val="auto"/>
          <w:vertAlign w:val="superscript"/>
        </w:rPr>
        <w:t>®</w:t>
      </w:r>
      <w:r>
        <w:rPr>
          <w:rFonts w:ascii="Arial" w:cs="Arial" w:eastAsia="Arial" w:hAnsi="Arial"/>
          <w:sz w:val="18"/>
          <w:szCs w:val="18"/>
          <w:color w:val="auto"/>
        </w:rPr>
        <w:t>, FDM</w:t>
      </w:r>
      <w:r>
        <w:rPr>
          <w:rFonts w:ascii="Arial" w:cs="Arial" w:eastAsia="Arial" w:hAnsi="Arial"/>
          <w:sz w:val="21"/>
          <w:szCs w:val="21"/>
          <w:color w:val="auto"/>
          <w:vertAlign w:val="superscript"/>
        </w:rPr>
        <w:t>®</w:t>
      </w:r>
      <w:r>
        <w:rPr>
          <w:rFonts w:ascii="Arial" w:cs="Arial" w:eastAsia="Arial" w:hAnsi="Arial"/>
          <w:sz w:val="18"/>
          <w:szCs w:val="18"/>
          <w:color w:val="auto"/>
        </w:rPr>
        <w:t>, rear video camera, etc.), as well as continuing to expand the capabilities of the Company's hybrid and fully digital CMS technology, the Company recognizes that it is competing with considerably larger and more geographically diverse electronics companies that could present a formidable competitive threat in the future as new products/features and technologies are brought to market.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Dimmable Aircraft Windows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continues to manufacture and sell variable dimmable windows for the passenger compartment on the Boeing 787 Dreamliner series of aircraft. In January 2019, the Company announced that it would be offering, as optional content, its latest generation of variable dimmable windows on the Boeing 777X aircraft. During the third quarter of 2019, the first production shipments of variably dimmable windows were made to Boeing for the 777X program. In January 2020, the Company announced that Airbus will also be offering, as optional content, the Company's dimmable aircraft windows on its aircraft with production starting in late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markets its variable dimmable windows to aircraft manufacturers and airline operators globally.</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variable dimmable aircraft windows are the first commercialized product of its kind for original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installation in the aircraft industry. Other manufacturers are working to develop and sell competing products utilizing other technology in the aircraft industry for aftermarket or original equipment installation.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success with electrochromic technology provides potential opportunities and use cases for other commercial applications, which the Company continues to explore.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Fire Protection Products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6" w:right="239" w:bottom="1440" w:gutter="0" w:footer="0" w:header="0"/>
        </w:sectPr>
      </w:pPr>
    </w:p>
    <w:bookmarkStart w:id="6" w:name="page7"/>
    <w:bookmarkEnd w:id="6"/>
    <w:p>
      <w:pPr>
        <w:jc w:val="both"/>
        <w:spacing w:after="0" w:line="256" w:lineRule="auto"/>
        <w:rPr>
          <w:sz w:val="20"/>
          <w:szCs w:val="20"/>
          <w:color w:val="auto"/>
        </w:rPr>
      </w:pPr>
      <w:r>
        <w:rPr>
          <w:rFonts w:ascii="Arial" w:cs="Arial" w:eastAsia="Arial" w:hAnsi="Arial"/>
          <w:sz w:val="18"/>
          <w:szCs w:val="18"/>
          <w:color w:val="auto"/>
        </w:rPr>
        <w:t>The Company manufactures photoelectric smoke detectors and alarms, visual signaling alarms, photoelectric smoke alarms and electrochemical carbon monoxide alarms, electrochemical carbon monoxide alarms and detectors, audible and visual signaling appliances, and bells and speakers for use in fire detection systems in office buildings, hotels, and other commercial and residential establishments.</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fire protection products are sold directly to fire protection and security product distributors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brand name, to electrical wholesale houses, and to original equipment manufacturers of fire protection systems under both the Company’s brand name and private labels. The Company markets its fire protection products primarily in North America, but also globally through regional sales managers and manufacturer representative organizations.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fire protection products industry is highly competitive in terms of both the smoke detectors and signaling appliance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estimates that it competes principally with eight manufacturers of smoke detection products for commercial use and approximately four manufacturers within the residential market, three of which produce photoelectric smoke detectors. In the signaling appliance markets, the Company estimates it competes with approximately seven manufacturers. While the Company faces significant competition in the sale of smoke detectors and signaling appliances, it believes that the introduction of new products, improvements to its existing products, its diversified product line, and the availability of special features will permit the Company to maintain its competitive position.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 and Patents</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owns 38 U.S. Registered Trademarks and 660 U.S. Patents, of which 31 Registered Trademarks and 583 patents relate to electrochromic technology, automotive rearview mirrors, microphones, displays, cameras, sensor technology, and/or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These Patents expire at various times between 2020 and 2038. The Company believes that these patents provide the Company a competitive advantage in its markets, although no single patent is necessarily required for the success of the Company's products.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also owns 336 foreign Registered Trademarks and 877 foreign patents, of which 320 Registered Trademarks and 855 patents relate to electrochromic technology, automotive rearview mirrors, microphones, displays, cameras, sensor technology, and/or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These patents expire at various times between 2020 and 2044. The Company believes that the competitive advantage derived in the relevant foreign markets for these patents is comparable to that applicable in the U.S. market.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owns 64 U.S. Patents and 11 foreign patents that relate specifically to the Company’s variable dimmable windows. The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Patents expire at various times between 2020 and 2038, while the foreign patents expire at various times between 2021 and 2034.</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owns 7 U.S. Registered Trademarks, 13 U.S. Patents, 16 foreign Registered Trademarks, and 11 foreign patents that relate to the Company’s fire protection products. The U.S. Patents expire at various times between 2021 and 2035, while the foreign patents expire at various times between 2020 and 2030. The Company believes that the competitive advantage provided by these patents is relatively small.</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also has in process 256 U.S. Patent applications, 503 foreign patent applications, and 31 Registered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Company periodically obtains intellectual property rights, in the ordinary course of the Company's business, to strengthen its intellectual property portfolio and minimize potential risks of infringement.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considers itself to be engaged in the design, development, manufacturing, marketing, and supply of digital vision, connected car, dimmable glass, and fire protection products, including: automatic-dimming rearview mirrors, non-automatic-dimming rearview mirrors and electronics for the automotive industry; variable dimmable windows for the aviation industry; and commercial smoke alarms and signaling devices for the fire protection industry. The Company has several important customers within the automotive industry, three of which each account for 10% or more of the Company's net sales in 2019 (including direct sales to OEM customers and sales through their Tier 1 suppliers): Volkswagen Group, Toyota Motor Company, and General Motors. The loss of any of these customers (or certain other significant customers) cou</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8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ld have a material adverse effect on the Company's business, financial condition, and/or results of operations.</w:t>
      </w:r>
    </w:p>
    <w:p>
      <w:pPr>
        <w:spacing w:after="0" w:line="144"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As of February 1, 2020, the Company had 5,874 full-time employees. None of the Company’s employees are represented by a labor union or other collective bargaining representative. The Company believes that its relations with its employees are in good standing. See "Executive Officers of the Registrant" in </w:t>
      </w:r>
      <w:hyperlink w:anchor="page26">
        <w:r>
          <w:rPr>
            <w:rFonts w:ascii="Arial" w:cs="Arial" w:eastAsia="Arial" w:hAnsi="Arial"/>
            <w:sz w:val="18"/>
            <w:szCs w:val="18"/>
            <w:u w:val="single" w:color="auto"/>
            <w:color w:val="0000EE"/>
          </w:rPr>
          <w:t>Part III, Item 10</w:t>
        </w:r>
      </w:hyperlink>
      <w:r>
        <w:rPr>
          <w:rFonts w:ascii="Arial" w:cs="Arial" w:eastAsia="Arial" w:hAnsi="Arial"/>
          <w:sz w:val="18"/>
          <w:szCs w:val="18"/>
          <w:color w:val="auto"/>
        </w:rPr>
        <w:t>.</w:t>
      </w:r>
    </w:p>
    <w:p>
      <w:pPr>
        <w:spacing w:after="0" w:line="12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Information</w:t>
      </w:r>
    </w:p>
    <w:p>
      <w:pPr>
        <w:spacing w:after="0" w:line="166"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quarterly reports on Form 10-Q, current reports on Form 8-K, and all amendments to those reports, will be made available, free of charge, through the Investor Information section of the Company’s Internet website (</w:t>
      </w:r>
      <w:r>
        <w:rPr>
          <w:rFonts w:ascii="Arial" w:cs="Arial" w:eastAsia="Arial" w:hAnsi="Arial"/>
          <w:sz w:val="18"/>
          <w:szCs w:val="18"/>
          <w:u w:val="single" w:color="auto"/>
          <w:color w:val="auto"/>
        </w:rPr>
        <w:t>http://ir.gentex.com</w:t>
      </w:r>
      <w:r>
        <w:rPr>
          <w:rFonts w:ascii="Arial" w:cs="Arial" w:eastAsia="Arial" w:hAnsi="Arial"/>
          <w:sz w:val="18"/>
          <w:szCs w:val="18"/>
          <w:color w:val="auto"/>
        </w:rPr>
        <w:t>) as soon as practicable after such materials are electronically filed with or furnished to the Securities and Exchange Commission ("SEC"). The SEC maintains an Internet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issues that a company files electronically with the SEC.</w:t>
      </w:r>
    </w:p>
    <w:p>
      <w:pPr>
        <w:spacing w:after="0" w:line="13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tab/>
        <w:t>Risk Factors.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u w:val="single" w:color="auto"/>
          <w:color w:val="auto"/>
        </w:rPr>
        <w:t>Safe Harbor for Forward-Looking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 on Form 10-K contains forward-looking statements within the meaning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“goal”, “hope”, “may”, “plan”, "poised", “project”,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 with customers; loss of business from increased competition; changes in strategic relationships; customer bankruptcies or divestiture of customer brands; fluctuation in vehicle production schedules (including the impact of customer employee strikes); changes in product mix; raw material and electronic component shortages;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and interpretations; import and export duty and tariff rates in or with the countries with which we conduct business; and negative impact of any governmental investigations and associated litigations including securities litigations relating to the conduct of our business. Readers are cautioned not to place undue reliance on these forward-looking statements, which speak only as of the date they are made. The Company undertakes no obligation to publicly update or revise any forward-looking statement, whether as a result of new information, future events or otherwise, except as required by law or the rules of the NASDAQ Global Select Market. Forward-looking statements include content supplied by IHS Markit Light Vehicle Production Forecast (January 16, 2020) (http://www.gentex.com/ forecast-disclaimer).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risk factors, together with all other information provided in this Annual Report on Form 10-K should be carefully considered.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Automotive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within the auto industry comprise approximately 97% of our net sales. The automotive industry has always</w:t>
      </w:r>
      <w:r>
        <w:rPr>
          <w:rFonts w:ascii="Arial" w:cs="Arial" w:eastAsia="Arial" w:hAnsi="Arial"/>
          <w:sz w:val="18"/>
          <w:szCs w:val="18"/>
          <w:i w:val="1"/>
          <w:iCs w:val="1"/>
          <w:color w:val="auto"/>
        </w:rPr>
        <w:t xml:space="preserve"> </w:t>
      </w:r>
      <w:r>
        <w:rPr>
          <w:rFonts w:ascii="Arial" w:cs="Arial" w:eastAsia="Arial" w:hAnsi="Arial"/>
          <w:sz w:val="18"/>
          <w:szCs w:val="18"/>
          <w:color w:val="auto"/>
        </w:rPr>
        <w:t>been cyclical and highly impacted by levels of economic activity. The current economic environment, while perhaps relatively stable domestically, continues to be uncertain when considering the global automotive market, and continues to cause increased financial and production stresses evidenced by volatile automotive production levels (including continued decreases in light vehicle production in China), volatility with customer orders, supplier part and material shortages, automotive and Tier 1 supplier plant shutdowns, customer and supplier financial issues, commodity material cost increases and/or supply constraints, tariffs, consumer vehicle preference shifts (where we may have a lower penetration rate and lower content per vehicle), and supply chain stresses, all of which have been exacerbated by the coronavirus. If automotive customers (including their Tier 1 suppliers) and suppliers experience plant shutdowns, work stoppages, strikes (such as the employee strike at General Motors in the fourth quarter of 2019, which negatively impacted revenue, gross margin, etc. in the fourth quarter and year ended December 31, 2019), part shortages, etc., it could disrupt our shipments to these customers, which could adversely affect our business, financial condition,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06" w:right="2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color w:val="auto"/>
        </w:rPr>
        <w:t>or results of operations. Automakers continue to experience volatility and uncertainty in executing planned new programs on time, due in part to continued vehicle complexity increases, which can result in delays or cancellations of new vehicle platforms, package configurations, and inaccurate volume forecasts. This makes it challenging for us to forecast future sales and manage costs, inventory, capital, engineering, research and development, and human resource investments, in addition to the aforementioned factors.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Key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 number of large customers, including three automotive customers which each account for 10% or more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net sales in 2019 (including direct sales to OEM customers and sales through their Tier 1 suppliers): Volkswagen Group, Toyota Motor Company, and General Motors. The loss of all or a substantial portion of the sales to, or decreases in production by, any of these customers (or certain other significant customers) could have a material adverse effect on our business, financial condition, and/or results of operations.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Pricing Pressures.</w:t>
      </w:r>
      <w:r>
        <w:rPr>
          <w:rFonts w:ascii="Arial" w:cs="Arial" w:eastAsia="Arial" w:hAnsi="Arial"/>
          <w:sz w:val="18"/>
          <w:szCs w:val="18"/>
          <w:i w:val="1"/>
          <w:iCs w:val="1"/>
          <w:color w:val="auto"/>
        </w:rPr>
        <w:t xml:space="preserve"> </w:t>
      </w:r>
      <w:r>
        <w:rPr>
          <w:rFonts w:ascii="Arial" w:cs="Arial" w:eastAsia="Arial" w:hAnsi="Arial"/>
          <w:sz w:val="18"/>
          <w:szCs w:val="18"/>
          <w:color w:val="auto"/>
        </w:rPr>
        <w:t>We continue to experience on-going pricing pressures from our automotive customers and competitors, which have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and which will continue to affect our profit margins to the extent that we are unable to offset the price reductions with engineering and purchasing cost reductions, productivity improvements, increases in unit shipments of mirrors and electronics with advanced features, and/or new or advanced technologies, each of which pose an ongoing challenge, which could adversely impact our business, financial condition, and/or results of operations.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Tariffs.</w:t>
      </w:r>
      <w:r>
        <w:rPr>
          <w:rFonts w:ascii="Arial" w:cs="Arial" w:eastAsia="Arial" w:hAnsi="Arial"/>
          <w:sz w:val="18"/>
          <w:szCs w:val="18"/>
          <w:i w:val="1"/>
          <w:iCs w:val="1"/>
          <w:color w:val="auto"/>
        </w:rPr>
        <w:t xml:space="preserve"> </w:t>
      </w:r>
      <w:r>
        <w:rPr>
          <w:rFonts w:ascii="Arial" w:cs="Arial" w:eastAsia="Arial" w:hAnsi="Arial"/>
          <w:sz w:val="18"/>
          <w:szCs w:val="18"/>
          <w:color w:val="auto"/>
        </w:rPr>
        <w:t>The geo-political environment between the Unites States and other jurisdictions, including China and the European Union, continues to</w:t>
      </w:r>
      <w:r>
        <w:rPr>
          <w:rFonts w:ascii="Arial" w:cs="Arial" w:eastAsia="Arial" w:hAnsi="Arial"/>
          <w:sz w:val="18"/>
          <w:szCs w:val="18"/>
          <w:i w:val="1"/>
          <w:iCs w:val="1"/>
          <w:color w:val="auto"/>
        </w:rPr>
        <w:t xml:space="preserve"> </w:t>
      </w:r>
      <w:r>
        <w:rPr>
          <w:rFonts w:ascii="Arial" w:cs="Arial" w:eastAsia="Arial" w:hAnsi="Arial"/>
          <w:sz w:val="18"/>
          <w:szCs w:val="18"/>
          <w:color w:val="auto"/>
        </w:rPr>
        <w:t>cause uncertainty on tariffs and trade. Starting in 2018, and throughout calendar year 2019, the United States enacted new tariffs on numerous raw materials that the Company imports from China, and likewise China also enacted retaliatory tariffs on the finished goods that the Company imports into China for distribution and sale in the China market. Such tariffs increase the Company's input costs, and potentially challenge the Company's competitive position in the China market. Even though in January 2020, the United States and China came to agreement on the first phase of a trade deal to halt tariff increases, uncertainty remains. The continuance of these tariffs and/or escalation of disputes in the geopolitical environment will continue to interfere with automotive supply chains and may have a continued negative impact on the Company’s business, financial condition, and/or results of operations.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that Magna Mirrors, our main competitor, may have considerably more resources available to it, and may present a</w:t>
      </w:r>
      <w:r>
        <w:rPr>
          <w:rFonts w:ascii="Arial" w:cs="Arial" w:eastAsia="Arial" w:hAnsi="Arial"/>
          <w:sz w:val="18"/>
          <w:szCs w:val="18"/>
          <w:i w:val="1"/>
          <w:iCs w:val="1"/>
          <w:color w:val="auto"/>
        </w:rPr>
        <w:t xml:space="preserve"> </w:t>
      </w:r>
      <w:r>
        <w:rPr>
          <w:rFonts w:ascii="Arial" w:cs="Arial" w:eastAsia="Arial" w:hAnsi="Arial"/>
          <w:sz w:val="18"/>
          <w:szCs w:val="18"/>
          <w:color w:val="auto"/>
        </w:rPr>
        <w:t>formidable competitive threat. Additionally, other companies have demonstrated products that are competitive to our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 and other products. We acknowledge that dimming device (e.g., electrochromic) technology is the subject of research and development efforts by numerous third parties.</w:t>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example, our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is a driver-assist feature for headlamp lighting control that competes with other multiple-function driver-assist features that include headlamp lighting control as one of the multiple functions. While we believe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low cost solution for a safety feature that makes nighttime driving safer by maximizing a vehicle's high-beam usage, competition from multiple-function driver-assist products has already and could continue to impact the success of SmartBeam</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7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 ("NHTSA") to allow automakers to use camera monitoring systems ("CMS") as an option to replace conventional rearview mirrors within North America, however, no final rule or legislation was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18, 2019, a petition for temporary exemption from FMVSS No. 111 submitted by Audi of America was published requesting NHTSA to grant a two-year exemption to sell up to 2,500 vehicles for each twelve month period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0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(up to 5,000 vehicles) that are equipped with camera monitoring systems and do not include FMVSS No. 111 compliant outside mirrors.</w:t>
      </w:r>
    </w:p>
    <w:p>
      <w:pPr>
        <w:spacing w:after="0" w:line="14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 systems to replace mirrors within Japan and European countries. Since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 of the camera. Nonetheless, the Company continues designing and manufacturing not only rearview mirrors, but CMOS imagers and video displays as well. The Company believes that combining video displays with mirrors provides a more robust product by addressing all driving conditions in a single solution that can be controlled by the driver. The Company has been in production with the Company's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since 2015 and has been awarded programs with ten (10) OEM customers. The Company is currently shipping production Full Display Mirrors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to five automaker customers, which are General Motors, Subaru, Toyota, Nissan, and Jaguar Land Rover. The Company's CMS solution uses three cameras to provide a comprehensive view of the sides and rear of the vehicle while still providing the traditional safety of interior and exterior mirrors, that still function when cameras are obstructed, or not functioning. The Company recently announced the CMS development program with Aston Martin. The Company has also previously announced that the Company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Product Mix.</w:t>
      </w:r>
      <w:r>
        <w:rPr>
          <w:rFonts w:ascii="Arial" w:cs="Arial" w:eastAsia="Arial" w:hAnsi="Arial"/>
          <w:sz w:val="18"/>
          <w:szCs w:val="18"/>
          <w:i w:val="1"/>
          <w:iCs w:val="1"/>
          <w:color w:val="auto"/>
        </w:rPr>
        <w:t xml:space="preserve"> </w:t>
      </w:r>
      <w:r>
        <w:rPr>
          <w:rFonts w:ascii="Arial" w:cs="Arial" w:eastAsia="Arial" w:hAnsi="Arial"/>
          <w:sz w:val="18"/>
          <w:szCs w:val="18"/>
          <w:color w:val="auto"/>
        </w:rPr>
        <w:t>We sell products that have varying profit margins. Our financial performance can be impacted depending on the mix of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we sell and to which customers, during a given period. The automotive industry is subject to rapid technological change, vigorous competition, short product life cycles and cyclical, ever-changing consumer demand patterns. When our customers are adversely affected by these factors, we may be similarly affected to the extent that our customers reduce the volume of orders for our products. As a result of such changes and circumstances impacting our customers, sales mix can shift which may have either favorable or unfavorable impact on revenue and would include shifts in regional growth, in OEM sales demand, as well as in consumer demand related to vehicle segment purchases and content penetration. A decrease in consumer demand for specific types of vehicles where we have traditionally provided higher value content could have a significant effect on our business, financial condition, and/or results of operations. Our forward guidance and estimates assume a certain geographic sales mix as well as a product sales mix. If actual results vary from this projected geographic and product mix of sales, our business, financial condition, and/or results of operations could be negatively impacted.</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Business Combinations.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anticipate that acquisitions of businesses and assets may play a role in our future growth. We cannot be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will be able to identify attractive acquisition targets, have resources available for or obtain financing for acquisitions on satisfactory terms, successfully acquire identified targets or manage timing of acquisitions with capital obligations across our businesses. Additionally, we may not be successful in integrating acquired businesses into our existing operations, achieving projected synergies, and/or maximizing the value of acquired technologies and businesses. Competition for acquisition opportunities in the various industries in which we operate already exists and may increase, thereby potentially increasing our costs of making acquisitions or causing us to refrain from making further acquisitions. We are also subject to applicable antitrust laws and must avoid anticompetitive behavior. These and other acquisition-related factors may negatively and adversely impact our business, financial condition, and/or results of operations.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Intellectual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our patents and trade secrets provide us with a competitive advantage in automotive rearview mirrors,</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dimmable windows, certain electronics, and fire protection products, although no single patent is necessarily required for the success of our products. The loss of any significant combination of patents and trade secrets regarding our products could adversely affect our business, financial condition, and/or results of operations. Lack of intellectual property protection in a number of countries, including China, represents a current and on-going risk for the Company.</w:t>
      </w:r>
    </w:p>
    <w:p>
      <w:pPr>
        <w:spacing w:after="0" w:line="1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New Technology and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We continue to invest significantly in engineering, research and development projects. Should</w:t>
      </w:r>
      <w:r>
        <w:rPr>
          <w:rFonts w:ascii="Arial" w:cs="Arial" w:eastAsia="Arial" w:hAnsi="Arial"/>
          <w:sz w:val="18"/>
          <w:szCs w:val="18"/>
          <w:i w:val="1"/>
          <w:iCs w:val="1"/>
          <w:color w:val="auto"/>
        </w:rPr>
        <w:t xml:space="preserve"> </w:t>
      </w:r>
      <w:r>
        <w:rPr>
          <w:rFonts w:ascii="Arial" w:cs="Arial" w:eastAsia="Arial" w:hAnsi="Arial"/>
          <w:sz w:val="18"/>
          <w:szCs w:val="18"/>
          <w:color w:val="auto"/>
        </w:rPr>
        <w:t>these efforts ultimately prove unsuccessful, our business, financial condition, and/or results of operations could be adversely affected.</w:t>
      </w:r>
    </w:p>
    <w:p>
      <w:pPr>
        <w:spacing w:after="0" w:line="8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u w:val="single" w:color="auto"/>
          <w:color w:val="auto"/>
        </w:rPr>
        <w:t>Intellectual Property Litigation and Infringement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 successful claim of patent or other intellectual property infringement and damages</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us could affect business, financial condition, and/or results of operations. If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1" w:right="239" w:bottom="1440" w:gutter="0" w:footer="0" w:header="0"/>
        </w:sectPr>
      </w:pPr>
    </w:p>
    <w:bookmarkStart w:id="10" w:name="page11"/>
    <w:bookmarkEnd w:id="10"/>
    <w:p>
      <w:pPr>
        <w:jc w:val="both"/>
        <w:spacing w:after="0" w:line="252" w:lineRule="auto"/>
        <w:rPr>
          <w:sz w:val="20"/>
          <w:szCs w:val="20"/>
          <w:color w:val="auto"/>
        </w:rPr>
      </w:pPr>
      <w:r>
        <w:rPr>
          <w:rFonts w:ascii="Arial" w:cs="Arial" w:eastAsia="Arial" w:hAnsi="Arial"/>
          <w:sz w:val="18"/>
          <w:szCs w:val="18"/>
          <w:color w:val="auto"/>
        </w:rPr>
        <w:t>person or company claims that our products infringed their intellectual property rights, any resulting litigation could be costly, time consuming, and would divert the attention of management and key personnel from other business issues. The complexity of the technology involved in our business and the uncertainty of intellectual property litigation significantly increases these risks and makes such risk part of our on-going business. To that end, we periodically obtain intellectual property rights, in the orbdinary course of business, to strengthen our intellectual property portfolio and minimize potential risks of infringement. The increasing tendency of patents granted to others on combinations of known technology is a potential threat to our Company. Any of these adverse consequences could potentially have an effect on our business, financial condition and/or results of operations.</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automakers and Tier 1 customers from time to time may consider the sale of certain business segments or bankruptcy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financial stress. Should one or more of our larger customers (including sales through their Tier 1 suppliers) declare bankruptcy or sell their business, it could adversely affect the collection of receivables, our business, financial condition, and/or results of operations. The current economic environment continues to cause increased financial pressures and production stresses on our customers, which could impact the timeliness of customer payments and ultimately the collectability of receivables.</w:t>
      </w:r>
    </w:p>
    <w:p>
      <w:pPr>
        <w:spacing w:after="0" w:line="121"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allowance for doubtful accounts primarily relates to financially distressed automotive mirror and electronics customers. We continue to work with these financially distressed customers in collecting past due balances. Refer to </w:t>
      </w:r>
      <w:hyperlink w:anchor="page43">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the </w:t>
      </w:r>
      <w:hyperlink w:anchor="page38">
        <w:r>
          <w:rPr>
            <w:rFonts w:ascii="Arial" w:cs="Arial" w:eastAsia="Arial" w:hAnsi="Arial"/>
            <w:sz w:val="18"/>
            <w:szCs w:val="18"/>
            <w:u w:val="single" w:color="auto"/>
            <w:color w:val="0000EE"/>
          </w:rPr>
          <w:t>Consolidated Financial Statements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details regarding our allowance for doubtful accounts.</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Supply Chain Disruptions.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just-in-time supply chains within our business and the automotive industry, a disruption in a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caused by one or more of our suppliers and/or an unrelated Tier 1 supplier due to part shortages, natural disasters, coronavirus, work stoppages, strikes, bankruptcy, etc. could disrupt our shipments to one or more automakers or Tier 1 customers, which could adversely affect our business, financial condition, and/or results of operations.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Business Disruptions.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our proprietary products employing electro-optic technology is performed at our manufacturing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Zeeland and Holland, Michigan. One of our manufacturing facilities is located in Holland, Michigan, which is approximately three miles from our other manufacturing facilities in Zeeland, Michigan. Should a catastrophic event occur, our ability to manufacture product, complete existing orders and provide other services could be severely impacted for an undetermined period of time. We have purchased business interruption insurance to address some of these risks. Our inability to conduct normal business operations for a period of time may have an adverse impact on our business, financial condition, and/or results of operations.</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u w:val="single" w:color="auto"/>
          <w:color w:val="auto"/>
        </w:rPr>
        <w:t>IT Infrastructure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failure of our information technology ("IT") infrastructure could adversely impact our business, financial condition, and/or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We rely upon the capacity, reliability and security of our information technology infrastructure and our ability to expand and continually update this infrastructure in response to the changing needs of our business. For example, we have implemented enterprise resource planning and other IT systems in certain aspects of our businesses over a period of several years and continue to update and further implement new systems going forward. These systems may not perform as expected. We also face the challenge of supporting our older systems and implementing necessary upgrades. If we experience a problem with the functioning of an important IT system or a security breach of our IT systems, the resulting disruptions could have an adverse effect on our business, financial condition, and/or results of operations. We, and certain of our third-party vendors, receive and store personal information in connection with our human resources operations and other aspects of our business. Despite our implementation of security measures, our IT systems, like all IT systems, are vulnerable to damages from computer viruses, natural disasters, unauthorized access, cyber-attack and other similar disruptions. Any system failure, accident or security breach could result in disruptions to our operations. A material network breach in the security of our IT systems could include the theft of our intellectual property, trade secrets or customer information. To the extent that any disruptions or security breach results in a loss or damage to our data, or an inappropriate disclosure of confidential or customer information, it could cause significant damage to our reputation, affect our relationships with our customers, lead to claims against the Company and ultimately harm our business, financial condition, and/or results of operations. In addition, we may be required to incur significant costs to protect against damage caused by these disruptions or security breaches in the future.</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 success depends on attracting and retaining qualified personnel. Throughout our Company, our ability to sustain and</w:t>
      </w:r>
      <w:r>
        <w:rPr>
          <w:rFonts w:ascii="Arial" w:cs="Arial" w:eastAsia="Arial" w:hAnsi="Arial"/>
          <w:sz w:val="18"/>
          <w:szCs w:val="18"/>
          <w:i w:val="1"/>
          <w:iCs w:val="1"/>
          <w:color w:val="auto"/>
        </w:rPr>
        <w:t xml:space="preserve"> </w:t>
      </w:r>
      <w:r>
        <w:rPr>
          <w:rFonts w:ascii="Arial" w:cs="Arial" w:eastAsia="Arial" w:hAnsi="Arial"/>
          <w:sz w:val="18"/>
          <w:szCs w:val="18"/>
          <w:color w:val="auto"/>
        </w:rPr>
        <w:t>grow our business requires us to hire, retain and develop a highly skilled and diverse management team and workforce. Failure to ensure that we have the leadership capacity with the necessary skill sets and experience and a skilled workforce could impede our ability to deliver our growth objectives and execute our strategic plan. Organizational and reporting changes within management could result in, and low unemployment generally has caused, increased turnover. In addition, any unplanned turnover or inability to attract and retain key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employees, including managers, could have a negative effect on our business, financial condition and/or results of operations.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Government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Dodd-Frank Wall Street Reform and Consumer Protection Act contains provisions to improve transparency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accountability concerning the supply of certain minerals, known as conflict minerals, originating from the Democratic Republic of Congo ("DRC") and adjoining countries. As a result, in August 2012 the SEC adopted annual disclosure and reporting requirements for those companies who use conflict minerals mined from the DRC and adjoining countries in their products. These new requirements required due diligence efforts in 2013, 2014, 2015, 2016, 2017, 2018, and 2019, and the Company has disclosed its findings annually to the SEC on Form SD around May 30 each year. As there may be only a limited number of suppliers offering "conflict free" minerals, the Company cannot be certain that we will be able to obtain necessary conflict minerals from such suppliers in sufficient quantities or at competitive prices. Also, the Company may face reputational challenges if we determine that certain of our products contain minerals not determined to be conflict free or if the Company is unable to sufficiently verify the origins for all conflict minerals used in the Company's products through the procedures the Company may implement.</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has impacted and could continue to impact take rates for the Company's SmartBeam application on these vehicles.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December 8, 2015, NHTSA proposed changes to the Administration’s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originally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October 12, 2018, NHTSA published a Notice of Proposed Rulemaking ("NPRM") for amendments to Federal Motor Vehicle Safety Standard ("FMVSS") No. 108: Lamps, reflective devices, and associated equipment,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No. 108 standards, if amended. The Company's SmartBeam® application has and will continue to be affected by increased competition suppliers of multi-function driver assist camera products, which are able to achieve some of the same functionality as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noted, on October 10, 2019, an ANPRM was published seeking public comment on permitting camera-based rear visibility systems, as an alternative to inside and outside rearview mirrors required under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189" w:lineRule="exact"/>
        <w:rPr>
          <w:sz w:val="20"/>
          <w:szCs w:val="20"/>
          <w:color w:val="auto"/>
        </w:rPr>
      </w:pPr>
    </w:p>
    <w:p>
      <w:pPr>
        <w:jc w:val="both"/>
        <w:ind w:left="60"/>
        <w:spacing w:after="0" w:line="266" w:lineRule="auto"/>
        <w:rPr>
          <w:sz w:val="20"/>
          <w:szCs w:val="20"/>
          <w:color w:val="auto"/>
        </w:rPr>
      </w:pPr>
      <w:r>
        <w:rPr>
          <w:rFonts w:ascii="Arial" w:cs="Arial" w:eastAsia="Arial" w:hAnsi="Arial"/>
          <w:sz w:val="18"/>
          <w:szCs w:val="18"/>
          <w:i w:val="1"/>
          <w:iCs w:val="1"/>
          <w:u w:val="single" w:color="auto"/>
          <w:color w:val="auto"/>
        </w:rPr>
        <w:t>International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currently conduct operations in various countries and jurisdictions, including purchasing raw materials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from many different countries around the world, which subjects us to the legal, political, regulatory and social requirements as well as various economic conditions in these jurisdictions. Some of these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71" w:right="239" w:bottom="1440" w:gutter="0" w:footer="0" w:header="0"/>
        </w:sectPr>
      </w:pPr>
    </w:p>
    <w:bookmarkStart w:id="12" w:name="page13"/>
    <w:bookmarkEnd w:id="12"/>
    <w:p>
      <w:pPr>
        <w:ind w:left="60"/>
        <w:spacing w:after="0" w:line="250" w:lineRule="auto"/>
        <w:rPr>
          <w:sz w:val="20"/>
          <w:szCs w:val="20"/>
          <w:color w:val="auto"/>
        </w:rPr>
      </w:pPr>
      <w:r>
        <w:rPr>
          <w:rFonts w:ascii="Arial" w:cs="Arial" w:eastAsia="Arial" w:hAnsi="Arial"/>
          <w:sz w:val="18"/>
          <w:szCs w:val="18"/>
          <w:color w:val="auto"/>
        </w:rPr>
        <w:t>countries are considered growth markets. International sales and operations, especially in growth markets, subject us to certain risks inherent in doing business abroad, including:</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local economic, political and labor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Unexpected changes in laws, regulations, trade or monetary or fiscal policy, including interest rates, foreign currency exchange rates and changes in the rate of inflation in the U.S. and other foreign countries;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 (as discussed herein), quotas, customs and other import or export restrictions and other trade barriers;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political crises, and public health crises (such as the coronavirus in Wuhan, China), which have caused and will likely continue to cause downtime and closures at both supplier and customer facilities;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Brexit, and its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Expropriation and nationalization;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of enforcing agreements, collecting receivables and protecting assets through non-U.S.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intellectual property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Withholding and other taxes on remittances and other payments by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restrictions or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Violence and civil unrest in local countries;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the requirements of an increasing body of applicable anti-bribery laws, including the U.S. Foreign Corrupt Practices Act, the U.K. Bribery Act and similar laws of various other countries;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related to buying, selling and financing in currencies other than the local currencies of the countries in which we operate.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r>
        <w:rPr>
          <w:rFonts w:ascii="Arial" w:cs="Arial" w:eastAsia="Arial" w:hAnsi="Arial"/>
          <w:sz w:val="18"/>
          <w:szCs w:val="18"/>
          <w:i w:val="1"/>
          <w:iCs w:val="1"/>
          <w:color w:val="auto"/>
        </w:rPr>
        <w:t xml:space="preserve"> </w:t>
      </w:r>
      <w:r>
        <w:rPr>
          <w:rFonts w:ascii="Arial" w:cs="Arial" w:eastAsia="Arial" w:hAnsi="Arial"/>
          <w:sz w:val="18"/>
          <w:szCs w:val="18"/>
          <w:color w:val="auto"/>
        </w:rPr>
        <w:t>Other issues and uncertainties which could adversely impact our business, financial condition, and/or results of operations include:</w:t>
      </w:r>
    </w:p>
    <w:p>
      <w:pPr>
        <w:spacing w:after="0" w:line="243" w:lineRule="exact"/>
        <w:rPr>
          <w:sz w:val="20"/>
          <w:szCs w:val="20"/>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in commodity prices may adversely affect our business, financial condition and/or results of operations. If commodity prices rise, and if we are unable to recover these cost increases from our customers, such increases could have an adverse effect on our business, financial condition and/or results of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interest rates impact our financial performance due to an increase in realized losses on the sale of fixed income investments and/or recognized losses due to an Other-Than-Temporary Impairment adjustment on held-to-maturity securities;</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continue to be of concern in many of the regions in which we do business, given that our primary industry is greatly impacted by overall general economic conditions. Any continued adverse worldwide economic conditions, currency exchange rates, trade war, war or significant terrorist acts, could each affect worldwide automotive sales and production levels;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yield issues may negatively impact our business, financial condition and/or results of operations;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Obligations and costs associated with addressing quality issues or warranty claims may adversely affect our business, financial condition and/or results of operations.</w:t>
      </w:r>
    </w:p>
    <w:p>
      <w:pPr>
        <w:spacing w:after="0" w:line="9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u w:val="single" w:color="auto"/>
          <w:color w:val="auto"/>
        </w:rPr>
        <w:t>Antitakeover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Our articles of incorporation, bylaws, and the laws of the state of Michigan include provisions that may provide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with adequate time to consider whether a hostile takeover offer is in our best interest and the best interests of our shareholders. These provisions, however, could discourage potential acquisition proposals and could delay or prevent a change in control.</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Fluctuations in Market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 price for our common stock has fluctuated, ranging from a low closing price of $19.55 to a high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$29.74 during calendar year 2019. The overall market and the price of our common stock may continue to fluctuate. There may be a significant impact on the market price for our common stock relating to the issues discussed above or due to any of the following:</w:t>
      </w:r>
    </w:p>
    <w:p>
      <w:pPr>
        <w:spacing w:after="0" w:line="14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or the results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investors’ or analysts’ perceptions of the risks and conditions of our business and in particular our primary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Intellectual property litigation and infringement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of the public float of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conditions, including the industry in which we operate;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macroeconomic conditions.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71" w:right="239" w:bottom="1440" w:gutter="0" w:footer="0" w:header="0"/>
        </w:sectPr>
      </w:pPr>
    </w:p>
    <w:bookmarkStart w:id="13" w:name="page14"/>
    <w:bookmarkEnd w:id="13"/>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the Company operates primarily out of facilities in Zeeland and Holland, Michigan, which consist of manufacturing, warehouse, and office space. The Company also operates a chemistry lab facility to support production in Zeeland, Michigan. In addition, the Company operates overseas offices in Europe and Asia as further discussed below. The location, square footage and use of the most significant facilities at December 31, 2019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40" w:type="dxa"/>
            <w:vAlign w:val="bottom"/>
            <w:tcBorders>
              <w:bottom w:val="single" w:sz="8" w:color="CCEEFF"/>
            </w:tcBorders>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Owned Locations</w:t>
            </w:r>
          </w:p>
        </w:tc>
        <w:tc>
          <w:tcPr>
            <w:tcW w:w="148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Square Footage</w:t>
            </w:r>
          </w:p>
        </w:tc>
        <w:tc>
          <w:tcPr>
            <w:tcW w:w="2120" w:type="dxa"/>
            <w:vAlign w:val="bottom"/>
            <w:tcBorders>
              <w:bottom w:val="single" w:sz="8" w:color="CCEEFF"/>
            </w:tcBorders>
            <w:gridSpan w:val="2"/>
            <w:vMerge w:val="restart"/>
            <w:shd w:val="clear" w:color="auto" w:fill="CCEEFF"/>
          </w:tcPr>
          <w:p>
            <w:pPr>
              <w:ind w:left="400"/>
              <w:spacing w:after="0"/>
              <w:rPr>
                <w:sz w:val="20"/>
                <w:szCs w:val="20"/>
                <w:color w:val="auto"/>
              </w:rPr>
            </w:pPr>
            <w:r>
              <w:rPr>
                <w:rFonts w:ascii="Arial" w:cs="Arial" w:eastAsia="Arial" w:hAnsi="Arial"/>
                <w:sz w:val="14"/>
                <w:szCs w:val="14"/>
                <w:b w:val="1"/>
                <w:bCs w:val="1"/>
                <w:color w:val="auto"/>
              </w:rPr>
              <w:t>Date of Acquisition/Build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2"/>
              </w:rPr>
              <w:t>(1)</w:t>
            </w:r>
          </w:p>
        </w:tc>
        <w:tc>
          <w:tcPr>
            <w:tcW w:w="400" w:type="dxa"/>
            <w:vAlign w:val="bottom"/>
            <w:tcBorders>
              <w:bottom w:val="single" w:sz="8" w:color="CCEEFF"/>
            </w:tcBorders>
            <w:vMerge w:val="restart"/>
            <w:shd w:val="clear" w:color="auto" w:fill="CCEEFF"/>
          </w:tcPr>
          <w:p>
            <w:pPr>
              <w:spacing w:after="0"/>
              <w:rPr>
                <w:sz w:val="15"/>
                <w:szCs w:val="15"/>
                <w:color w:val="auto"/>
              </w:rPr>
            </w:pPr>
          </w:p>
        </w:tc>
        <w:tc>
          <w:tcPr>
            <w:tcW w:w="418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Use</w:t>
            </w:r>
          </w:p>
        </w:tc>
        <w:tc>
          <w:tcPr>
            <w:tcW w:w="0" w:type="dxa"/>
            <w:vAlign w:val="bottom"/>
          </w:tcPr>
          <w:p>
            <w:pPr>
              <w:spacing w:after="0"/>
              <w:rPr>
                <w:sz w:val="1"/>
                <w:szCs w:val="1"/>
                <w:color w:val="auto"/>
              </w:rPr>
            </w:pPr>
          </w:p>
        </w:tc>
      </w:tr>
      <w:tr>
        <w:trPr>
          <w:trHeight w:val="34"/>
        </w:trPr>
        <w:tc>
          <w:tcPr>
            <w:tcW w:w="3140" w:type="dxa"/>
            <w:vAlign w:val="bottom"/>
            <w:gridSpan w:val="3"/>
            <w:vMerge w:val="continue"/>
            <w:shd w:val="clear" w:color="auto" w:fill="CCEEFF"/>
          </w:tcPr>
          <w:p>
            <w:pPr>
              <w:spacing w:after="0"/>
              <w:rPr>
                <w:sz w:val="2"/>
                <w:szCs w:val="2"/>
                <w:color w:val="auto"/>
              </w:rPr>
            </w:pPr>
          </w:p>
        </w:tc>
        <w:tc>
          <w:tcPr>
            <w:tcW w:w="1480" w:type="dxa"/>
            <w:vAlign w:val="bottom"/>
            <w:gridSpan w:val="2"/>
            <w:vMerge w:val="continue"/>
            <w:shd w:val="clear" w:color="auto" w:fill="CCEEFF"/>
          </w:tcPr>
          <w:p>
            <w:pPr>
              <w:spacing w:after="0"/>
              <w:rPr>
                <w:sz w:val="2"/>
                <w:szCs w:val="2"/>
                <w:color w:val="auto"/>
              </w:rPr>
            </w:pPr>
          </w:p>
        </w:tc>
        <w:tc>
          <w:tcPr>
            <w:tcW w:w="2120" w:type="dxa"/>
            <w:vAlign w:val="bottom"/>
            <w:gridSpan w:val="2"/>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vMerge w:val="continue"/>
            <w:shd w:val="clear" w:color="auto" w:fill="CCEEFF"/>
          </w:tcPr>
          <w:p>
            <w:pPr>
              <w:spacing w:after="0"/>
              <w:rPr>
                <w:sz w:val="2"/>
                <w:szCs w:val="2"/>
                <w:color w:val="auto"/>
              </w:rPr>
            </w:pPr>
          </w:p>
        </w:tc>
        <w:tc>
          <w:tcPr>
            <w:tcW w:w="4180" w:type="dxa"/>
            <w:vAlign w:val="bottom"/>
            <w:gridSpan w:val="2"/>
            <w:vMerge w:val="continue"/>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Zeeland, MI</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26,600</w:t>
            </w:r>
          </w:p>
        </w:tc>
        <w:tc>
          <w:tcPr>
            <w:tcW w:w="2620" w:type="dxa"/>
            <w:vAlign w:val="bottom"/>
            <w:gridSpan w:val="4"/>
          </w:tcPr>
          <w:p>
            <w:pPr>
              <w:jc w:val="right"/>
              <w:ind w:right="400"/>
              <w:spacing w:after="0"/>
              <w:rPr>
                <w:sz w:val="20"/>
                <w:szCs w:val="20"/>
                <w:color w:val="auto"/>
              </w:rPr>
            </w:pPr>
            <w:r>
              <w:rPr>
                <w:rFonts w:ascii="Arial" w:cs="Arial" w:eastAsia="Arial" w:hAnsi="Arial"/>
                <w:sz w:val="18"/>
                <w:szCs w:val="18"/>
                <w:color w:val="auto"/>
              </w:rPr>
              <w:t>1970</w:t>
            </w:r>
          </w:p>
        </w:tc>
        <w:tc>
          <w:tcPr>
            <w:tcW w:w="4180" w:type="dxa"/>
            <w:vAlign w:val="bottom"/>
            <w:gridSpan w:val="2"/>
          </w:tcPr>
          <w:p>
            <w:pPr>
              <w:spacing w:after="0"/>
              <w:rPr>
                <w:sz w:val="20"/>
                <w:szCs w:val="20"/>
                <w:color w:val="auto"/>
              </w:rPr>
            </w:pPr>
            <w:r>
              <w:rPr>
                <w:rFonts w:ascii="Arial" w:cs="Arial" w:eastAsia="Arial" w:hAnsi="Arial"/>
                <w:sz w:val="18"/>
                <w:szCs w:val="18"/>
                <w:color w:val="auto"/>
              </w:rPr>
              <w:t>Manufacturing, Office</w:t>
            </w:r>
          </w:p>
        </w:tc>
        <w:tc>
          <w:tcPr>
            <w:tcW w:w="0" w:type="dxa"/>
            <w:vAlign w:val="bottom"/>
          </w:tcPr>
          <w:p>
            <w:pPr>
              <w:spacing w:after="0"/>
              <w:rPr>
                <w:sz w:val="1"/>
                <w:szCs w:val="1"/>
                <w:color w:val="auto"/>
              </w:rPr>
            </w:pPr>
          </w:p>
        </w:tc>
      </w:tr>
      <w:tr>
        <w:trPr>
          <w:trHeight w:val="277"/>
        </w:trPr>
        <w:tc>
          <w:tcPr>
            <w:tcW w:w="3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Zeeland, MI</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161,200</w:t>
            </w:r>
          </w:p>
        </w:tc>
        <w:tc>
          <w:tcPr>
            <w:tcW w:w="26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1972</w:t>
            </w: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Office</w:t>
            </w:r>
          </w:p>
        </w:tc>
        <w:tc>
          <w:tcPr>
            <w:tcW w:w="0" w:type="dxa"/>
            <w:vAlign w:val="bottom"/>
          </w:tcPr>
          <w:p>
            <w:pPr>
              <w:spacing w:after="0"/>
              <w:rPr>
                <w:sz w:val="1"/>
                <w:szCs w:val="1"/>
                <w:color w:val="auto"/>
              </w:rPr>
            </w:pPr>
          </w:p>
        </w:tc>
      </w:tr>
      <w:tr>
        <w:trPr>
          <w:trHeight w:val="26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Zeeland, MI</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70,000</w:t>
            </w:r>
          </w:p>
        </w:tc>
        <w:tc>
          <w:tcPr>
            <w:tcW w:w="2620" w:type="dxa"/>
            <w:vAlign w:val="bottom"/>
            <w:gridSpan w:val="4"/>
          </w:tcPr>
          <w:p>
            <w:pPr>
              <w:jc w:val="right"/>
              <w:ind w:right="400"/>
              <w:spacing w:after="0"/>
              <w:rPr>
                <w:sz w:val="20"/>
                <w:szCs w:val="20"/>
                <w:color w:val="auto"/>
              </w:rPr>
            </w:pPr>
            <w:r>
              <w:rPr>
                <w:rFonts w:ascii="Arial" w:cs="Arial" w:eastAsia="Arial" w:hAnsi="Arial"/>
                <w:sz w:val="18"/>
                <w:szCs w:val="18"/>
                <w:color w:val="auto"/>
              </w:rPr>
              <w:t>1989</w:t>
            </w:r>
          </w:p>
        </w:tc>
        <w:tc>
          <w:tcPr>
            <w:tcW w:w="418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77"/>
        </w:trPr>
        <w:tc>
          <w:tcPr>
            <w:tcW w:w="3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Zeeland, MI</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70,000</w:t>
            </w:r>
          </w:p>
        </w:tc>
        <w:tc>
          <w:tcPr>
            <w:tcW w:w="26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1989</w:t>
            </w: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6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Zeeland, MI</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359,100</w:t>
            </w:r>
          </w:p>
        </w:tc>
        <w:tc>
          <w:tcPr>
            <w:tcW w:w="2620" w:type="dxa"/>
            <w:vAlign w:val="bottom"/>
            <w:gridSpan w:val="4"/>
          </w:tcPr>
          <w:p>
            <w:pPr>
              <w:jc w:val="right"/>
              <w:ind w:right="400"/>
              <w:spacing w:after="0"/>
              <w:rPr>
                <w:sz w:val="20"/>
                <w:szCs w:val="20"/>
                <w:color w:val="auto"/>
              </w:rPr>
            </w:pPr>
            <w:r>
              <w:rPr>
                <w:rFonts w:ascii="Arial" w:cs="Arial" w:eastAsia="Arial" w:hAnsi="Arial"/>
                <w:sz w:val="18"/>
                <w:szCs w:val="18"/>
                <w:color w:val="auto"/>
              </w:rPr>
              <w:t>1996</w:t>
            </w:r>
          </w:p>
        </w:tc>
        <w:tc>
          <w:tcPr>
            <w:tcW w:w="418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77"/>
        </w:trPr>
        <w:tc>
          <w:tcPr>
            <w:tcW w:w="3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Zeeland, MI</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168,900</w:t>
            </w:r>
          </w:p>
        </w:tc>
        <w:tc>
          <w:tcPr>
            <w:tcW w:w="26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2000</w:t>
            </w: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6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Zeeland, MI</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334,000</w:t>
            </w:r>
          </w:p>
        </w:tc>
        <w:tc>
          <w:tcPr>
            <w:tcW w:w="2620" w:type="dxa"/>
            <w:vAlign w:val="bottom"/>
            <w:gridSpan w:val="4"/>
          </w:tcPr>
          <w:p>
            <w:pPr>
              <w:jc w:val="right"/>
              <w:ind w:right="400"/>
              <w:spacing w:after="0"/>
              <w:rPr>
                <w:sz w:val="20"/>
                <w:szCs w:val="20"/>
                <w:color w:val="auto"/>
              </w:rPr>
            </w:pPr>
            <w:r>
              <w:rPr>
                <w:rFonts w:ascii="Arial" w:cs="Arial" w:eastAsia="Arial" w:hAnsi="Arial"/>
                <w:sz w:val="18"/>
                <w:szCs w:val="18"/>
                <w:color w:val="auto"/>
              </w:rPr>
              <w:t>2006</w:t>
            </w:r>
          </w:p>
        </w:tc>
        <w:tc>
          <w:tcPr>
            <w:tcW w:w="4180" w:type="dxa"/>
            <w:vAlign w:val="bottom"/>
            <w:gridSpan w:val="2"/>
          </w:tcPr>
          <w:p>
            <w:pPr>
              <w:spacing w:after="0"/>
              <w:rPr>
                <w:sz w:val="20"/>
                <w:szCs w:val="20"/>
                <w:color w:val="auto"/>
              </w:rPr>
            </w:pPr>
            <w:r>
              <w:rPr>
                <w:rFonts w:ascii="Arial" w:cs="Arial" w:eastAsia="Arial" w:hAnsi="Arial"/>
                <w:sz w:val="18"/>
                <w:szCs w:val="18"/>
                <w:color w:val="auto"/>
              </w:rPr>
              <w:t>Manufacturing, Office</w:t>
            </w:r>
          </w:p>
        </w:tc>
        <w:tc>
          <w:tcPr>
            <w:tcW w:w="0" w:type="dxa"/>
            <w:vAlign w:val="bottom"/>
          </w:tcPr>
          <w:p>
            <w:pPr>
              <w:spacing w:after="0"/>
              <w:rPr>
                <w:sz w:val="1"/>
                <w:szCs w:val="1"/>
                <w:color w:val="auto"/>
              </w:rPr>
            </w:pPr>
          </w:p>
        </w:tc>
      </w:tr>
      <w:tr>
        <w:trPr>
          <w:trHeight w:val="277"/>
        </w:trPr>
        <w:tc>
          <w:tcPr>
            <w:tcW w:w="3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Zeeland, MI</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100,000</w:t>
            </w:r>
          </w:p>
        </w:tc>
        <w:tc>
          <w:tcPr>
            <w:tcW w:w="26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2010</w:t>
            </w: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Warehouse</w:t>
            </w:r>
          </w:p>
        </w:tc>
        <w:tc>
          <w:tcPr>
            <w:tcW w:w="0" w:type="dxa"/>
            <w:vAlign w:val="bottom"/>
          </w:tcPr>
          <w:p>
            <w:pPr>
              <w:spacing w:after="0"/>
              <w:rPr>
                <w:sz w:val="1"/>
                <w:szCs w:val="1"/>
                <w:color w:val="auto"/>
              </w:rPr>
            </w:pPr>
          </w:p>
        </w:tc>
      </w:tr>
      <w:tr>
        <w:trPr>
          <w:trHeight w:val="26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Zeeland, MI</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31,800</w:t>
            </w:r>
          </w:p>
        </w:tc>
        <w:tc>
          <w:tcPr>
            <w:tcW w:w="2620" w:type="dxa"/>
            <w:vAlign w:val="bottom"/>
            <w:gridSpan w:val="4"/>
          </w:tcPr>
          <w:p>
            <w:pPr>
              <w:jc w:val="right"/>
              <w:ind w:right="400"/>
              <w:spacing w:after="0"/>
              <w:rPr>
                <w:sz w:val="20"/>
                <w:szCs w:val="20"/>
                <w:color w:val="auto"/>
              </w:rPr>
            </w:pPr>
            <w:r>
              <w:rPr>
                <w:rFonts w:ascii="Arial" w:cs="Arial" w:eastAsia="Arial" w:hAnsi="Arial"/>
                <w:sz w:val="18"/>
                <w:szCs w:val="18"/>
                <w:color w:val="auto"/>
              </w:rPr>
              <w:t>2011</w:t>
            </w:r>
          </w:p>
        </w:tc>
        <w:tc>
          <w:tcPr>
            <w:tcW w:w="41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77"/>
        </w:trPr>
        <w:tc>
          <w:tcPr>
            <w:tcW w:w="3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Zeeland, MI</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349,600</w:t>
            </w:r>
          </w:p>
        </w:tc>
        <w:tc>
          <w:tcPr>
            <w:tcW w:w="26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2016</w:t>
            </w: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Warehouse</w:t>
            </w:r>
          </w:p>
        </w:tc>
        <w:tc>
          <w:tcPr>
            <w:tcW w:w="0" w:type="dxa"/>
            <w:vAlign w:val="bottom"/>
          </w:tcPr>
          <w:p>
            <w:pPr>
              <w:spacing w:after="0"/>
              <w:rPr>
                <w:sz w:val="1"/>
                <w:szCs w:val="1"/>
                <w:color w:val="auto"/>
              </w:rPr>
            </w:pPr>
          </w:p>
        </w:tc>
      </w:tr>
      <w:tr>
        <w:trPr>
          <w:trHeight w:val="26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Zeeland, MI</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258,400</w:t>
            </w:r>
          </w:p>
        </w:tc>
        <w:tc>
          <w:tcPr>
            <w:tcW w:w="2620" w:type="dxa"/>
            <w:vAlign w:val="bottom"/>
            <w:gridSpan w:val="4"/>
          </w:tcPr>
          <w:p>
            <w:pPr>
              <w:jc w:val="right"/>
              <w:ind w:right="400"/>
              <w:spacing w:after="0"/>
              <w:rPr>
                <w:sz w:val="20"/>
                <w:szCs w:val="20"/>
                <w:color w:val="auto"/>
              </w:rPr>
            </w:pPr>
            <w:r>
              <w:rPr>
                <w:rFonts w:ascii="Arial" w:cs="Arial" w:eastAsia="Arial" w:hAnsi="Arial"/>
                <w:sz w:val="18"/>
                <w:szCs w:val="18"/>
                <w:color w:val="auto"/>
              </w:rPr>
              <w:t>2018</w:t>
            </w:r>
          </w:p>
        </w:tc>
        <w:tc>
          <w:tcPr>
            <w:tcW w:w="418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0" w:type="dxa"/>
            <w:vAlign w:val="bottom"/>
          </w:tcPr>
          <w:p>
            <w:pPr>
              <w:spacing w:after="0"/>
              <w:rPr>
                <w:sz w:val="1"/>
                <w:szCs w:val="1"/>
                <w:color w:val="auto"/>
              </w:rPr>
            </w:pPr>
          </w:p>
        </w:tc>
      </w:tr>
      <w:tr>
        <w:trPr>
          <w:trHeight w:val="277"/>
        </w:trPr>
        <w:tc>
          <w:tcPr>
            <w:tcW w:w="3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Holland, MI</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242,300</w:t>
            </w:r>
          </w:p>
        </w:tc>
        <w:tc>
          <w:tcPr>
            <w:tcW w:w="26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2012</w:t>
            </w: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Warehouse</w:t>
            </w:r>
          </w:p>
        </w:tc>
        <w:tc>
          <w:tcPr>
            <w:tcW w:w="0" w:type="dxa"/>
            <w:vAlign w:val="bottom"/>
          </w:tcPr>
          <w:p>
            <w:pPr>
              <w:spacing w:after="0"/>
              <w:rPr>
                <w:sz w:val="1"/>
                <w:szCs w:val="1"/>
                <w:color w:val="auto"/>
              </w:rPr>
            </w:pPr>
          </w:p>
        </w:tc>
      </w:tr>
      <w:tr>
        <w:trPr>
          <w:trHeight w:val="26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Erlenbach, Germany</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90,000</w:t>
            </w:r>
          </w:p>
        </w:tc>
        <w:tc>
          <w:tcPr>
            <w:tcW w:w="2620" w:type="dxa"/>
            <w:vAlign w:val="bottom"/>
            <w:gridSpan w:val="4"/>
          </w:tcPr>
          <w:p>
            <w:pPr>
              <w:jc w:val="right"/>
              <w:ind w:right="400"/>
              <w:spacing w:after="0"/>
              <w:rPr>
                <w:sz w:val="20"/>
                <w:szCs w:val="20"/>
                <w:color w:val="auto"/>
              </w:rPr>
            </w:pPr>
            <w:r>
              <w:rPr>
                <w:rFonts w:ascii="Arial" w:cs="Arial" w:eastAsia="Arial" w:hAnsi="Arial"/>
                <w:sz w:val="18"/>
                <w:szCs w:val="18"/>
                <w:color w:val="auto"/>
              </w:rPr>
              <w:t>2003</w:t>
            </w:r>
          </w:p>
        </w:tc>
        <w:tc>
          <w:tcPr>
            <w:tcW w:w="41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77"/>
        </w:trPr>
        <w:tc>
          <w:tcPr>
            <w:tcW w:w="3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Shanghai, China</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25,000</w:t>
            </w:r>
          </w:p>
        </w:tc>
        <w:tc>
          <w:tcPr>
            <w:tcW w:w="26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2006</w:t>
            </w: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Warehouse</w:t>
            </w:r>
          </w:p>
        </w:tc>
        <w:tc>
          <w:tcPr>
            <w:tcW w:w="0" w:type="dxa"/>
            <w:vAlign w:val="bottom"/>
          </w:tcPr>
          <w:p>
            <w:pPr>
              <w:spacing w:after="0"/>
              <w:rPr>
                <w:sz w:val="1"/>
                <w:szCs w:val="1"/>
                <w:color w:val="auto"/>
              </w:rPr>
            </w:pPr>
          </w:p>
        </w:tc>
      </w:tr>
      <w:tr>
        <w:trPr>
          <w:trHeight w:val="257"/>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Shanghai, China</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40,000</w:t>
            </w:r>
          </w:p>
        </w:tc>
        <w:tc>
          <w:tcPr>
            <w:tcW w:w="2620" w:type="dxa"/>
            <w:vAlign w:val="bottom"/>
            <w:gridSpan w:val="4"/>
          </w:tcPr>
          <w:p>
            <w:pPr>
              <w:jc w:val="right"/>
              <w:ind w:right="400"/>
              <w:spacing w:after="0"/>
              <w:rPr>
                <w:sz w:val="20"/>
                <w:szCs w:val="20"/>
                <w:color w:val="auto"/>
              </w:rPr>
            </w:pPr>
            <w:r>
              <w:rPr>
                <w:rFonts w:ascii="Arial" w:cs="Arial" w:eastAsia="Arial" w:hAnsi="Arial"/>
                <w:sz w:val="18"/>
                <w:szCs w:val="18"/>
                <w:color w:val="auto"/>
              </w:rPr>
              <w:t>2017</w:t>
            </w:r>
          </w:p>
        </w:tc>
        <w:tc>
          <w:tcPr>
            <w:tcW w:w="4180" w:type="dxa"/>
            <w:vAlign w:val="bottom"/>
            <w:gridSpan w:val="2"/>
          </w:tcPr>
          <w:p>
            <w:pPr>
              <w:spacing w:after="0"/>
              <w:rPr>
                <w:sz w:val="20"/>
                <w:szCs w:val="20"/>
                <w:color w:val="auto"/>
              </w:rPr>
            </w:pPr>
            <w:r>
              <w:rPr>
                <w:rFonts w:ascii="Arial" w:cs="Arial" w:eastAsia="Arial" w:hAnsi="Arial"/>
                <w:sz w:val="18"/>
                <w:szCs w:val="18"/>
                <w:color w:val="auto"/>
              </w:rPr>
              <w:t>Office, Warehouse</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Date of Acquistion/Build refers to first year of operations, and does not refer to subsequent additions or expansions.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fourth quarter of 2019, the Company began construction of a 36,000 square-foot addition to its main corporate office and manufacturing facility to expand its chemistry lab facilities. The total cost of this addition is estimated to be $10 million and will be funded from cash and cash equivalents on hand. The facility is expected to be operational by the fourth quarter of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additionally has leased sales and engineering offices throughout Europe and Asia to support its sales and engineering efforts: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Country</w:t>
            </w:r>
          </w:p>
        </w:tc>
        <w:tc>
          <w:tcPr>
            <w:tcW w:w="2600" w:type="dxa"/>
            <w:vAlign w:val="bottom"/>
            <w:gridSpan w:val="2"/>
            <w:shd w:val="clear" w:color="auto" w:fill="CCEEFF"/>
          </w:tcPr>
          <w:p>
            <w:pPr>
              <w:jc w:val="center"/>
              <w:ind w:right="820"/>
              <w:spacing w:after="0"/>
              <w:rPr>
                <w:sz w:val="20"/>
                <w:szCs w:val="20"/>
                <w:color w:val="auto"/>
              </w:rPr>
            </w:pPr>
            <w:r>
              <w:rPr>
                <w:rFonts w:ascii="Arial" w:cs="Arial" w:eastAsia="Arial" w:hAnsi="Arial"/>
                <w:sz w:val="14"/>
                <w:szCs w:val="14"/>
                <w:b w:val="1"/>
                <w:bCs w:val="1"/>
                <w:color w:val="auto"/>
              </w:rPr>
              <w:t>Number of Leased Offices</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82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50"/>
        </w:trPr>
        <w:tc>
          <w:tcPr>
            <w:tcW w:w="8820" w:type="dxa"/>
            <w:vAlign w:val="bottom"/>
            <w:gridSpan w:val="3"/>
          </w:tcPr>
          <w:p>
            <w:pPr>
              <w:ind w:left="40"/>
              <w:spacing w:after="0"/>
              <w:rPr>
                <w:sz w:val="20"/>
                <w:szCs w:val="20"/>
                <w:color w:val="auto"/>
              </w:rPr>
            </w:pPr>
            <w:r>
              <w:rPr>
                <w:rFonts w:ascii="Arial" w:cs="Arial" w:eastAsia="Arial" w:hAnsi="Arial"/>
                <w:sz w:val="18"/>
                <w:szCs w:val="18"/>
                <w:color w:val="auto"/>
              </w:rPr>
              <w:t>Germany</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20" w:type="dxa"/>
            <w:vAlign w:val="bottom"/>
          </w:tcPr>
          <w:p>
            <w:pPr>
              <w:spacing w:after="0"/>
              <w:rPr>
                <w:sz w:val="21"/>
                <w:szCs w:val="21"/>
                <w:color w:val="auto"/>
              </w:rPr>
            </w:pPr>
          </w:p>
        </w:tc>
      </w:tr>
      <w:tr>
        <w:trPr>
          <w:trHeight w:val="263"/>
        </w:trPr>
        <w:tc>
          <w:tcPr>
            <w:tcW w:w="8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820" w:type="dxa"/>
            <w:vAlign w:val="bottom"/>
            <w:shd w:val="clear" w:color="auto" w:fill="CCEEFF"/>
          </w:tcPr>
          <w:p>
            <w:pPr>
              <w:spacing w:after="0"/>
              <w:rPr>
                <w:sz w:val="22"/>
                <w:szCs w:val="22"/>
                <w:color w:val="auto"/>
              </w:rPr>
            </w:pPr>
          </w:p>
        </w:tc>
      </w:tr>
      <w:tr>
        <w:trPr>
          <w:trHeight w:val="250"/>
        </w:trPr>
        <w:tc>
          <w:tcPr>
            <w:tcW w:w="8820" w:type="dxa"/>
            <w:vAlign w:val="bottom"/>
            <w:gridSpan w:val="3"/>
          </w:tcPr>
          <w:p>
            <w:pPr>
              <w:ind w:left="40"/>
              <w:spacing w:after="0"/>
              <w:rPr>
                <w:sz w:val="20"/>
                <w:szCs w:val="20"/>
                <w:color w:val="auto"/>
              </w:rPr>
            </w:pPr>
            <w:r>
              <w:rPr>
                <w:rFonts w:ascii="Arial" w:cs="Arial" w:eastAsia="Arial" w:hAnsi="Arial"/>
                <w:sz w:val="18"/>
                <w:szCs w:val="18"/>
                <w:color w:val="auto"/>
              </w:rPr>
              <w:t>United Kingdom</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820" w:type="dxa"/>
            <w:vAlign w:val="bottom"/>
          </w:tcPr>
          <w:p>
            <w:pPr>
              <w:spacing w:after="0"/>
              <w:rPr>
                <w:sz w:val="21"/>
                <w:szCs w:val="21"/>
                <w:color w:val="auto"/>
              </w:rPr>
            </w:pPr>
          </w:p>
        </w:tc>
      </w:tr>
      <w:tr>
        <w:trPr>
          <w:trHeight w:val="263"/>
        </w:trPr>
        <w:tc>
          <w:tcPr>
            <w:tcW w:w="8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France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20" w:type="dxa"/>
            <w:vAlign w:val="bottom"/>
            <w:shd w:val="clear" w:color="auto" w:fill="CCEEFF"/>
          </w:tcPr>
          <w:p>
            <w:pPr>
              <w:spacing w:after="0"/>
              <w:rPr>
                <w:sz w:val="22"/>
                <w:szCs w:val="22"/>
                <w:color w:val="auto"/>
              </w:rPr>
            </w:pPr>
          </w:p>
        </w:tc>
      </w:tr>
      <w:tr>
        <w:trPr>
          <w:trHeight w:val="250"/>
        </w:trPr>
        <w:tc>
          <w:tcPr>
            <w:tcW w:w="8820" w:type="dxa"/>
            <w:vAlign w:val="bottom"/>
            <w:gridSpan w:val="3"/>
          </w:tcPr>
          <w:p>
            <w:pPr>
              <w:ind w:left="40"/>
              <w:spacing w:after="0"/>
              <w:rPr>
                <w:sz w:val="20"/>
                <w:szCs w:val="20"/>
                <w:color w:val="auto"/>
              </w:rPr>
            </w:pPr>
            <w:r>
              <w:rPr>
                <w:rFonts w:ascii="Arial" w:cs="Arial" w:eastAsia="Arial" w:hAnsi="Arial"/>
                <w:sz w:val="18"/>
                <w:szCs w:val="18"/>
                <w:color w:val="auto"/>
              </w:rPr>
              <w:t>Sweden</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820" w:type="dxa"/>
            <w:vAlign w:val="bottom"/>
          </w:tcPr>
          <w:p>
            <w:pPr>
              <w:spacing w:after="0"/>
              <w:rPr>
                <w:sz w:val="21"/>
                <w:szCs w:val="21"/>
                <w:color w:val="auto"/>
              </w:rPr>
            </w:pPr>
          </w:p>
        </w:tc>
      </w:tr>
      <w:tr>
        <w:trPr>
          <w:trHeight w:val="263"/>
        </w:trPr>
        <w:tc>
          <w:tcPr>
            <w:tcW w:w="8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Korea</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20" w:type="dxa"/>
            <w:vAlign w:val="bottom"/>
            <w:shd w:val="clear" w:color="auto" w:fill="CCEEFF"/>
          </w:tcPr>
          <w:p>
            <w:pPr>
              <w:spacing w:after="0"/>
              <w:rPr>
                <w:sz w:val="22"/>
                <w:szCs w:val="22"/>
                <w:color w:val="auto"/>
              </w:rPr>
            </w:pPr>
          </w:p>
        </w:tc>
      </w:tr>
    </w:tbl>
    <w:p>
      <w:pPr>
        <w:spacing w:after="0" w:line="13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Company's Automotive Products segment operates in virtually all of the foregoing facilities. The Company's Other segment operates in certain Zeeland, Michigan facilities.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Capacity.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65" w:right="239" w:bottom="1440" w:gutter="0" w:footer="0" w:header="0"/>
        </w:sectPr>
      </w:pPr>
    </w:p>
    <w:bookmarkStart w:id="14" w:name="page15"/>
    <w:bookmarkEnd w:id="14"/>
    <w:p>
      <w:pPr>
        <w:jc w:val="both"/>
        <w:spacing w:after="0" w:line="262"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facilities needs.</w:t>
      </w:r>
    </w:p>
    <w:p>
      <w:pPr>
        <w:spacing w:after="0" w:line="11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estimates that it currently has building capacity to manufacture approximately 33 - 36 million interior automatic-dimming mirror units annually, based on current product mix. The Company evaluates equipment capacity on an ongoing basis and adds equipment as needed. In 2019, the Company shipped 29.6 million interior automatic-dimming mirrors.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automotive exterior mirror manufacturing facility has an estimated building capacity to manufacture approximately 14 - 17 million units annually, based on the current product mix. The Company evaluates equipment capacity on an ongoing basis and adds equipment as needed. In 2019, the Company shipped approximately 13.3 million exterior automatic-dimming mirrors.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any matters that constitute material pending legal proceedings that will have a material adverse effect on the financial position, future results of operations, or cash flows of the Company.</w:t>
      </w:r>
    </w:p>
    <w:p>
      <w:pPr>
        <w:spacing w:after="0" w:line="3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245" w:lineRule="exact"/>
        <w:rPr>
          <w:sz w:val="20"/>
          <w:szCs w:val="20"/>
          <w:color w:val="auto"/>
        </w:rPr>
      </w:pPr>
    </w:p>
    <w:p>
      <w:pPr>
        <w:ind w:left="420" w:right="20" w:hanging="412"/>
        <w:spacing w:after="0" w:line="233" w:lineRule="auto"/>
        <w:tabs>
          <w:tab w:leader="none" w:pos="28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common stock trades on The Nasdaq Global Select Market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under the symbol GNTX. As of February 1, 2020, there were 2,238 record-holders of the Company’s common stock and restricted stock.</w:t>
      </w:r>
    </w:p>
    <w:p>
      <w:pPr>
        <w:spacing w:after="0" w:line="134"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31">
        <w:r>
          <w:rPr>
            <w:rFonts w:ascii="Arial" w:cs="Arial" w:eastAsia="Arial" w:hAnsi="Arial"/>
            <w:sz w:val="18"/>
            <w:szCs w:val="18"/>
            <w:u w:val="single" w:color="auto"/>
            <w:color w:val="0000EE"/>
          </w:rPr>
          <w:t>Item 12 of Part III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with respect to "Equity Compensation Plan Information", which is incorporated herein by reference.</w:t>
      </w:r>
    </w:p>
    <w:p>
      <w:pPr>
        <w:spacing w:after="0" w:line="144" w:lineRule="exact"/>
        <w:rPr>
          <w:sz w:val="20"/>
          <w:szCs w:val="20"/>
          <w:color w:val="auto"/>
        </w:rPr>
      </w:pPr>
    </w:p>
    <w:p>
      <w:pPr>
        <w:jc w:val="both"/>
        <w:ind w:left="420"/>
        <w:spacing w:after="0" w:line="256" w:lineRule="auto"/>
        <w:rPr>
          <w:sz w:val="20"/>
          <w:szCs w:val="20"/>
          <w:color w:val="auto"/>
        </w:rPr>
      </w:pPr>
      <w:r>
        <w:rPr>
          <w:rFonts w:ascii="Arial" w:cs="Arial" w:eastAsia="Arial" w:hAnsi="Arial"/>
          <w:sz w:val="18"/>
          <w:szCs w:val="18"/>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2014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-7620</wp:posOffset>
            </wp:positionV>
            <wp:extent cx="5257165" cy="4116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In March 2019, the Company's Board of Directors approved a continuing resolution to pay a quarterly dividend at an increased rate of $0.115 per share until the board takes other action with respect to the payment of dividends. The Company intends to continue to pay a quarterly cash dividend and will consider future dividend rate adjustments based on the Company’s financial condition, profitability, cash flow, liquidity and other relevant business factors.</w:t>
      </w:r>
    </w:p>
    <w:p>
      <w:pPr>
        <w:spacing w:after="0" w:line="150"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jc w:val="both"/>
        <w:ind w:left="420" w:hanging="412"/>
        <w:spacing w:after="0" w:line="25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in place and has announced a share repurchase plan. As previously disclosed, the Company may purchase authorized shares of its common stock under the plan based on a number of factors, including: market, economic, and industry conditions; the market price of the Company's common stock; anti-dilutive effect on earnings; available cash; and other factors that the Company deems appropriate. The plan does not have an expiration date, but the Board of Directors reviews such plan periodically.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49" w:right="2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color w:val="auto"/>
        </w:rPr>
        <w:t>The following is a summary of share repurchase activity during 2019:</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Issuer Purchase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26035</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gridSpan w:val="5"/>
          </w:tcPr>
          <w:p>
            <w:pPr>
              <w:jc w:val="center"/>
              <w:spacing w:after="0"/>
              <w:rPr>
                <w:sz w:val="20"/>
                <w:szCs w:val="20"/>
                <w:color w:val="auto"/>
              </w:rPr>
            </w:pPr>
            <w:r>
              <w:rPr>
                <w:rFonts w:ascii="Arial" w:cs="Arial" w:eastAsia="Arial" w:hAnsi="Arial"/>
                <w:sz w:val="14"/>
                <w:szCs w:val="14"/>
                <w:b w:val="1"/>
                <w:bCs w:val="1"/>
                <w:color w:val="auto"/>
              </w:rPr>
              <w:t>Maximum Number of Shares</w:t>
            </w:r>
          </w:p>
        </w:tc>
      </w:tr>
      <w:tr>
        <w:trPr>
          <w:trHeight w:val="162"/>
        </w:trPr>
        <w:tc>
          <w:tcPr>
            <w:tcW w:w="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8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Average Price Paid Per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rPr>
              <w:t>Purchased As Part of a Publicly</w:t>
            </w:r>
          </w:p>
        </w:tc>
        <w:tc>
          <w:tcPr>
            <w:tcW w:w="226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That May Yet Be Purchased</w:t>
            </w:r>
          </w:p>
        </w:tc>
      </w:tr>
      <w:tr>
        <w:trPr>
          <w:trHeight w:val="196"/>
        </w:trPr>
        <w:tc>
          <w:tcPr>
            <w:tcW w:w="60" w:type="dxa"/>
            <w:vAlign w:val="bottom"/>
          </w:tcPr>
          <w:p>
            <w:pPr>
              <w:spacing w:after="0"/>
              <w:rPr>
                <w:sz w:val="17"/>
                <w:szCs w:val="17"/>
                <w:color w:val="auto"/>
              </w:rPr>
            </w:pPr>
          </w:p>
        </w:tc>
        <w:tc>
          <w:tcPr>
            <w:tcW w:w="17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Period</w:t>
            </w:r>
          </w:p>
        </w:tc>
        <w:tc>
          <w:tcPr>
            <w:tcW w:w="9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Purchased</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rPr>
              <w:t>Share</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4"/>
                <w:szCs w:val="14"/>
                <w:b w:val="1"/>
                <w:bCs w:val="1"/>
                <w:color w:val="auto"/>
              </w:rPr>
              <w:t>Announced Plan*</w:t>
            </w:r>
          </w:p>
        </w:tc>
        <w:tc>
          <w:tcPr>
            <w:tcW w:w="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ind w:right="470"/>
              <w:spacing w:after="0"/>
              <w:rPr>
                <w:sz w:val="20"/>
                <w:szCs w:val="20"/>
                <w:color w:val="auto"/>
              </w:rPr>
            </w:pPr>
            <w:r>
              <w:rPr>
                <w:rFonts w:ascii="Arial" w:cs="Arial" w:eastAsia="Arial" w:hAnsi="Arial"/>
                <w:sz w:val="14"/>
                <w:szCs w:val="14"/>
                <w:b w:val="1"/>
                <w:bCs w:val="1"/>
                <w:color w:val="auto"/>
              </w:rPr>
              <w:t>Under the Plan*</w:t>
            </w:r>
          </w:p>
        </w:tc>
      </w:tr>
      <w:tr>
        <w:trPr>
          <w:trHeight w:val="249"/>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January 2019</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75,001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21.42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75,001</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33,766,256</w:t>
            </w:r>
          </w:p>
        </w:tc>
      </w:tr>
      <w:tr>
        <w:trPr>
          <w:trHeight w:val="263"/>
        </w:trPr>
        <w:tc>
          <w:tcPr>
            <w:tcW w:w="6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2019</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2,499,850</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2,499,850</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31,266,406</w:t>
            </w:r>
          </w:p>
        </w:tc>
      </w:tr>
      <w:tr>
        <w:trPr>
          <w:trHeight w:val="250"/>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March 2019</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2,150,087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20.49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2,150,087</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29,116,319</w:t>
            </w:r>
          </w:p>
        </w:tc>
      </w:tr>
      <w:tr>
        <w:trPr>
          <w:trHeight w:val="263"/>
        </w:trPr>
        <w:tc>
          <w:tcPr>
            <w:tcW w:w="6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2019</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240,037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23.07</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240,037</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28,876,282</w:t>
            </w:r>
          </w:p>
        </w:tc>
      </w:tr>
      <w:tr>
        <w:trPr>
          <w:trHeight w:val="250"/>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May 2019</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1,858,307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22.20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1,858,307</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27,017,975</w:t>
            </w:r>
          </w:p>
        </w:tc>
      </w:tr>
      <w:tr>
        <w:trPr>
          <w:trHeight w:val="263"/>
        </w:trPr>
        <w:tc>
          <w:tcPr>
            <w:tcW w:w="6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2019</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976,365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23.64</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976,365</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26,041,610</w:t>
            </w:r>
          </w:p>
        </w:tc>
      </w:tr>
      <w:tr>
        <w:trPr>
          <w:trHeight w:val="250"/>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July 2019</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380,220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27.22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380,220</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25,661,390</w:t>
            </w:r>
          </w:p>
        </w:tc>
      </w:tr>
      <w:tr>
        <w:trPr>
          <w:trHeight w:val="263"/>
        </w:trPr>
        <w:tc>
          <w:tcPr>
            <w:tcW w:w="6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2019</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1,828,442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26.69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1,828,442</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23,832,948</w:t>
            </w:r>
          </w:p>
        </w:tc>
      </w:tr>
      <w:tr>
        <w:trPr>
          <w:trHeight w:val="250"/>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September 2019</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1,360,915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27.54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1,360,915</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22,472,033</w:t>
            </w:r>
          </w:p>
        </w:tc>
      </w:tr>
      <w:tr>
        <w:trPr>
          <w:trHeight w:val="263"/>
        </w:trPr>
        <w:tc>
          <w:tcPr>
            <w:tcW w:w="6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2019</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520,345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27.98</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520,345</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21,951,688</w:t>
            </w:r>
          </w:p>
        </w:tc>
      </w:tr>
      <w:tr>
        <w:trPr>
          <w:trHeight w:val="250"/>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November 2019</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900,765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28.75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900,765</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21,050,923</w:t>
            </w:r>
          </w:p>
        </w:tc>
      </w:tr>
      <w:tr>
        <w:trPr>
          <w:trHeight w:val="257"/>
        </w:trPr>
        <w:tc>
          <w:tcPr>
            <w:tcW w:w="6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2019</w:t>
            </w:r>
          </w:p>
        </w:tc>
        <w:tc>
          <w:tcPr>
            <w:tcW w:w="9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985,604</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28.66</w:t>
            </w: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985,604</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20,065,319</w:t>
            </w:r>
          </w:p>
        </w:tc>
      </w:tr>
      <w:tr>
        <w:trPr>
          <w:trHeight w:val="243"/>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13,775,938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w w:val="97"/>
              </w:rPr>
              <w:t>13,775,938</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46"/>
        </w:trPr>
        <w:tc>
          <w:tcPr>
            <w:tcW w:w="6940" w:type="dxa"/>
            <w:vAlign w:val="bottom"/>
            <w:gridSpan w:val="16"/>
          </w:tcPr>
          <w:p>
            <w:pPr>
              <w:ind w:left="60"/>
              <w:spacing w:after="0"/>
              <w:rPr>
                <w:sz w:val="20"/>
                <w:szCs w:val="20"/>
                <w:color w:val="auto"/>
              </w:rPr>
            </w:pPr>
            <w:r>
              <w:rPr>
                <w:rFonts w:ascii="Arial" w:cs="Arial" w:eastAsia="Arial" w:hAnsi="Arial"/>
                <w:sz w:val="18"/>
                <w:szCs w:val="18"/>
                <w:color w:val="auto"/>
              </w:rPr>
              <w:t>* See above paragraph with respect to the publicly announced share repurchase plan</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8"/>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18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Selected Financial Data.</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47"/>
        </w:trPr>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3"/>
          </w:tcPr>
          <w:p>
            <w:pPr>
              <w:jc w:val="right"/>
              <w:ind w:right="80"/>
              <w:spacing w:after="0"/>
              <w:rPr>
                <w:sz w:val="20"/>
                <w:szCs w:val="20"/>
                <w:color w:val="auto"/>
              </w:rPr>
            </w:pPr>
            <w:r>
              <w:rPr>
                <w:rFonts w:ascii="Arial" w:cs="Arial" w:eastAsia="Arial" w:hAnsi="Arial"/>
                <w:sz w:val="18"/>
                <w:szCs w:val="18"/>
                <w:color w:val="auto"/>
              </w:rPr>
              <w:t>(dollars in thousands, except per share data)</w:t>
            </w: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51"/>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57"/>
        </w:trPr>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1,858,897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7"/>
              </w:rPr>
              <w:t>1,834,064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$1,794,873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$1,678,925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$1,543,618</w:t>
            </w:r>
          </w:p>
        </w:tc>
      </w:tr>
      <w:tr>
        <w:trPr>
          <w:trHeight w:val="263"/>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424,684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437,883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406,792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347,591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318,470</w:t>
            </w:r>
          </w:p>
        </w:tc>
      </w:tr>
      <w:tr>
        <w:trPr>
          <w:trHeight w:val="277"/>
        </w:trPr>
        <w:tc>
          <w:tcPr>
            <w:tcW w:w="3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Earnings Per Share (Fully Diluted)</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r>
      <w:tr>
        <w:trPr>
          <w:trHeight w:val="263"/>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Gross Profit Margin</w:t>
            </w: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7"/>
        </w:trPr>
        <w:tc>
          <w:tcPr>
            <w:tcW w:w="3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Cash Dividends per Common Share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0.460</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0.440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0.390</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0.355</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0.335</w:t>
            </w:r>
          </w:p>
        </w:tc>
      </w:tr>
      <w:tr>
        <w:trPr>
          <w:trHeight w:val="263"/>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2,168,803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2,085,434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2,352,054</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2,309,620</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2,148,673</w:t>
            </w:r>
          </w:p>
        </w:tc>
      </w:tr>
      <w:tr>
        <w:trPr>
          <w:trHeight w:val="270"/>
        </w:trPr>
        <w:tc>
          <w:tcPr>
            <w:tcW w:w="3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Debt Outstanding at Year End</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178,125</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225,625</w:t>
            </w:r>
          </w:p>
        </w:tc>
      </w:tr>
      <w:tr>
        <w:trPr>
          <w:trHeight w:val="432"/>
        </w:trPr>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79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787" w:right="239" w:bottom="1440" w:gutter="0" w:footer="0" w:header="0"/>
        </w:sectPr>
      </w:pPr>
    </w:p>
    <w:bookmarkStart w:id="17" w:name="page18"/>
    <w:bookmarkEnd w:id="17"/>
    <w:p>
      <w:pPr>
        <w:spacing w:after="0"/>
        <w:tabs>
          <w:tab w:leader="none" w:pos="1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2860" w:type="dxa"/>
            <w:vAlign w:val="bottom"/>
            <w:tcBorders>
              <w:bottom w:val="single" w:sz="8" w:color="auto"/>
            </w:tcBorders>
            <w:gridSpan w:val="5"/>
          </w:tcPr>
          <w:p>
            <w:pPr>
              <w:jc w:val="center"/>
              <w:ind w:left="774"/>
              <w:spacing w:after="0"/>
              <w:rPr>
                <w:sz w:val="20"/>
                <w:szCs w:val="20"/>
                <w:color w:val="auto"/>
              </w:rPr>
            </w:pPr>
            <w:r>
              <w:rPr>
                <w:rFonts w:ascii="Arial" w:cs="Arial" w:eastAsia="Arial" w:hAnsi="Arial"/>
                <w:sz w:val="14"/>
                <w:szCs w:val="14"/>
                <w:b w:val="1"/>
                <w:bCs w:val="1"/>
                <w:color w:val="auto"/>
              </w:rPr>
              <w:t>Percentage of Net Sales</w:t>
            </w:r>
          </w:p>
        </w:tc>
        <w:tc>
          <w:tcPr>
            <w:tcW w:w="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5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Percentage Change</w:t>
            </w:r>
          </w:p>
        </w:tc>
      </w:tr>
      <w:tr>
        <w:trPr>
          <w:trHeight w:val="258"/>
        </w:trPr>
        <w:tc>
          <w:tcPr>
            <w:tcW w:w="4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4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r>
      <w:tr>
        <w:trPr>
          <w:trHeight w:val="276"/>
        </w:trPr>
        <w:tc>
          <w:tcPr>
            <w:tcW w:w="4500" w:type="dxa"/>
            <w:vAlign w:val="bottom"/>
          </w:tcPr>
          <w:p>
            <w:pPr>
              <w:spacing w:after="0"/>
              <w:rPr>
                <w:sz w:val="24"/>
                <w:szCs w:val="24"/>
                <w:color w:val="auto"/>
              </w:rPr>
            </w:pPr>
          </w:p>
        </w:tc>
        <w:tc>
          <w:tcPr>
            <w:tcW w:w="2860" w:type="dxa"/>
            <w:vAlign w:val="bottom"/>
            <w:tcBorders>
              <w:bottom w:val="single" w:sz="8" w:color="auto"/>
            </w:tcBorders>
            <w:gridSpan w:val="5"/>
          </w:tcPr>
          <w:p>
            <w:pPr>
              <w:jc w:val="center"/>
              <w:ind w:left="774"/>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gridSpan w:val="2"/>
          </w:tcPr>
          <w:p>
            <w:pPr>
              <w:ind w:left="540"/>
              <w:spacing w:after="0"/>
              <w:rPr>
                <w:sz w:val="20"/>
                <w:szCs w:val="20"/>
                <w:color w:val="auto"/>
              </w:rPr>
            </w:pPr>
            <w:r>
              <w:rPr>
                <w:rFonts w:ascii="Arial" w:cs="Arial" w:eastAsia="Arial" w:hAnsi="Arial"/>
                <w:sz w:val="14"/>
                <w:szCs w:val="14"/>
                <w:b w:val="1"/>
                <w:bCs w:val="1"/>
                <w:color w:val="auto"/>
              </w:rPr>
              <w:t>Vs</w:t>
            </w: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Vs</w:t>
            </w:r>
          </w:p>
        </w:tc>
      </w:tr>
      <w:tr>
        <w:trPr>
          <w:trHeight w:val="264"/>
        </w:trPr>
        <w:tc>
          <w:tcPr>
            <w:tcW w:w="45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r>
      <w:tr>
        <w:trPr>
          <w:trHeight w:val="256"/>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6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61.3</w:t>
            </w:r>
          </w:p>
        </w:tc>
        <w:tc>
          <w:tcPr>
            <w:tcW w:w="5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3.9</w:t>
            </w:r>
          </w:p>
        </w:tc>
      </w:tr>
      <w:tr>
        <w:trPr>
          <w:trHeight w:val="257"/>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38.7</w:t>
            </w: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(0.6)</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Engineering, Research and Development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7.4</w:t>
            </w:r>
          </w:p>
        </w:tc>
      </w:tr>
      <w:tr>
        <w:trPr>
          <w:trHeight w:val="263"/>
        </w:trPr>
        <w:tc>
          <w:tcPr>
            <w:tcW w:w="450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22"/>
                <w:szCs w:val="22"/>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2"/>
                <w:szCs w:val="22"/>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5.3</w:t>
            </w:r>
          </w:p>
        </w:tc>
      </w:tr>
      <w:tr>
        <w:trPr>
          <w:trHeight w:val="277"/>
        </w:trPr>
        <w:tc>
          <w:tcPr>
            <w:tcW w:w="4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9.5</w:t>
            </w:r>
          </w:p>
        </w:tc>
        <w:tc>
          <w:tcPr>
            <w:tcW w:w="5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6.5</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29.2</w:t>
            </w:r>
          </w:p>
        </w:tc>
        <w:tc>
          <w:tcPr>
            <w:tcW w:w="52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(2.9)</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Income/(Expense)</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5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65.0</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Income Before Provision for Income Taxes</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29.6</w:t>
            </w:r>
          </w:p>
        </w:tc>
        <w:tc>
          <w:tcPr>
            <w:tcW w:w="52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(1.8)</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7.0</w:t>
            </w:r>
          </w:p>
        </w:tc>
        <w:tc>
          <w:tcPr>
            <w:tcW w:w="5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(32.7)</w:t>
            </w:r>
          </w:p>
        </w:tc>
      </w:tr>
      <w:tr>
        <w:trPr>
          <w:trHeight w:val="244"/>
        </w:trPr>
        <w:tc>
          <w:tcPr>
            <w:tcW w:w="45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5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r>
      <w:tr>
        <w:trPr>
          <w:trHeight w:val="20"/>
        </w:trPr>
        <w:tc>
          <w:tcPr>
            <w:tcW w:w="4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2019 to 2018</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Company net sales increased by $24.8 million, or 1% compared to the prior year. Net sales for 2019 were negatively</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lower than forecasted global vehicle production rates for calendar year 2019, which were down 6% on a a year over year basis; and by approximately 1% from the strike at General Motors which occurred in the fourth quarter of 2019. Despite these negative impacts, automotive net sales increased as a result of a 3% increase in automatic-dimming mirror shipments, from 41.6 million units in 2018 to 42.9 million units in 2019, due more so to growth within the Company's domestic market than its international markets. North American automotive mirror shipments increased 8% in 2019 when compared with the prior year, primarily due to increased penetration of exterior automatic-dimming mirrors.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net sales increased 13% to $48.4 million compared to the prior year, as dimmable aircraft window sales increased 19% year over year and fire protection saw an increase in net sales of 7% year over year.</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from 62.4% in 2018 to 63.0% in 2019, primarily due to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price reductions that were not fully offset with purchasing cost reductions, as well as an increase in costs related to tariffs. Annual price reductions and tariffs independently impacted cost of goods sold as a percentage of net sales by approximately 75 - 200 basis points. These negative impacts were partially offset by the impact of purchasing cost reductions and product mix impacts that independently impacted cost of goods sold as a percentage of net sales by approximately 75 - 150 basis points.</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increased by $7.6 million or 7% from 2018 to 2019, but remained at</w:t>
      </w:r>
      <w:r>
        <w:rPr>
          <w:rFonts w:ascii="Arial" w:cs="Arial" w:eastAsia="Arial" w:hAnsi="Arial"/>
          <w:sz w:val="18"/>
          <w:szCs w:val="18"/>
          <w:i w:val="1"/>
          <w:iCs w:val="1"/>
          <w:color w:val="auto"/>
        </w:rPr>
        <w:t xml:space="preserve"> </w:t>
      </w:r>
      <w:r>
        <w:rPr>
          <w:rFonts w:ascii="Arial" w:cs="Arial" w:eastAsia="Arial" w:hAnsi="Arial"/>
          <w:sz w:val="18"/>
          <w:szCs w:val="18"/>
          <w:color w:val="auto"/>
        </w:rPr>
        <w:t>6% of net sales. E, R &amp; D increased, primarily due to increased staffing levels which continue to support growth and launch of new business, as well as development of new products.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expenses increased by $9.9 million or 13% from 2018 to 2019, representing 5% of net sales in 2019 versus 4% of net sales in 2018. The primary reason for the increase from 2018 to 2019 was due to increased staffing levels, travel expenses, and professional fees.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65" w:right="239" w:bottom="1440" w:gutter="0" w:footer="0" w:header="0"/>
        </w:sectPr>
      </w:pPr>
    </w:p>
    <w:bookmarkStart w:id="18" w:name="page19"/>
    <w:bookmarkEnd w:id="18"/>
    <w:p>
      <w:pPr>
        <w:jc w:val="both"/>
        <w:ind w:right="20"/>
        <w:spacing w:after="0" w:line="282" w:lineRule="auto"/>
        <w:rPr>
          <w:sz w:val="20"/>
          <w:szCs w:val="20"/>
          <w:color w:val="auto"/>
        </w:rPr>
      </w:pPr>
      <w:r>
        <w:rPr>
          <w:rFonts w:ascii="Arial" w:cs="Arial" w:eastAsia="Arial" w:hAnsi="Arial"/>
          <w:sz w:val="18"/>
          <w:szCs w:val="18"/>
          <w:i w:val="1"/>
          <w:iCs w:val="1"/>
          <w:u w:val="single" w:color="auto"/>
          <w:color w:val="auto"/>
        </w:rPr>
        <w:t>Total Other Income/(Expense).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remained at $11.2 million for 2019 compared to 2018. Other income – net decreased $2.0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2019 versus 2018, primarily due to a decrease in gains on sales of debt investments on a year over year basis.</w:t>
      </w:r>
    </w:p>
    <w:p>
      <w:pPr>
        <w:spacing w:after="0" w:line="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15.1% for year ended December 31, 2019 compared to 16.1% the prior year. The effective tax rates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differed from the statutory federal income tax rate, primarily due to the Foreign Derived Intangible Income Deduction. In 2019, the effective tax rate differed from the statutory federal income tax rate also primarily due to the Foreign Derived Intangible Income Deduction. The decrease in the effective tax rate year over year primarily relates to increase in the benefits derived from the Foreign Derived Intangible Income Deduction, Research &amp; Development Credit and Stock Compensation Expense.</w:t>
      </w:r>
    </w:p>
    <w:p>
      <w:pPr>
        <w:spacing w:after="0" w:line="1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decreased by $13.2 million, or 3% year over year, primarily due to the decrease in gross margin and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primarily related to increased staffing levels.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2018 to 2017</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2018, Company net sales increased by $39.2 million, or 2% compared to the prior year. Automotive net sales increased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6% increase in automatic-dimming mirror shipments, from 39.3 million units in 2017 to 41.6 million units in 2018, primarily reflecting increased overall penetration of automatic-dimming mirrors, primarily within the Company's international markets. International automotive mirror unit shipments increased 7% in 2018 when compared with the prior year, primarily due to increased penetration of both interior and exterior automatic dimming mirrors to certain European and Japanese automakers.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net sales increase 17% to $ 42.9 million compared to the prior year, as dimmable aircraft window sales increased 16% year over year, and fire protection saw an increase in net sales of 8% year over year.</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from 61.3% in 2017 to 62.4% in 2018, primarily due to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price reductions that were not fully offset with purchasing cost reductions, as well as the Company's inability to leverage fixed overhead costs due to lower than expected sales levels. Annual price reductions and fixed overhead costs independently impacted cost of goods sold as a percentage of net sales by approximately 75 - 150 basis points. These negative impacts were partially offset by the impact of purchasing cost reductions of 50 - 75 basis points.</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increased by $7.4 million or 7% from 2017 to 2018, but remained at</w:t>
      </w:r>
      <w:r>
        <w:rPr>
          <w:rFonts w:ascii="Arial" w:cs="Arial" w:eastAsia="Arial" w:hAnsi="Arial"/>
          <w:sz w:val="18"/>
          <w:szCs w:val="18"/>
          <w:i w:val="1"/>
          <w:iCs w:val="1"/>
          <w:color w:val="auto"/>
        </w:rPr>
        <w:t xml:space="preserve"> </w:t>
      </w:r>
      <w:r>
        <w:rPr>
          <w:rFonts w:ascii="Arial" w:cs="Arial" w:eastAsia="Arial" w:hAnsi="Arial"/>
          <w:sz w:val="18"/>
          <w:szCs w:val="18"/>
          <w:color w:val="auto"/>
        </w:rPr>
        <w:t>6% of net sales. E, R &amp; D increased, primarily due to increased staffing levels which continue to support growth and launch of new business as well as development of new products.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expenses increased by $3.8 million or 5% from 2017 to 2018, but remained at 4% of net sales. The primary reason for the increase from 2017 to 2018 was due to increased staffing levels and travel expenses.</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Total Other Income/(Expense).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increased $1.8 million in 2018 versus 2017, primarily due to higher interest rates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Company's investable funds. Other income – net increased $3.7 million in 2018 versus 2017, primarily due to decreased interest expense associated with the Company's debt financing, as discussed further in </w:t>
      </w:r>
      <w:r>
        <w:rPr>
          <w:rFonts w:ascii="Arial" w:cs="Arial" w:eastAsia="Arial" w:hAnsi="Arial"/>
          <w:sz w:val="18"/>
          <w:szCs w:val="18"/>
          <w:u w:val="single" w:color="auto"/>
          <w:color w:val="0000EE"/>
        </w:rPr>
        <w:t>Note 2</w:t>
      </w:r>
      <w:r>
        <w:rPr>
          <w:rFonts w:ascii="Arial" w:cs="Arial" w:eastAsia="Arial" w:hAnsi="Arial"/>
          <w:sz w:val="18"/>
          <w:szCs w:val="18"/>
          <w:color w:val="auto"/>
        </w:rPr>
        <w:t xml:space="preserve"> of the Consolidated Financial Statements.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16.1% for year ended December 31, 2018 compared to 23.5% the prior year. The effective tax rate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differed from the statutory federal income tax rate, primarily due to the domestic manufacturing deduction as well as the re-measurement of net deferred tax liabilities as a result of the Tax Cuts and Jobs Act of 2017 ("Act"). In 2018, the effective tax rate differed from the new statutory federal income tax rate primarily due to the Foreign Derived Intangible Income Deduction. The decrease in the effective tax rate in 2018 from the prior year was due to the change in statutory tax rate as passed in the Act to 21% from 35%.</w:t>
      </w:r>
    </w:p>
    <w:p>
      <w:pPr>
        <w:spacing w:after="0" w:line="10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increased by $31.1 million, or 8% year over year, primarily due to the lower effective tax rate on a year over year</w:t>
      </w:r>
      <w:r>
        <w:rPr>
          <w:rFonts w:ascii="Arial" w:cs="Arial" w:eastAsia="Arial" w:hAnsi="Arial"/>
          <w:sz w:val="18"/>
          <w:szCs w:val="18"/>
          <w:i w:val="1"/>
          <w:iCs w:val="1"/>
          <w:color w:val="auto"/>
        </w:rPr>
        <w:t xml:space="preserve"> </w:t>
      </w:r>
      <w:r>
        <w:rPr>
          <w:rFonts w:ascii="Arial" w:cs="Arial" w:eastAsia="Arial" w:hAnsi="Arial"/>
          <w:sz w:val="18"/>
          <w:szCs w:val="18"/>
          <w:color w:val="auto"/>
        </w:rPr>
        <w:t>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8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6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Company’s financial condition throughout the periods presented has remained very strong, in spite of a 6% decline in global light vehicle production from 2018 to 2019.</w:t>
      </w:r>
    </w:p>
    <w:p>
      <w:pPr>
        <w:spacing w:after="0" w:line="11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Company's cash and cash equivalents were $296.3 million, $217.0 million and $569.7 million as of December 31, 2019, 2018 and 2017, respectively. The Company's cash and cash equivalents include amounts held by foreign subsidiaries of $8.5 million, $8.3 million and $12.6 million as of December 31, 2019, 2018 and 2017, respectively.</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current ratio increased from 5.0 as of December 31, 2018 to 5.5 as of December 31, 2019, reflecting the increase in working capital. The Company's current ratio increased from 4.9 as of December 31, 2017, to 5.0 as of December 31, 2018, reflecting the repayment of $78 million of the Company's long term debt, that was offset by share repurchases discussed herein.</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 from operating activities was $506.0 million, $552.4 million and $501.0 million for the years ended December 31, 2019, 2018 and 2017, respectively. Cash flow from operating activities decreased $46.5 million for the year ended December 31, 2019 compared to the prior year, primarily due to decreased net income and changes in working capital. Cash flow from operating activities increased $51.4 million for the year ended December 31, 2018 compared to the same period in 2017, primarily due to increased net income which was partially offset by changes in working capital.</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 used for investing activities for the year ended December 31, 2019 decreased by $129.1 million to $56.7 million, compared with $185.8 million, for the year ended December 31, 2018, primarily due to decreased investment purchases, which was partially offset by a decrease in fixed income investment maturities during the year. Cash flow used for investing activities for the year ended December 31, 2018 increased by $108.1 million to $185.8 million, compared to the year ended December 31, 2017, primarily due to increased investment purchases during the year.</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expenditures were $84.6 million, $86.0 million, and $104.0 million for the years ended December 31, 2019, 2018, and 2017, respectively. Capital expenditures for the year ended 2019 remained consistent with the year ended 2018, however, capital expenditures decreased by $18.0 million for the year ended December 31, 2018 compared to the prior year primarily due to decreases in production equipment purchases and building related costs.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 used for financing activities for the year ended December 31, 2019, decreased $349.3 million to $370.0 million, compared to the year ended December 31, 2018, primarily due to a reduction in the amount of shares of common stock repurchased which totaled $331.5 million during the calendar year 2019 as compared to $719.3 million during the calendar year 2018. Cash flow used for financing activities for the year ended December 31, 2018, increased $319.3 million to $719.3 million compared to the year ended December 31, 2017, primarily due to repurchases of common stock of $591.6 million during the calendar year 2018 compared to $231.4 million during the calendar year 2017.</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Short-term investments as of December 31, 2019 were $140.4 million, down from $169.4 million as of December 31, 2018 and long-term investments were $139.9 million as of December 31, 2019, up from $138.0 million as of December 31, 2018, due to changes in the Company's overall investment portfolio.</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receivable as of December 31, 2019 increased $21.9 million compared to December 31, 2018, primarily due to the timing of sales within each of the comparable periods.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Inventories as of December 31, 2019, increased $23.7 million compared to December 31, 2018, primarily due to increased raw material inventory levels to support first quarter 2020 production and sales forecasts, as well as higher levels of component inventory with longer lead-times.</w:t>
      </w:r>
    </w:p>
    <w:p>
      <w:pPr>
        <w:spacing w:after="0" w:line="121" w:lineRule="exact"/>
        <w:rPr>
          <w:sz w:val="20"/>
          <w:szCs w:val="20"/>
          <w:color w:val="auto"/>
        </w:rPr>
      </w:pPr>
    </w:p>
    <w:p>
      <w:pPr>
        <w:jc w:val="both"/>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Intangible Assets, net as of December 31, 2019 decreased $19.3 million compared to December 31, 2018, due to the amortization of definite lived intangible assets and patents, discussed further in in </w:t>
      </w:r>
      <w:hyperlink w:anchor="page61">
        <w:r>
          <w:rPr>
            <w:rFonts w:ascii="Arial" w:cs="Arial" w:eastAsia="Arial" w:hAnsi="Arial"/>
            <w:sz w:val="18"/>
            <w:szCs w:val="18"/>
            <w:u w:val="single" w:color="auto"/>
            <w:color w:val="0000EE"/>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Accounts payable as of December 31, 2019, increased $4.7 million compared to December 31, 2018, primarily due the timing of inventory and capital expenditure payments.</w:t>
      </w:r>
    </w:p>
    <w:p>
      <w:pPr>
        <w:spacing w:after="0" w:line="115" w:lineRule="exact"/>
        <w:rPr>
          <w:sz w:val="20"/>
          <w:szCs w:val="20"/>
          <w:color w:val="auto"/>
        </w:rPr>
      </w:pPr>
    </w:p>
    <w:p>
      <w:pPr>
        <w:jc w:val="both"/>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Management considers the Company’s current working capital and long-term investments, as well as its existing credit financing arrangement (notwithstanding covenants prohibiting additional indebtedness), discussed further in </w:t>
      </w:r>
      <w:hyperlink w:anchor="page52">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86" w:right="239" w:bottom="1440" w:gutter="0" w:footer="0" w:header="0"/>
        </w:sectPr>
      </w:pPr>
    </w:p>
    <w:bookmarkStart w:id="20" w:name="page21"/>
    <w:bookmarkEnd w:id="20"/>
    <w:p>
      <w:pPr>
        <w:jc w:val="both"/>
        <w:spacing w:after="0" w:line="256" w:lineRule="auto"/>
        <w:rPr>
          <w:sz w:val="20"/>
          <w:szCs w:val="20"/>
          <w:color w:val="auto"/>
        </w:rPr>
      </w:pPr>
      <w:r>
        <w:rPr>
          <w:rFonts w:ascii="Arial" w:cs="Arial" w:eastAsia="Arial" w:hAnsi="Arial"/>
          <w:sz w:val="18"/>
          <w:szCs w:val="18"/>
          <w:color w:val="auto"/>
        </w:rPr>
        <w:t>f the Consolidated Financial Statements, in addition to internally generated cash flow, to be sufficient to cover anticipated cash needs for the foreseeable future considering its contractual obligations and commitments. The following is a summary of working capital and long-term investments: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2017</w:t>
            </w: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778,530,092</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681,769,335</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940,916,816</w:t>
            </w:r>
          </w:p>
        </w:tc>
      </w:tr>
      <w:tr>
        <w:trPr>
          <w:trHeight w:val="250"/>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 Term Investments</w:t>
            </w:r>
          </w:p>
        </w:tc>
        <w:tc>
          <w:tcPr>
            <w:tcW w:w="5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139,909,323</w:t>
            </w:r>
          </w:p>
        </w:tc>
        <w:tc>
          <w:tcPr>
            <w:tcW w:w="5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137,979,082</w:t>
            </w:r>
          </w:p>
        </w:tc>
        <w:tc>
          <w:tcPr>
            <w:tcW w:w="5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57,782,418</w:t>
            </w: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918,439,415</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819,748,417</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998,699,234</w:t>
            </w:r>
          </w:p>
        </w:tc>
      </w:tr>
    </w:tbl>
    <w:p>
      <w:pPr>
        <w:spacing w:after="0" w:line="21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increase in working capital as of December 31, 2019 is primarily due to cash flow from operations, which was partially offset by share repurchases, dividend payments and capital expenditures. The decrease in working capital as of December 31, 2018 compared to December 31, 2017 is primarily due to increased share repurchases, dividend payments and capital expenditures, which in combination were more than provided by cash flow from operations.</w:t>
      </w:r>
    </w:p>
    <w:p>
      <w:pPr>
        <w:spacing w:after="0" w:line="20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w:t>
      </w:r>
      <w:hyperlink w:anchor="page16">
        <w:r>
          <w:rPr>
            <w:rFonts w:ascii="Arial" w:cs="Arial" w:eastAsia="Arial" w:hAnsi="Arial"/>
            <w:sz w:val="18"/>
            <w:szCs w:val="18"/>
            <w:u w:val="single" w:color="auto"/>
            <w:color w:val="0000EE"/>
          </w:rPr>
          <w:t>Part II, Item 5</w:t>
        </w:r>
      </w:hyperlink>
      <w:r>
        <w:rPr>
          <w:rFonts w:ascii="Arial" w:cs="Arial" w:eastAsia="Arial" w:hAnsi="Arial"/>
          <w:sz w:val="18"/>
          <w:szCs w:val="18"/>
          <w:color w:val="auto"/>
        </w:rPr>
        <w:t>, with regard to the Company's previously announced share repurchase plan.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utilizes the light vehicle production forecasting services of IHS Markit. IHS Markit current forecasts for light vehicle production for calendar year 2020 are approximately 16.5 million units for North America, 20.7 million units for Europe, 12.9 million units for Japan and Korea, and 24.4 million units for China.</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currently estimates that top line revenue for calendar year 2020 will be between $1.91 and $2.0 billion. All estimates are based on light vehicle production forecasts in the primary regions to which the Company ships product, as well as the estimated option rates for its mirrors on prospective vehicle models and anticipated product mix. The Company continues to see order rates and booked business that allow for these estimates an expected vehicle production decrease in 2020 and only a modest increase in 2021 compared to 2020. Continuing uncertainties, including: light vehicle production levels; supplier part or material shortages; automotive plant shutdowns; sales rates in Europe, Asia and North America; challenging macroeconomic and geopolitical environments, including tariffs; OEM strategies and cost pressures; customer inventory management and the impact of potential automotive customer (including their Tier 1 suppliers) and supplier bankruptcies; work stoppages, coronavirus, strikes, etc., which could disrupt shipments to these customers, make forecasting difficult.</w:t>
      </w:r>
    </w:p>
    <w:p>
      <w:pPr>
        <w:spacing w:after="0" w:line="1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is estimating that the gross profit margin will be between 36% and 37% for calendar year 2020. Historically, annual customer price reductions have placed significant pressure on gross margin on an annual basis. Given the current revenue forecast and projected product mix for 2020, the Company hopes it may be able to offset certain annual customer price reductions with purchasing cost reductions and operational efficiencies, but there is no certainty of being able to do so.</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currently estimates that its operating expenses, which include engineering, research and development expenses and selling, general and administrative expenses, are expected to be between $205 and $215 million for calendar year 2020, due in part to increased staffing levels which continue to support growth and launch of new business as well as development of new products. The Company continues to invest heavily in technology directed at funding the development of its current product portfolio and create iterations of those products that help keep its products new and attractive to our customers. In addition, the Company has been investing heavily in the next wave of innovation, many of which were shown for the first time in 2020, and included new products for automotive, aerospace and developments in intelligent medical lighting.</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 technology leader in the automotive industry, with a focus on developing uniquely designed solutions that are highly proprietary. The Company continues to make investments intended to maintain a competitive advantage in its current market as well as to use its core competencies to develop products that are applicable in other markets.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on-going demand for our automatic-dimming mirrors and electronics, the Company currently anticipates that 2020 capital expenditures will be between $85 and $95 million, a majority of which will be production equipment purchases. Capital expenditures for calendar year 2020 are currently anticipated to be financed from current cash and cash equivalents on hand and cash flows from operating activities.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0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Company also estimates that depreciation and amortization expense for calendar year 2020 will be between $105 and $110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further estimating that its tax rate will be between 15.0% and 17.0% for calendar year 2020.</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its previously announced share repurchase plan and capital allocation strategy, the Company intends to continue to repurchase additional shares of its common stock in 2020 and into the future depending on a number of factors, including: market, economic, and industry conditions; the market price of the Company's common stock; anti-dilutive effect on earnings; available cash; and other factors that the Company deems appropriate.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also providing top line revenue guidance for calendar year 2021. IHS Markit current forecasts for light vehicle production for calendar year 2021 are approximately 16.5 million units for North America, 21.2 million units for Europe,12.6 million units for Japan and Korea, and 25.3 million units for China. Based on these forecasts, the Company is estimating that revenue for calendar year 2021 will increase approximately 3% to 8% over current estimates provided for 2020 revenue. As noted above, continuing uncertainties make forecasting difficult.</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Risk Disclosure</w:t>
      </w:r>
    </w:p>
    <w:p>
      <w:pPr>
        <w:spacing w:after="0" w:line="16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and securities prices could negatively impact the Company's financial performance due to realized losses on the sale of fixed income investments. The Company does not currently believe such risks are material.</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some assets, liabilities and operations outside the United States, including multi-currency accounts, which currently are not significant overall to the Company as a whole. Because the Company sells its automotive mirrors throughout the world and automobile manufacturing is highly dependent on general economic conditions, it could be significantly affected by weak economic conditions in foreign markets that could reduce demand for its products.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the Company’s non-U.S. sales are invoiced and paid in U.S. dollars; during calendar year 2019, approximately 7% of the Company’s net sales were invoiced and paid in foreign currencies (compared to 8% for calendar year 2018 and 8% for calendar year 2017). The Company currently expects that approximately 7% of the Company’s net sales in calendar year 2020 will be invoiced and paid in foreign currencies. The Company does not currently engage in hedging activities of foreign currencies.</w:t>
      </w:r>
    </w:p>
    <w:p>
      <w:pPr>
        <w:spacing w:after="0" w:line="123"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Company does not have any significant off-balance sheet arrangements or commitments that have not been recorded in its Consolidated Financial Statements. See the </w:t>
      </w:r>
      <w:hyperlink w:anchor="page23">
        <w:r>
          <w:rPr>
            <w:rFonts w:ascii="Arial" w:cs="Arial" w:eastAsia="Arial" w:hAnsi="Arial"/>
            <w:sz w:val="18"/>
            <w:szCs w:val="18"/>
            <w:u w:val="single" w:color="auto"/>
            <w:color w:val="0000EE"/>
          </w:rPr>
          <w:t>Contractual Obligations and Other Commitments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below.</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0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Contractual Obligations and Other Commitments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contractual obligations and other commitments (in millions) as of December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Less than 1 Year</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1-3 Years</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More than 5 Years</w:t>
            </w:r>
          </w:p>
        </w:tc>
      </w:tr>
      <w:tr>
        <w:trPr>
          <w:trHeight w:val="27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3"/>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22"/>
                <w:szCs w:val="22"/>
                <w:color w:val="auto"/>
              </w:rPr>
            </w:pP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0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22"/>
                <w:szCs w:val="22"/>
                <w:color w:val="auto"/>
              </w:rPr>
            </w:pP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2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are primarily for raw material inventory and capital equipment.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Accounting Policies and Critical Accounting Estimates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Company's consolidated financial statements, which have been prepared in accordance with accounting principles generally accepted in the United States, requires management to make estimates, assumptions and apply judgments that affect its financial position and results of operations. On an ongoing basis, management evaluates these estimates and assumptions. Management also continually reviews its accounting policies and financial information disclosures.</w:t>
      </w:r>
    </w:p>
    <w:p>
      <w:pPr>
        <w:spacing w:after="0" w:line="12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 Company’s significant accounting policies are described in </w:t>
      </w:r>
      <w:hyperlink w:anchor="page43">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inherently subject to a degree of uncertainty. As a result, actual results in these areas may differ significantly from our estimates, as is the case in any application of generally accepted accounting principles.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an accounting estimate to be critical if:</w:t>
      </w:r>
    </w:p>
    <w:p>
      <w:pPr>
        <w:spacing w:after="0" w:line="9" w:lineRule="exact"/>
        <w:rPr>
          <w:sz w:val="20"/>
          <w:szCs w:val="20"/>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requires management to make assumptions about matters that were uncertain at the time of the estimate, and</w:t>
      </w:r>
    </w:p>
    <w:p>
      <w:pPr>
        <w:spacing w:after="0" w:line="9" w:lineRule="exact"/>
        <w:rPr>
          <w:rFonts w:ascii="Arial" w:cs="Arial" w:eastAsia="Arial" w:hAnsi="Arial"/>
          <w:sz w:val="18"/>
          <w:szCs w:val="18"/>
          <w:color w:val="auto"/>
        </w:rPr>
      </w:pPr>
    </w:p>
    <w:p>
      <w:pPr>
        <w:ind w:left="660" w:right="20" w:hanging="4"/>
        <w:spacing w:after="0" w:line="262" w:lineRule="auto"/>
        <w:tabs>
          <w:tab w:leader="none" w:pos="7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could have been selected would have had a material impact on our financial condition or results of operations.</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Revenue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recognizes revenue in accordance with Accounting Standards Codification (ASC) 606,</w:t>
      </w:r>
      <w:r>
        <w:rPr>
          <w:rFonts w:ascii="Arial" w:cs="Arial" w:eastAsia="Arial" w:hAnsi="Arial"/>
          <w:sz w:val="18"/>
          <w:szCs w:val="18"/>
          <w:i w:val="1"/>
          <w:iCs w:val="1"/>
          <w:color w:val="auto"/>
        </w:rPr>
        <w:t xml:space="preserve"> Revenue from Contracts with Customers</w:t>
      </w:r>
      <w:r>
        <w:rPr>
          <w:rFonts w:ascii="Arial" w:cs="Arial" w:eastAsia="Arial" w:hAnsi="Arial"/>
          <w:sz w:val="18"/>
          <w:szCs w:val="18"/>
          <w:color w:val="auto"/>
        </w:rPr>
        <w:t>. Accordingly, revenue is recognized in an amount that reflects the consideration to which the Company expects to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Typically, such purchase order provide the annual terms, including pricing, related to a particular vehicle model. Purchase orders generally do not specify quantities. The Company recognizes revenue based on the pricing terms included in our annual purchase orders.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certain agreements, entered into in the ordinary course of business, the Company is asked to provide customers with annual price reductions. Such amounts are estimated and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content, the cost of our products and other commercial factors. Such pricing accruals are adjusted as they are settled with our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u w:val="single" w:color="auto"/>
          <w:color w:val="0000FF"/>
        </w:rPr>
        <w:t>Item 13 of Part III</w:t>
      </w:r>
      <w:r>
        <w:rPr>
          <w:rFonts w:ascii="Arial" w:cs="Arial" w:eastAsia="Arial" w:hAnsi="Arial"/>
          <w:sz w:val="18"/>
          <w:szCs w:val="18"/>
          <w:color w:val="auto"/>
        </w:rPr>
        <w:t xml:space="preserve"> with respect to "Certain Transactions", which is incorporated herein.</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6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See "</w:t>
      </w:r>
      <w:hyperlink w:anchor="page22">
        <w:r>
          <w:rPr>
            <w:rFonts w:ascii="Arial" w:cs="Arial" w:eastAsia="Arial" w:hAnsi="Arial"/>
            <w:sz w:val="18"/>
            <w:szCs w:val="18"/>
            <w:u w:val="single" w:color="auto"/>
            <w:color w:val="0000EE"/>
          </w:rPr>
          <w:t>Market Risk Disclosure</w:t>
        </w:r>
      </w:hyperlink>
      <w:r>
        <w:rPr>
          <w:rFonts w:ascii="Arial" w:cs="Arial" w:eastAsia="Arial" w:hAnsi="Arial"/>
          <w:sz w:val="18"/>
          <w:szCs w:val="18"/>
          <w:color w:val="auto"/>
        </w:rPr>
        <w:t>" in Management’s Discussion and Analysis of Financial Condition and Results of Operations (Item 7).</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49" w:right="23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financial statements and reports of independent registered public accounting firm are filed with this report following the signature page: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60" w:type="dxa"/>
            <w:vAlign w:val="bottom"/>
            <w:gridSpan w:val="5"/>
          </w:tcPr>
          <w:p>
            <w:pPr>
              <w:ind w:left="60"/>
              <w:spacing w:after="0"/>
              <w:rPr>
                <w:sz w:val="20"/>
                <w:szCs w:val="20"/>
                <w:color w:val="auto"/>
              </w:rPr>
            </w:pPr>
            <w:r>
              <w:rPr>
                <w:rFonts w:ascii="Arial" w:cs="Arial" w:eastAsia="Arial" w:hAnsi="Arial"/>
                <w:sz w:val="16"/>
                <w:szCs w:val="16"/>
                <w:b w:val="1"/>
                <w:bCs w:val="1"/>
                <w:color w:val="auto"/>
              </w:rPr>
              <w:t>Document</w:t>
            </w:r>
          </w:p>
        </w:tc>
        <w:tc>
          <w:tcPr>
            <w:tcW w:w="3100" w:type="dxa"/>
            <w:vAlign w:val="bottom"/>
            <w:gridSpan w:val="3"/>
          </w:tcPr>
          <w:p>
            <w:pPr>
              <w:jc w:val="center"/>
              <w:ind w:left="2639"/>
              <w:spacing w:after="0"/>
              <w:rPr>
                <w:sz w:val="20"/>
                <w:szCs w:val="20"/>
                <w:color w:val="auto"/>
              </w:rPr>
            </w:pPr>
            <w:r>
              <w:rPr>
                <w:rFonts w:ascii="Arial" w:cs="Arial" w:eastAsia="Arial" w:hAnsi="Arial"/>
                <w:sz w:val="16"/>
                <w:szCs w:val="16"/>
                <w:b w:val="1"/>
                <w:bCs w:val="1"/>
                <w:color w:val="auto"/>
                <w:w w:val="99"/>
              </w:rPr>
              <w:t>Page</w:t>
            </w:r>
          </w:p>
        </w:tc>
      </w:tr>
      <w:tr>
        <w:trPr>
          <w:trHeight w:val="344"/>
        </w:trPr>
        <w:tc>
          <w:tcPr>
            <w:tcW w:w="4140" w:type="dxa"/>
            <w:vAlign w:val="bottom"/>
            <w:gridSpan w:val="2"/>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Report of Independent Registered Public Accounting Firm</w:t>
              </w:r>
            </w:hyperlink>
          </w:p>
        </w:tc>
        <w:tc>
          <w:tcPr>
            <w:tcW w:w="3820" w:type="dxa"/>
            <w:vAlign w:val="bottom"/>
            <w:gridSpan w:val="6"/>
          </w:tcPr>
          <w:p>
            <w:pPr>
              <w:spacing w:after="0"/>
              <w:rPr>
                <w:sz w:val="24"/>
                <w:szCs w:val="24"/>
                <w:color w:val="auto"/>
              </w:rPr>
            </w:pPr>
          </w:p>
        </w:tc>
        <w:tc>
          <w:tcPr>
            <w:tcW w:w="3000" w:type="dxa"/>
            <w:vAlign w:val="bottom"/>
            <w:gridSpan w:val="2"/>
          </w:tcPr>
          <w:p>
            <w:pPr>
              <w:jc w:val="center"/>
              <w:ind w:left="2739"/>
              <w:spacing w:after="0"/>
              <w:rPr>
                <w:rFonts w:ascii="Arial" w:cs="Arial" w:eastAsia="Arial" w:hAnsi="Arial"/>
                <w:sz w:val="16"/>
                <w:szCs w:val="16"/>
                <w:color w:val="0000EE"/>
              </w:rPr>
            </w:pPr>
            <w:hyperlink w:anchor="page35">
              <w:r>
                <w:rPr>
                  <w:rFonts w:ascii="Arial" w:cs="Arial" w:eastAsia="Arial" w:hAnsi="Arial"/>
                  <w:sz w:val="16"/>
                  <w:szCs w:val="16"/>
                  <w:color w:val="0000EE"/>
                </w:rPr>
                <w:t>35</w:t>
              </w:r>
            </w:hyperlink>
          </w:p>
        </w:tc>
        <w:tc>
          <w:tcPr>
            <w:tcW w:w="10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20" w:type="dxa"/>
            <w:vAlign w:val="bottom"/>
            <w:gridSpan w:val="6"/>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Report of Independent Registered Public Accounting Firm on Internal Control over Financial Reporting</w:t>
              </w:r>
            </w:hyperlink>
          </w:p>
        </w:tc>
        <w:tc>
          <w:tcPr>
            <w:tcW w:w="640" w:type="dxa"/>
            <w:vAlign w:val="bottom"/>
            <w:gridSpan w:val="2"/>
          </w:tcPr>
          <w:p>
            <w:pPr>
              <w:spacing w:after="0"/>
              <w:rPr>
                <w:sz w:val="19"/>
                <w:szCs w:val="19"/>
                <w:color w:val="auto"/>
              </w:rPr>
            </w:pPr>
          </w:p>
        </w:tc>
        <w:tc>
          <w:tcPr>
            <w:tcW w:w="3000" w:type="dxa"/>
            <w:vAlign w:val="bottom"/>
            <w:gridSpan w:val="2"/>
          </w:tcPr>
          <w:p>
            <w:pPr>
              <w:jc w:val="center"/>
              <w:ind w:left="2739"/>
              <w:spacing w:after="0"/>
              <w:rPr>
                <w:rFonts w:ascii="Arial" w:cs="Arial" w:eastAsia="Arial" w:hAnsi="Arial"/>
                <w:sz w:val="16"/>
                <w:szCs w:val="16"/>
                <w:color w:val="0000EE"/>
              </w:rPr>
            </w:pPr>
            <w:hyperlink w:anchor="page37">
              <w:r>
                <w:rPr>
                  <w:rFonts w:ascii="Arial" w:cs="Arial" w:eastAsia="Arial" w:hAnsi="Arial"/>
                  <w:sz w:val="16"/>
                  <w:szCs w:val="16"/>
                  <w:color w:val="0000EE"/>
                </w:rPr>
                <w:t>37</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20" w:type="dxa"/>
            <w:vAlign w:val="bottom"/>
            <w:gridSpan w:val="6"/>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Consolidated Balance Sheets as of December 31, 2019 and 2018</w:t>
              </w:r>
            </w:hyperlink>
          </w:p>
        </w:tc>
        <w:tc>
          <w:tcPr>
            <w:tcW w:w="640" w:type="dxa"/>
            <w:vAlign w:val="bottom"/>
            <w:gridSpan w:val="2"/>
          </w:tcPr>
          <w:p>
            <w:pPr>
              <w:spacing w:after="0"/>
              <w:rPr>
                <w:sz w:val="19"/>
                <w:szCs w:val="19"/>
                <w:color w:val="auto"/>
              </w:rPr>
            </w:pPr>
          </w:p>
        </w:tc>
        <w:tc>
          <w:tcPr>
            <w:tcW w:w="3000" w:type="dxa"/>
            <w:vAlign w:val="bottom"/>
            <w:gridSpan w:val="2"/>
          </w:tcPr>
          <w:p>
            <w:pPr>
              <w:jc w:val="center"/>
              <w:ind w:left="2739"/>
              <w:spacing w:after="0"/>
              <w:rPr>
                <w:rFonts w:ascii="Arial" w:cs="Arial" w:eastAsia="Arial" w:hAnsi="Arial"/>
                <w:sz w:val="16"/>
                <w:szCs w:val="16"/>
                <w:color w:val="0000EE"/>
              </w:rPr>
            </w:pPr>
            <w:hyperlink w:anchor="page38">
              <w:r>
                <w:rPr>
                  <w:rFonts w:ascii="Arial" w:cs="Arial" w:eastAsia="Arial" w:hAnsi="Arial"/>
                  <w:sz w:val="16"/>
                  <w:szCs w:val="16"/>
                  <w:color w:val="0000EE"/>
                </w:rPr>
                <w:t>38</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960" w:type="dxa"/>
            <w:vAlign w:val="bottom"/>
            <w:gridSpan w:val="8"/>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Consolidated Statements of Income for the years ended December 31, 2019, 2018 and 2017</w:t>
              </w:r>
            </w:hyperlink>
          </w:p>
        </w:tc>
        <w:tc>
          <w:tcPr>
            <w:tcW w:w="3000" w:type="dxa"/>
            <w:vAlign w:val="bottom"/>
            <w:gridSpan w:val="2"/>
          </w:tcPr>
          <w:p>
            <w:pPr>
              <w:jc w:val="center"/>
              <w:ind w:left="2739"/>
              <w:spacing w:after="0"/>
              <w:rPr>
                <w:rFonts w:ascii="Arial" w:cs="Arial" w:eastAsia="Arial" w:hAnsi="Arial"/>
                <w:sz w:val="16"/>
                <w:szCs w:val="16"/>
                <w:color w:val="0000EE"/>
              </w:rPr>
            </w:pPr>
            <w:hyperlink w:anchor="page39">
              <w:r>
                <w:rPr>
                  <w:rFonts w:ascii="Arial" w:cs="Arial" w:eastAsia="Arial" w:hAnsi="Arial"/>
                  <w:sz w:val="16"/>
                  <w:szCs w:val="16"/>
                  <w:color w:val="0000EE"/>
                </w:rPr>
                <w:t>39</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960" w:type="dxa"/>
            <w:vAlign w:val="bottom"/>
            <w:gridSpan w:val="8"/>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Consolidated Statements of Comprehensive Income for the years ended December 31, 2019, 2018 and 2017</w:t>
              </w:r>
            </w:hyperlink>
          </w:p>
        </w:tc>
        <w:tc>
          <w:tcPr>
            <w:tcW w:w="3000" w:type="dxa"/>
            <w:vAlign w:val="bottom"/>
            <w:gridSpan w:val="2"/>
          </w:tcPr>
          <w:p>
            <w:pPr>
              <w:jc w:val="center"/>
              <w:ind w:left="2739"/>
              <w:spacing w:after="0"/>
              <w:rPr>
                <w:rFonts w:ascii="Arial" w:cs="Arial" w:eastAsia="Arial" w:hAnsi="Arial"/>
                <w:sz w:val="16"/>
                <w:szCs w:val="16"/>
                <w:color w:val="0000EE"/>
              </w:rPr>
            </w:pPr>
            <w:hyperlink w:anchor="page40">
              <w:r>
                <w:rPr>
                  <w:rFonts w:ascii="Arial" w:cs="Arial" w:eastAsia="Arial" w:hAnsi="Arial"/>
                  <w:sz w:val="16"/>
                  <w:szCs w:val="16"/>
                  <w:color w:val="0000EE"/>
                </w:rPr>
                <w:t>40</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960" w:type="dxa"/>
            <w:vAlign w:val="bottom"/>
            <w:gridSpan w:val="8"/>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Consolidated Statements of Shareholders’ Investment for the years ended December 31, 2019, 2018 and 2017</w:t>
              </w:r>
            </w:hyperlink>
          </w:p>
        </w:tc>
        <w:tc>
          <w:tcPr>
            <w:tcW w:w="3000" w:type="dxa"/>
            <w:vAlign w:val="bottom"/>
            <w:gridSpan w:val="2"/>
          </w:tcPr>
          <w:p>
            <w:pPr>
              <w:jc w:val="center"/>
              <w:ind w:left="2739"/>
              <w:spacing w:after="0"/>
              <w:rPr>
                <w:rFonts w:ascii="Arial" w:cs="Arial" w:eastAsia="Arial" w:hAnsi="Arial"/>
                <w:sz w:val="16"/>
                <w:szCs w:val="16"/>
                <w:color w:val="0000EE"/>
              </w:rPr>
            </w:pPr>
            <w:hyperlink w:anchor="page41">
              <w:r>
                <w:rPr>
                  <w:rFonts w:ascii="Arial" w:cs="Arial" w:eastAsia="Arial" w:hAnsi="Arial"/>
                  <w:sz w:val="16"/>
                  <w:szCs w:val="16"/>
                  <w:color w:val="0000EE"/>
                </w:rPr>
                <w:t>41</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60" w:type="dxa"/>
            <w:vAlign w:val="bottom"/>
            <w:gridSpan w:val="5"/>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Consolidated Statements of Cash Flows for the years ended December 31, 2019, 2018 and 2017</w:t>
              </w:r>
            </w:hyperlink>
          </w:p>
        </w:tc>
        <w:tc>
          <w:tcPr>
            <w:tcW w:w="1000" w:type="dxa"/>
            <w:vAlign w:val="bottom"/>
            <w:gridSpan w:val="3"/>
          </w:tcPr>
          <w:p>
            <w:pPr>
              <w:spacing w:after="0"/>
              <w:rPr>
                <w:sz w:val="19"/>
                <w:szCs w:val="19"/>
                <w:color w:val="auto"/>
              </w:rPr>
            </w:pPr>
          </w:p>
        </w:tc>
        <w:tc>
          <w:tcPr>
            <w:tcW w:w="3000" w:type="dxa"/>
            <w:vAlign w:val="bottom"/>
            <w:gridSpan w:val="2"/>
          </w:tcPr>
          <w:p>
            <w:pPr>
              <w:jc w:val="center"/>
              <w:ind w:left="2739"/>
              <w:spacing w:after="0"/>
              <w:rPr>
                <w:rFonts w:ascii="Arial" w:cs="Arial" w:eastAsia="Arial" w:hAnsi="Arial"/>
                <w:sz w:val="16"/>
                <w:szCs w:val="16"/>
                <w:color w:val="0000EE"/>
              </w:rPr>
            </w:pPr>
            <w:hyperlink w:anchor="page41">
              <w:r>
                <w:rPr>
                  <w:rFonts w:ascii="Arial" w:cs="Arial" w:eastAsia="Arial" w:hAnsi="Arial"/>
                  <w:sz w:val="16"/>
                  <w:szCs w:val="16"/>
                  <w:color w:val="0000EE"/>
                </w:rPr>
                <w:t>41</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60" w:type="dxa"/>
            <w:vAlign w:val="bottom"/>
            <w:gridSpan w:val="5"/>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Notes to Consolidated Financial Statements</w:t>
              </w:r>
            </w:hyperlink>
          </w:p>
        </w:tc>
        <w:tc>
          <w:tcPr>
            <w:tcW w:w="1000" w:type="dxa"/>
            <w:vAlign w:val="bottom"/>
            <w:gridSpan w:val="3"/>
          </w:tcPr>
          <w:p>
            <w:pPr>
              <w:spacing w:after="0"/>
              <w:rPr>
                <w:sz w:val="19"/>
                <w:szCs w:val="19"/>
                <w:color w:val="auto"/>
              </w:rPr>
            </w:pPr>
          </w:p>
        </w:tc>
        <w:tc>
          <w:tcPr>
            <w:tcW w:w="3000" w:type="dxa"/>
            <w:vAlign w:val="bottom"/>
            <w:gridSpan w:val="2"/>
          </w:tcPr>
          <w:p>
            <w:pPr>
              <w:jc w:val="center"/>
              <w:ind w:left="2739"/>
              <w:spacing w:after="0"/>
              <w:rPr>
                <w:rFonts w:ascii="Arial" w:cs="Arial" w:eastAsia="Arial" w:hAnsi="Arial"/>
                <w:sz w:val="16"/>
                <w:szCs w:val="16"/>
                <w:color w:val="0000EE"/>
              </w:rPr>
            </w:pPr>
            <w:hyperlink w:anchor="page43">
              <w:r>
                <w:rPr>
                  <w:rFonts w:ascii="Arial" w:cs="Arial" w:eastAsia="Arial" w:hAnsi="Arial"/>
                  <w:sz w:val="16"/>
                  <w:szCs w:val="16"/>
                  <w:color w:val="0000EE"/>
                </w:rPr>
                <w:t>42</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financial data for the past two years appears in the following table:</w:t>
      </w: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Quarterly Results of Operations</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86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8"/>
              </w:rPr>
              <w:t>First</w:t>
            </w:r>
          </w:p>
        </w:tc>
        <w:tc>
          <w:tcPr>
            <w:tcW w:w="7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Second</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Third</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Fourth</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468,589</w:t>
            </w:r>
          </w:p>
        </w:tc>
        <w:tc>
          <w:tcPr>
            <w:tcW w:w="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465,420</w:t>
            </w:r>
          </w:p>
        </w:tc>
        <w:tc>
          <w:tcPr>
            <w:tcW w:w="14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468,711</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454,981</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477,761</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460,253</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443,836</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453,409</w:t>
            </w:r>
          </w:p>
        </w:tc>
        <w:tc>
          <w:tcPr>
            <w:tcW w:w="0" w:type="dxa"/>
            <w:vAlign w:val="bottom"/>
          </w:tcPr>
          <w:p>
            <w:pPr>
              <w:spacing w:after="0"/>
              <w:rPr>
                <w:sz w:val="1"/>
                <w:szCs w:val="1"/>
                <w:color w:val="auto"/>
              </w:rPr>
            </w:pPr>
          </w:p>
        </w:tc>
      </w:tr>
      <w:tr>
        <w:trPr>
          <w:trHeight w:val="66"/>
        </w:trPr>
        <w:tc>
          <w:tcPr>
            <w:tcW w:w="33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420" w:type="dxa"/>
            <w:vAlign w:val="bottom"/>
            <w:gridSpan w:val="3"/>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169,645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172,628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176,538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172,804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180,321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172,990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161,805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172,044</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121,596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128,515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127,905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126,683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128,136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127,428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110,901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125,499</w:t>
            </w:r>
          </w:p>
        </w:tc>
        <w:tc>
          <w:tcPr>
            <w:tcW w:w="0" w:type="dxa"/>
            <w:vAlign w:val="bottom"/>
          </w:tcPr>
          <w:p>
            <w:pPr>
              <w:spacing w:after="0"/>
              <w:rPr>
                <w:sz w:val="1"/>
                <w:szCs w:val="1"/>
                <w:color w:val="auto"/>
              </w:rPr>
            </w:pPr>
          </w:p>
        </w:tc>
      </w:tr>
      <w:tr>
        <w:trPr>
          <w:trHeight w:val="66"/>
        </w:trPr>
        <w:tc>
          <w:tcPr>
            <w:tcW w:w="33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104,280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111,249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108,959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109,024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111,898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111,336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99,547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106,275</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r>
              <w:rPr>
                <w:rFonts w:ascii="Arial" w:cs="Arial" w:eastAsia="Arial" w:hAnsi="Arial"/>
                <w:sz w:val="17"/>
                <w:szCs w:val="17"/>
                <w:color w:val="auto"/>
                <w:vertAlign w:val="superscript"/>
              </w:rPr>
              <w:t>(1)</w:t>
            </w: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0.40</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16"/>
        </w:trPr>
        <w:tc>
          <w:tcPr>
            <w:tcW w:w="3300" w:type="dxa"/>
            <w:vAlign w:val="bottom"/>
          </w:tcPr>
          <w:p>
            <w:pPr>
              <w:ind w:left="40"/>
              <w:spacing w:after="0"/>
              <w:rPr>
                <w:sz w:val="20"/>
                <w:szCs w:val="20"/>
                <w:color w:val="auto"/>
              </w:rPr>
            </w:pPr>
            <w:r>
              <w:rPr>
                <w:rFonts w:ascii="Arial" w:cs="Arial" w:eastAsia="Arial" w:hAnsi="Arial"/>
                <w:sz w:val="14"/>
                <w:szCs w:val="14"/>
                <w:color w:val="auto"/>
              </w:rPr>
              <w:t>Diluted Earnings per share</w:t>
            </w:r>
            <w:r>
              <w:rPr>
                <w:rFonts w:ascii="Arial" w:cs="Arial" w:eastAsia="Arial" w:hAnsi="Arial"/>
                <w:sz w:val="17"/>
                <w:szCs w:val="17"/>
                <w:color w:val="auto"/>
                <w:vertAlign w:val="superscript"/>
              </w:rPr>
              <w:t>(1)</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0.40</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0.40</w:t>
            </w:r>
          </w:p>
        </w:tc>
        <w:tc>
          <w:tcPr>
            <w:tcW w:w="140" w:type="dxa"/>
            <w:vAlign w:val="bottom"/>
          </w:tcPr>
          <w:p>
            <w:pPr>
              <w:spacing w:after="0"/>
              <w:rPr>
                <w:sz w:val="18"/>
                <w:szCs w:val="18"/>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18"/>
                <w:szCs w:val="18"/>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18"/>
                <w:szCs w:val="18"/>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18"/>
                <w:szCs w:val="18"/>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18"/>
                <w:szCs w:val="18"/>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0.39</w:t>
            </w:r>
          </w:p>
        </w:tc>
        <w:tc>
          <w:tcPr>
            <w:tcW w:w="120" w:type="dxa"/>
            <w:vAlign w:val="bottom"/>
          </w:tcPr>
          <w:p>
            <w:pPr>
              <w:spacing w:after="0"/>
              <w:rPr>
                <w:sz w:val="18"/>
                <w:szCs w:val="18"/>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42"/>
        </w:trPr>
        <w:tc>
          <w:tcPr>
            <w:tcW w:w="330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20" w:type="dxa"/>
            <w:vAlign w:val="bottom"/>
            <w:gridSpan w:val="3"/>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8629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295" cy="222885"/>
                    </a:xfrm>
                    <a:prstGeom prst="rect">
                      <a:avLst/>
                    </a:prstGeom>
                    <a:noFill/>
                  </pic:spPr>
                </pic:pic>
              </a:graphicData>
            </a:graphic>
          </wp:anchor>
        </w:drawing>
      </w:r>
    </w:p>
    <w:p>
      <w:pPr>
        <w:ind w:left="40" w:right="240"/>
        <w:spacing w:after="0" w:line="25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Basic and diluted earnings per share are computed independently for each quarter presented. Therefore the sum of quarterly basic and diluted per share information may not equal annual basis</w:t>
      </w:r>
      <w:r>
        <w:rPr>
          <w:rFonts w:ascii="Arial" w:cs="Arial" w:eastAsia="Arial" w:hAnsi="Arial"/>
          <w:sz w:val="9"/>
          <w:szCs w:val="9"/>
          <w:color w:val="auto"/>
        </w:rPr>
        <w:t xml:space="preserve"> </w:t>
      </w:r>
      <w:r>
        <w:rPr>
          <w:rFonts w:ascii="Arial" w:cs="Arial" w:eastAsia="Arial" w:hAnsi="Arial"/>
          <w:sz w:val="14"/>
          <w:szCs w:val="14"/>
          <w:color w:val="auto"/>
        </w:rPr>
        <w:t>and diluted earnings per share.</w:t>
      </w:r>
    </w:p>
    <w:p>
      <w:pPr>
        <w:spacing w:after="0" w:line="200" w:lineRule="exact"/>
        <w:rPr>
          <w:sz w:val="20"/>
          <w:szCs w:val="20"/>
          <w:color w:val="auto"/>
        </w:rPr>
      </w:pPr>
    </w:p>
    <w:p>
      <w:pPr>
        <w:spacing w:after="0" w:line="3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6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defined in Item 304 of Regulation S-K, there have been no changes in, or disagreements with, accountants during the 24-month period ended December 31, 2019.</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supervision of and with the participation of the Company’s management, the Company's principal executive officer and principal financial officer have evaluated the effectiveness of the design and operation of the Company’s disclosure controls and procedures ([as defined in Exchange Act Rules 13a – 15(e) and 15d – 15(e)]) as of December 31, 2019, and have concluded that the Company’s disclosure controls and procedures are adequate and effective.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 (2013 Framework)(the COSO criteria). Based on this assessment, management asserts that the Company has maintained effective internal control over financial reporting as of December 31, 2019.</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21"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effectiveness of the Company’s internal control over financial reporting as of December 31, 2019, has been audited by Ernst &amp; Young LLP, an independent registered public accounting firm, as stated in their report which is included in </w:t>
      </w:r>
      <w:hyperlink w:anchor="page35">
        <w:r>
          <w:rPr>
            <w:rFonts w:ascii="Arial" w:cs="Arial" w:eastAsia="Arial" w:hAnsi="Arial"/>
            <w:sz w:val="18"/>
            <w:szCs w:val="18"/>
            <w:u w:val="single" w:color="auto"/>
            <w:color w:val="0000EE"/>
          </w:rPr>
          <w:t>Part IV</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period covered by this annual report, there have been no changes in the Company’s internal controls over financial reporting that have materially affected or are reasonably likely to materially affect the Company’s internal controls over financial reporting. In addition, there have been no significant changes in the Company’s internal controls or in other factors that could significantly affect internal controls subsequent to December 31, 2019.</w:t>
      </w:r>
    </w:p>
    <w:p>
      <w:pPr>
        <w:spacing w:after="0" w:line="1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tab/>
        <w:t>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35" w:right="239" w:bottom="1440" w:gutter="0" w:footer="0" w:header="0"/>
        </w:sectPr>
      </w:pPr>
    </w:p>
    <w:bookmarkStart w:id="25" w:name="page26"/>
    <w:bookmarkEnd w:id="25"/>
    <w:p>
      <w:pPr>
        <w:ind w:left="53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Our Executive Officers</w:t>
      </w:r>
    </w:p>
    <w:p>
      <w:pPr>
        <w:spacing w:after="0" w:line="31"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The following table lists the names, ages, and positions of all of the Company’s executive officers at the time of this report. Officers are generally elected at the meeting of the Board of Directors following the annual meeting of shareholders.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ind w:left="860"/>
              <w:spacing w:after="0"/>
              <w:rPr>
                <w:sz w:val="20"/>
                <w:szCs w:val="20"/>
                <w:color w:val="auto"/>
              </w:rPr>
            </w:pPr>
            <w:r>
              <w:rPr>
                <w:rFonts w:ascii="Arial" w:cs="Arial" w:eastAsia="Arial" w:hAnsi="Arial"/>
                <w:sz w:val="14"/>
                <w:szCs w:val="14"/>
                <w:b w:val="1"/>
                <w:bCs w:val="1"/>
                <w:color w:val="auto"/>
              </w:rPr>
              <w:t>CURRENT</w:t>
            </w:r>
          </w:p>
        </w:tc>
      </w:tr>
      <w:tr>
        <w:trPr>
          <w:trHeight w:val="196"/>
        </w:trPr>
        <w:tc>
          <w:tcPr>
            <w:tcW w:w="1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shd w:val="clear" w:color="auto" w:fill="CCEEFF"/>
          </w:tcPr>
          <w:p>
            <w:pPr>
              <w:spacing w:after="0"/>
              <w:rPr>
                <w:sz w:val="17"/>
                <w:szCs w:val="17"/>
                <w:color w:val="auto"/>
              </w:rPr>
            </w:pPr>
          </w:p>
        </w:tc>
        <w:tc>
          <w:tcPr>
            <w:tcW w:w="6500" w:type="dxa"/>
            <w:vAlign w:val="bottom"/>
            <w:tcBorders>
              <w:bottom w:val="single" w:sz="8" w:color="auto"/>
            </w:tcBorders>
            <w:shd w:val="clear" w:color="auto" w:fill="CCEEFF"/>
          </w:tcPr>
          <w:p>
            <w:pPr>
              <w:ind w:left="2900"/>
              <w:spacing w:after="0"/>
              <w:rPr>
                <w:sz w:val="20"/>
                <w:szCs w:val="20"/>
                <w:color w:val="auto"/>
              </w:rPr>
            </w:pPr>
            <w:r>
              <w:rPr>
                <w:rFonts w:ascii="Arial" w:cs="Arial" w:eastAsia="Arial" w:hAnsi="Arial"/>
                <w:sz w:val="14"/>
                <w:szCs w:val="14"/>
                <w:b w:val="1"/>
                <w:bCs w:val="1"/>
                <w:color w:val="auto"/>
              </w:rPr>
              <w:t>POSITION</w:t>
            </w:r>
          </w:p>
        </w:tc>
        <w:tc>
          <w:tcPr>
            <w:tcW w:w="100" w:type="dxa"/>
            <w:vAlign w:val="bottom"/>
            <w:shd w:val="clear" w:color="auto" w:fill="CCEEFF"/>
          </w:tcPr>
          <w:p>
            <w:pPr>
              <w:spacing w:after="0"/>
              <w:rPr>
                <w:sz w:val="17"/>
                <w:szCs w:val="17"/>
                <w:color w:val="auto"/>
              </w:rPr>
            </w:pPr>
          </w:p>
        </w:tc>
        <w:tc>
          <w:tcPr>
            <w:tcW w:w="24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b w:val="1"/>
                <w:bCs w:val="1"/>
                <w:color w:val="auto"/>
              </w:rPr>
              <w:t>POSITION HELD SINCE</w:t>
            </w:r>
          </w:p>
        </w:tc>
      </w:tr>
      <w:tr>
        <w:trPr>
          <w:trHeight w:val="249"/>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Steve Downing</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21"/>
                <w:szCs w:val="21"/>
                <w:color w:val="auto"/>
              </w:rPr>
            </w:pPr>
          </w:p>
        </w:tc>
        <w:tc>
          <w:tcPr>
            <w:tcW w:w="660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2400" w:type="dxa"/>
            <w:vAlign w:val="bottom"/>
          </w:tcPr>
          <w:p>
            <w:pPr>
              <w:ind w:left="40"/>
              <w:spacing w:after="0"/>
              <w:rPr>
                <w:sz w:val="20"/>
                <w:szCs w:val="20"/>
                <w:color w:val="auto"/>
              </w:rPr>
            </w:pPr>
            <w:r>
              <w:rPr>
                <w:rFonts w:ascii="Arial" w:cs="Arial" w:eastAsia="Arial" w:hAnsi="Arial"/>
                <w:sz w:val="18"/>
                <w:szCs w:val="18"/>
                <w:color w:val="auto"/>
              </w:rPr>
              <w:t>January 2018</w:t>
            </w:r>
          </w:p>
        </w:tc>
      </w:tr>
      <w:tr>
        <w:trPr>
          <w:trHeight w:val="277"/>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Neil Boehm</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48</w:t>
            </w:r>
          </w:p>
        </w:tc>
        <w:tc>
          <w:tcPr>
            <w:tcW w:w="100" w:type="dxa"/>
            <w:vAlign w:val="bottom"/>
            <w:shd w:val="clear" w:color="auto" w:fill="CCEEFF"/>
          </w:tcPr>
          <w:p>
            <w:pPr>
              <w:spacing w:after="0"/>
              <w:rPr>
                <w:sz w:val="24"/>
                <w:szCs w:val="24"/>
                <w:color w:val="auto"/>
              </w:rPr>
            </w:pPr>
          </w:p>
        </w:tc>
        <w:tc>
          <w:tcPr>
            <w:tcW w:w="6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Chief Technology Officer and Vice President, Engineering</w:t>
            </w:r>
          </w:p>
        </w:tc>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2018</w:t>
            </w:r>
          </w:p>
        </w:tc>
      </w:tr>
      <w:tr>
        <w:trPr>
          <w:trHeight w:val="26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Kevin Nash</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00" w:type="dxa"/>
            <w:vAlign w:val="bottom"/>
          </w:tcPr>
          <w:p>
            <w:pPr>
              <w:spacing w:after="0"/>
              <w:rPr>
                <w:sz w:val="22"/>
                <w:szCs w:val="22"/>
                <w:color w:val="auto"/>
              </w:rPr>
            </w:pPr>
          </w:p>
        </w:tc>
        <w:tc>
          <w:tcPr>
            <w:tcW w:w="6600" w:type="dxa"/>
            <w:vAlign w:val="bottom"/>
            <w:gridSpan w:val="2"/>
          </w:tcPr>
          <w:p>
            <w:pPr>
              <w:ind w:left="40"/>
              <w:spacing w:after="0"/>
              <w:rPr>
                <w:sz w:val="20"/>
                <w:szCs w:val="20"/>
                <w:color w:val="auto"/>
              </w:rPr>
            </w:pPr>
            <w:r>
              <w:rPr>
                <w:rFonts w:ascii="Arial" w:cs="Arial" w:eastAsia="Arial" w:hAnsi="Arial"/>
                <w:sz w:val="18"/>
                <w:szCs w:val="18"/>
                <w:color w:val="auto"/>
              </w:rPr>
              <w:t>Vice President, Finance, Chief Financial Officer and Treasurer</w:t>
            </w:r>
          </w:p>
        </w:tc>
        <w:tc>
          <w:tcPr>
            <w:tcW w:w="2400" w:type="dxa"/>
            <w:vAlign w:val="bottom"/>
          </w:tcPr>
          <w:p>
            <w:pPr>
              <w:ind w:left="40"/>
              <w:spacing w:after="0"/>
              <w:rPr>
                <w:sz w:val="20"/>
                <w:szCs w:val="20"/>
                <w:color w:val="auto"/>
              </w:rPr>
            </w:pPr>
            <w:r>
              <w:rPr>
                <w:rFonts w:ascii="Arial" w:cs="Arial" w:eastAsia="Arial" w:hAnsi="Arial"/>
                <w:sz w:val="18"/>
                <w:szCs w:val="18"/>
                <w:color w:val="auto"/>
              </w:rPr>
              <w:t>February 2018</w:t>
            </w:r>
          </w:p>
        </w:tc>
      </w:tr>
      <w:tr>
        <w:trPr>
          <w:trHeight w:val="277"/>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Matthew Chiodo</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55</w:t>
            </w:r>
          </w:p>
        </w:tc>
        <w:tc>
          <w:tcPr>
            <w:tcW w:w="100" w:type="dxa"/>
            <w:vAlign w:val="bottom"/>
            <w:shd w:val="clear" w:color="auto" w:fill="CCEEFF"/>
          </w:tcPr>
          <w:p>
            <w:pPr>
              <w:spacing w:after="0"/>
              <w:rPr>
                <w:sz w:val="24"/>
                <w:szCs w:val="24"/>
                <w:color w:val="auto"/>
              </w:rPr>
            </w:pPr>
          </w:p>
        </w:tc>
        <w:tc>
          <w:tcPr>
            <w:tcW w:w="6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Sales</w:t>
            </w:r>
          </w:p>
        </w:tc>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2018</w:t>
            </w:r>
          </w:p>
        </w:tc>
      </w:tr>
      <w:tr>
        <w:trPr>
          <w:trHeight w:val="25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Scott Ryan</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22"/>
                <w:szCs w:val="22"/>
                <w:color w:val="auto"/>
              </w:rPr>
            </w:pPr>
          </w:p>
        </w:tc>
        <w:tc>
          <w:tcPr>
            <w:tcW w:w="6600" w:type="dxa"/>
            <w:vAlign w:val="bottom"/>
            <w:gridSpan w:val="2"/>
          </w:tcPr>
          <w:p>
            <w:pPr>
              <w:ind w:left="40"/>
              <w:spacing w:after="0"/>
              <w:rPr>
                <w:sz w:val="20"/>
                <w:szCs w:val="20"/>
                <w:color w:val="auto"/>
              </w:rPr>
            </w:pPr>
            <w:r>
              <w:rPr>
                <w:rFonts w:ascii="Arial" w:cs="Arial" w:eastAsia="Arial" w:hAnsi="Arial"/>
                <w:sz w:val="18"/>
                <w:szCs w:val="18"/>
                <w:color w:val="auto"/>
              </w:rPr>
              <w:t>Vice President, General Counsel and Corporate Secretary</w:t>
            </w:r>
          </w:p>
        </w:tc>
        <w:tc>
          <w:tcPr>
            <w:tcW w:w="2400" w:type="dxa"/>
            <w:vAlign w:val="bottom"/>
          </w:tcPr>
          <w:p>
            <w:pPr>
              <w:ind w:left="40"/>
              <w:spacing w:after="0"/>
              <w:rPr>
                <w:sz w:val="20"/>
                <w:szCs w:val="20"/>
                <w:color w:val="auto"/>
              </w:rPr>
            </w:pPr>
            <w:r>
              <w:rPr>
                <w:rFonts w:ascii="Arial" w:cs="Arial" w:eastAsia="Arial" w:hAnsi="Arial"/>
                <w:sz w:val="18"/>
                <w:szCs w:val="18"/>
                <w:color w:val="auto"/>
              </w:rPr>
              <w:t>August 2018</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the officers listed in the preceding table.</w:t>
      </w:r>
    </w:p>
    <w:p>
      <w:pPr>
        <w:spacing w:after="0" w:line="144" w:lineRule="exact"/>
        <w:rPr>
          <w:sz w:val="20"/>
          <w:szCs w:val="20"/>
          <w:color w:val="auto"/>
        </w:rPr>
      </w:pPr>
    </w:p>
    <w:p>
      <w:pPr>
        <w:jc w:val="both"/>
        <w:spacing w:after="0" w:line="216" w:lineRule="exact"/>
        <w:rPr>
          <w:rFonts w:ascii="Arial" w:cs="Arial" w:eastAsia="Arial" w:hAnsi="Arial"/>
          <w:sz w:val="18"/>
          <w:szCs w:val="18"/>
          <w:color w:val="auto"/>
        </w:rPr>
      </w:pPr>
      <w:r>
        <w:rPr>
          <w:rFonts w:ascii="Arial" w:cs="Arial" w:eastAsia="Arial" w:hAnsi="Arial"/>
          <w:sz w:val="18"/>
          <w:szCs w:val="18"/>
          <w:color w:val="auto"/>
        </w:rPr>
        <w:t xml:space="preserve">Steve Downing was elected Chief Executive Officer effective as of January 1, 2018. Mr. Downing has been employed by the Company since 2002. Prior to being elected Chief Executive Officer, he served as President and Chief Operating Officer from August 2017 to December 2017, as Senior Vice President and Chief Financial Officer from June 2015 to August 2017, and as Vice President of Finance and Chief Financial Officer from May 2013 to June 2015. He served in a variety of roles before that time. Certain terms of Mr. Downing's employment arrangement are contained herein in </w:t>
      </w:r>
      <w:hyperlink w:anchor="page28">
        <w:r>
          <w:rPr>
            <w:rFonts w:ascii="Arial" w:cs="Arial" w:eastAsia="Arial" w:hAnsi="Arial"/>
            <w:sz w:val="18"/>
            <w:szCs w:val="18"/>
            <w:u w:val="single" w:color="auto"/>
            <w:color w:val="0000EE"/>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37"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Neil Boehm was appointed as the Company's Vice President, Engineering and Chief Technology Officer as of February 15, 2018 and was also appointed an executive officer. Mr. Boehm has been employed by the Company since 2001. Prior to his current position, he served as the Company's Vice President of Engineering, beginning in 2015 and before that served as Senior Director of Engineering. Certain terms of Mr. Boehm's employment arrangement are contained herein in </w:t>
      </w:r>
      <w:hyperlink w:anchor="page28">
        <w:r>
          <w:rPr>
            <w:rFonts w:ascii="Arial" w:cs="Arial" w:eastAsia="Arial" w:hAnsi="Arial"/>
            <w:sz w:val="18"/>
            <w:szCs w:val="18"/>
            <w:u w:val="single" w:color="auto"/>
            <w:color w:val="0000EE"/>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123" w:lineRule="exact"/>
        <w:rPr>
          <w:sz w:val="20"/>
          <w:szCs w:val="20"/>
          <w:color w:val="auto"/>
        </w:rPr>
      </w:pPr>
    </w:p>
    <w:p>
      <w:pPr>
        <w:jc w:val="both"/>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Kevin Nash was appointed as the Company's Vice President, Finance, Chief Financial Officer, and Treasurer, effective as of February 15, 2018. He is also the Company's Chief Accounting Officer. Mr. Nash has been employed by the Company since 1999. Prior to his current position, he served as the Company's Vice President of Accounting and Chief Accounting Officer, beginning in 2014 and before that served as </w:t>
      </w:r>
      <w:hyperlink w:anchor="page28">
        <w:r>
          <w:rPr>
            <w:rFonts w:ascii="Arial" w:cs="Arial" w:eastAsia="Arial" w:hAnsi="Arial"/>
            <w:sz w:val="18"/>
            <w:szCs w:val="18"/>
            <w:color w:val="auto"/>
          </w:rPr>
          <w:t xml:space="preserve">Director of Accounting and Chief Accounting Officer. Certain terms of Mr. Nash's employment arrangement are contained herein in </w:t>
        </w:r>
        <w:r>
          <w:rPr>
            <w:rFonts w:ascii="Arial" w:cs="Arial" w:eastAsia="Arial" w:hAnsi="Arial"/>
            <w:sz w:val="18"/>
            <w:szCs w:val="18"/>
            <w:u w:val="single" w:color="auto"/>
            <w:color w:val="0000EE"/>
          </w:rPr>
          <w:t>Part III, Item</w:t>
        </w:r>
      </w:hyperlink>
    </w:p>
    <w:p>
      <w:pPr>
        <w:spacing w:after="0" w:line="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hyperlink w:anchor="page28">
        <w:r>
          <w:rPr>
            <w:rFonts w:ascii="Arial" w:cs="Arial" w:eastAsia="Arial" w:hAnsi="Arial"/>
            <w:sz w:val="18"/>
            <w:szCs w:val="18"/>
            <w:color w:val="auto"/>
          </w:rPr>
          <w:t>to this Form 10-K.</w:t>
        </w:r>
      </w:hyperlink>
    </w:p>
    <w:p>
      <w:pPr>
        <w:spacing w:after="0" w:line="144"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Matthew Chiodo, the Company's Vice President of Sales, was appointed an executive officer effective February 15, 2018. Mr. Chiodo has been employed by the Company since 2001. Mr. Chiodo has been in his current role since January 2017 and previously served as Director of Sales for several years. Certain terms of Mr. Chiodo's employment arrangement are contained herein in </w:t>
      </w:r>
      <w:hyperlink w:anchor="page28">
        <w:r>
          <w:rPr>
            <w:rFonts w:ascii="Arial" w:cs="Arial" w:eastAsia="Arial" w:hAnsi="Arial"/>
            <w:sz w:val="18"/>
            <w:szCs w:val="18"/>
            <w:u w:val="single" w:color="auto"/>
            <w:color w:val="0000EE"/>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121"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Scott Ryan was appointed as the Company's Vice President, General Counsel and Corporate Secretary on August 16, 2018. Mr. Ryan has been employed by the Company since 2010. Prior to his current position, he served as Assistant General Counsel and Corporate Secretary from June 2015 to August 2018. Prior to that he served as Patent Counsel from November 2013 to June 2015. Certain terms of Mr. Ryan's employment arrangement are contained herein in </w:t>
      </w:r>
      <w:hyperlink w:anchor="page28">
        <w:r>
          <w:rPr>
            <w:rFonts w:ascii="Arial" w:cs="Arial" w:eastAsia="Arial" w:hAnsi="Arial"/>
            <w:sz w:val="18"/>
            <w:szCs w:val="18"/>
            <w:u w:val="single" w:color="auto"/>
            <w:color w:val="0000EE"/>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Information relating to directors appearing under the caption “Election of Directors” in the definitive Proxy Statement for 2019 Annual Meeting of Shareholders and filed with the Commission within 120 days after the Company’s fiscal year end, December 31, 2019 (the “Proxy Statement”), is hereby incorporated herein by reference. No changes were made to the procedures by which shareholders may recommend nominees for the Board of Directors. Any information concerning compliance with Section 16(a) of the Securities and Exchange Act of 1934 that may appear under the caption “Delinquent Section 16 Reports” in the definitive Proxy Statement is hereby incorporated herein by reference. Information relating to the Company’s Audit Committee and concerning whether at least one member of the Audit Committee is an “audit committee financial expert” as that term is defined under Item 407(d)(5) of Regulation S-K appearing under the caption “Corporate Governance – Audit Committee” in the definitive Proxy Statement is hereby incorporated herein by reference.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65" w:right="239" w:bottom="1440" w:gutter="0" w:footer="0" w:header="0"/>
        </w:sectPr>
      </w:pPr>
    </w:p>
    <w:bookmarkStart w:id="26" w:name="page27"/>
    <w:bookmarkEnd w:id="26"/>
    <w:p>
      <w:pPr>
        <w:jc w:val="both"/>
        <w:spacing w:after="0" w:line="252" w:lineRule="auto"/>
        <w:rPr>
          <w:sz w:val="20"/>
          <w:szCs w:val="20"/>
          <w:color w:val="auto"/>
        </w:rPr>
      </w:pPr>
      <w:r>
        <w:rPr>
          <w:rFonts w:ascii="Arial" w:cs="Arial" w:eastAsia="Arial" w:hAnsi="Arial"/>
          <w:sz w:val="18"/>
          <w:szCs w:val="18"/>
          <w:color w:val="auto"/>
        </w:rPr>
        <w:t>The Company has adopted a Code of Ethics for Certain Senior Officers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and on the Company's website.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06" w:right="239" w:bottom="1440" w:gutter="0" w:footer="0" w:header="0"/>
        </w:sectPr>
      </w:pPr>
    </w:p>
    <w:bookmarkStart w:id="27" w:name="page28"/>
    <w:bookmarkEnd w:id="27"/>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contained under the caption “Compensation Committee Report,” “Compensation Discussion and Analysis,” “Executive Compensation,” “Director Compensation,”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the Compensation Committee intended to move base salaries for officers, including named executive officers, toward the market median of the Company's established peer group over a three-year period. At the request of the CEO and named executive officers, the Compensation Committee and the Board of Directors have decided not to increase named executive officer base salaries at this time. In lieu thereof, the Board of Directors, based on a recommendation of the Compensation Committee, has provided the named executive officers additional upside under the Long-Term Plan as discussed below. As such, 2020 Base Salary as approved by the Board of Directors is set forth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Executive Officer</w:t>
            </w:r>
          </w:p>
        </w:tc>
        <w:tc>
          <w:tcPr>
            <w:tcW w:w="5060" w:type="dxa"/>
            <w:vAlign w:val="bottom"/>
            <w:tcBorders>
              <w:bottom w:val="single" w:sz="8" w:color="auto"/>
            </w:tcBorders>
          </w:tcPr>
          <w:p>
            <w:pPr>
              <w:ind w:left="2900"/>
              <w:spacing w:after="0"/>
              <w:rPr>
                <w:sz w:val="20"/>
                <w:szCs w:val="20"/>
                <w:color w:val="auto"/>
              </w:rPr>
            </w:pPr>
            <w:r>
              <w:rPr>
                <w:rFonts w:ascii="Arial" w:cs="Arial" w:eastAsia="Arial" w:hAnsi="Arial"/>
                <w:sz w:val="14"/>
                <w:szCs w:val="14"/>
                <w:b w:val="1"/>
                <w:bCs w:val="1"/>
                <w:color w:val="auto"/>
              </w:rPr>
              <w:t>Position</w:t>
            </w:r>
          </w:p>
        </w:tc>
        <w:tc>
          <w:tcPr>
            <w:tcW w:w="20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2019 Base Salary</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2020 Base Salary</w:t>
            </w:r>
          </w:p>
        </w:tc>
      </w:tr>
      <w:tr>
        <w:trPr>
          <w:trHeight w:val="256"/>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 Downing</w:t>
            </w:r>
          </w:p>
        </w:tc>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President and CEO</w:t>
            </w: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r>
      <w:tr>
        <w:trPr>
          <w:trHeight w:val="250"/>
        </w:trPr>
        <w:tc>
          <w:tcPr>
            <w:tcW w:w="2960" w:type="dxa"/>
            <w:vAlign w:val="bottom"/>
          </w:tcPr>
          <w:p>
            <w:pPr>
              <w:ind w:left="40"/>
              <w:spacing w:after="0"/>
              <w:rPr>
                <w:sz w:val="20"/>
                <w:szCs w:val="20"/>
                <w:color w:val="auto"/>
              </w:rPr>
            </w:pPr>
            <w:r>
              <w:rPr>
                <w:rFonts w:ascii="Arial" w:cs="Arial" w:eastAsia="Arial" w:hAnsi="Arial"/>
                <w:sz w:val="18"/>
                <w:szCs w:val="18"/>
                <w:color w:val="auto"/>
              </w:rPr>
              <w:t>Neil Boehm</w:t>
            </w:r>
          </w:p>
        </w:tc>
        <w:tc>
          <w:tcPr>
            <w:tcW w:w="5060" w:type="dxa"/>
            <w:vAlign w:val="bottom"/>
          </w:tcPr>
          <w:p>
            <w:pPr>
              <w:ind w:left="600"/>
              <w:spacing w:after="0"/>
              <w:rPr>
                <w:sz w:val="20"/>
                <w:szCs w:val="20"/>
                <w:color w:val="auto"/>
              </w:rPr>
            </w:pPr>
            <w:r>
              <w:rPr>
                <w:rFonts w:ascii="Arial" w:cs="Arial" w:eastAsia="Arial" w:hAnsi="Arial"/>
                <w:sz w:val="18"/>
                <w:szCs w:val="18"/>
                <w:color w:val="auto"/>
              </w:rPr>
              <w:t>VP, Engineering and CTO</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407,000</w:t>
            </w: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407,000</w:t>
            </w:r>
          </w:p>
        </w:tc>
      </w:tr>
      <w:tr>
        <w:trPr>
          <w:trHeight w:val="263"/>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Kevin Nash</w:t>
            </w:r>
          </w:p>
        </w:tc>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VP, Finance, CFO and Treasurer</w:t>
            </w: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r>
      <w:tr>
        <w:trPr>
          <w:trHeight w:val="250"/>
        </w:trPr>
        <w:tc>
          <w:tcPr>
            <w:tcW w:w="2960" w:type="dxa"/>
            <w:vAlign w:val="bottom"/>
          </w:tcPr>
          <w:p>
            <w:pPr>
              <w:ind w:left="40"/>
              <w:spacing w:after="0"/>
              <w:rPr>
                <w:sz w:val="20"/>
                <w:szCs w:val="20"/>
                <w:color w:val="auto"/>
              </w:rPr>
            </w:pPr>
            <w:r>
              <w:rPr>
                <w:rFonts w:ascii="Arial" w:cs="Arial" w:eastAsia="Arial" w:hAnsi="Arial"/>
                <w:sz w:val="18"/>
                <w:szCs w:val="18"/>
                <w:color w:val="auto"/>
              </w:rPr>
              <w:t>Matt Chiodo</w:t>
            </w:r>
          </w:p>
        </w:tc>
        <w:tc>
          <w:tcPr>
            <w:tcW w:w="5060" w:type="dxa"/>
            <w:vAlign w:val="bottom"/>
          </w:tcPr>
          <w:p>
            <w:pPr>
              <w:ind w:left="600"/>
              <w:spacing w:after="0"/>
              <w:rPr>
                <w:sz w:val="20"/>
                <w:szCs w:val="20"/>
                <w:color w:val="auto"/>
              </w:rPr>
            </w:pPr>
            <w:r>
              <w:rPr>
                <w:rFonts w:ascii="Arial" w:cs="Arial" w:eastAsia="Arial" w:hAnsi="Arial"/>
                <w:sz w:val="18"/>
                <w:szCs w:val="18"/>
                <w:color w:val="auto"/>
              </w:rPr>
              <w:t>VP, Sales</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380,000</w:t>
            </w: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380,000</w:t>
            </w:r>
          </w:p>
        </w:tc>
      </w:tr>
      <w:tr>
        <w:trPr>
          <w:trHeight w:val="263"/>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Scott Ryan</w:t>
            </w:r>
          </w:p>
        </w:tc>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VP, General Counsel and Corporate Secretary</w:t>
            </w: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Amended and Restated Annual Incentive Performance-Based Bonus Plan</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previously approved the Amended and Restated Annual Incentive Performance-Based Bonus Plan (the "Annual Plan") to further emphasize performance-based compensation. In lieu of participating in the profit-sharing bonus paid to all employees, the Annual Plan provides potential cash-based bonuses for officers based on the achievement of three key performance metrics: Revenue (33.33% weighting); Operating Income (33.33% weighting); and Earnings per Diluted Share (33.33% weighting). The Annual Plan covers all officers, including named executive officers.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beginning of each year, the Compensation Committee reviews and approves a cash bonus target for each officer, as a percentage of base salary for the year. The CEO may earn from 0% - 200% of base salary. The non-CEO named executive officers may earn from 0% to 150% of their base salaries. All performance-related targets are set by, and achievement of targets are approved by, the Compensation Committee and/or the Board of Directors.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our executive officers, the 2019 Annual Plan payout opportunities as a percentage of base salary applicable to each performance metric are shown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Executive Officer</w:t>
            </w:r>
          </w:p>
        </w:tc>
        <w:tc>
          <w:tcPr>
            <w:tcW w:w="3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Annual Plan Threshold</w:t>
            </w:r>
          </w:p>
        </w:tc>
        <w:tc>
          <w:tcPr>
            <w:tcW w:w="1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Annual Plan Target</w:t>
            </w: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Annual Plan Maximum</w:t>
            </w:r>
          </w:p>
        </w:tc>
      </w:tr>
      <w:tr>
        <w:trPr>
          <w:trHeight w:val="25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 Downing</w:t>
            </w:r>
          </w:p>
        </w:tc>
        <w:tc>
          <w:tcPr>
            <w:tcW w:w="3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50"/>
        </w:trPr>
        <w:tc>
          <w:tcPr>
            <w:tcW w:w="5080" w:type="dxa"/>
            <w:vAlign w:val="bottom"/>
          </w:tcPr>
          <w:p>
            <w:pPr>
              <w:ind w:left="40"/>
              <w:spacing w:after="0"/>
              <w:rPr>
                <w:sz w:val="20"/>
                <w:szCs w:val="20"/>
                <w:color w:val="auto"/>
              </w:rPr>
            </w:pPr>
            <w:r>
              <w:rPr>
                <w:rFonts w:ascii="Arial" w:cs="Arial" w:eastAsia="Arial" w:hAnsi="Arial"/>
                <w:sz w:val="18"/>
                <w:szCs w:val="18"/>
                <w:color w:val="auto"/>
              </w:rPr>
              <w:t>Neil Boehm</w:t>
            </w:r>
          </w:p>
        </w:tc>
        <w:tc>
          <w:tcPr>
            <w:tcW w:w="3000" w:type="dxa"/>
            <w:vAlign w:val="bottom"/>
          </w:tcPr>
          <w:p>
            <w:pPr>
              <w:jc w:val="right"/>
              <w:ind w:right="13"/>
              <w:spacing w:after="0"/>
              <w:rPr>
                <w:sz w:val="20"/>
                <w:szCs w:val="20"/>
                <w:color w:val="auto"/>
              </w:rPr>
            </w:pPr>
            <w:r>
              <w:rPr>
                <w:rFonts w:ascii="Arial" w:cs="Arial" w:eastAsia="Arial" w:hAnsi="Arial"/>
                <w:sz w:val="18"/>
                <w:szCs w:val="18"/>
                <w:color w:val="auto"/>
              </w:rPr>
              <w:t>37.5%</w:t>
            </w:r>
          </w:p>
        </w:tc>
        <w:tc>
          <w:tcPr>
            <w:tcW w:w="1620" w:type="dxa"/>
            <w:vAlign w:val="bottom"/>
          </w:tcPr>
          <w:p>
            <w:pPr>
              <w:jc w:val="right"/>
              <w:spacing w:after="0"/>
              <w:rPr>
                <w:sz w:val="20"/>
                <w:szCs w:val="20"/>
                <w:color w:val="auto"/>
              </w:rPr>
            </w:pPr>
            <w:r>
              <w:rPr>
                <w:rFonts w:ascii="Arial" w:cs="Arial" w:eastAsia="Arial" w:hAnsi="Arial"/>
                <w:sz w:val="18"/>
                <w:szCs w:val="18"/>
                <w:color w:val="auto"/>
              </w:rPr>
              <w:t>75%</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6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Kevin Nash</w:t>
            </w:r>
          </w:p>
        </w:tc>
        <w:tc>
          <w:tcPr>
            <w:tcW w:w="3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50"/>
        </w:trPr>
        <w:tc>
          <w:tcPr>
            <w:tcW w:w="5080" w:type="dxa"/>
            <w:vAlign w:val="bottom"/>
          </w:tcPr>
          <w:p>
            <w:pPr>
              <w:ind w:left="40"/>
              <w:spacing w:after="0"/>
              <w:rPr>
                <w:sz w:val="20"/>
                <w:szCs w:val="20"/>
                <w:color w:val="auto"/>
              </w:rPr>
            </w:pPr>
            <w:r>
              <w:rPr>
                <w:rFonts w:ascii="Arial" w:cs="Arial" w:eastAsia="Arial" w:hAnsi="Arial"/>
                <w:sz w:val="18"/>
                <w:szCs w:val="18"/>
                <w:color w:val="auto"/>
              </w:rPr>
              <w:t>Matt Chiodo</w:t>
            </w:r>
          </w:p>
        </w:tc>
        <w:tc>
          <w:tcPr>
            <w:tcW w:w="3000" w:type="dxa"/>
            <w:vAlign w:val="bottom"/>
          </w:tcPr>
          <w:p>
            <w:pPr>
              <w:jc w:val="right"/>
              <w:ind w:right="13"/>
              <w:spacing w:after="0"/>
              <w:rPr>
                <w:sz w:val="20"/>
                <w:szCs w:val="20"/>
                <w:color w:val="auto"/>
              </w:rPr>
            </w:pPr>
            <w:r>
              <w:rPr>
                <w:rFonts w:ascii="Arial" w:cs="Arial" w:eastAsia="Arial" w:hAnsi="Arial"/>
                <w:sz w:val="18"/>
                <w:szCs w:val="18"/>
                <w:color w:val="auto"/>
              </w:rPr>
              <w:t>37.5%</w:t>
            </w:r>
          </w:p>
        </w:tc>
        <w:tc>
          <w:tcPr>
            <w:tcW w:w="1620" w:type="dxa"/>
            <w:vAlign w:val="bottom"/>
          </w:tcPr>
          <w:p>
            <w:pPr>
              <w:jc w:val="right"/>
              <w:spacing w:after="0"/>
              <w:rPr>
                <w:sz w:val="20"/>
                <w:szCs w:val="20"/>
                <w:color w:val="auto"/>
              </w:rPr>
            </w:pPr>
            <w:r>
              <w:rPr>
                <w:rFonts w:ascii="Arial" w:cs="Arial" w:eastAsia="Arial" w:hAnsi="Arial"/>
                <w:sz w:val="18"/>
                <w:szCs w:val="18"/>
                <w:color w:val="auto"/>
              </w:rPr>
              <w:t>75%</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6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Scott Ryan</w:t>
            </w:r>
          </w:p>
        </w:tc>
        <w:tc>
          <w:tcPr>
            <w:tcW w:w="3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 changes were made to the Annual Plan target opportunities for executive officers in 2020, as the target and maximum opportunity levels were appropriate based on the competitive pay range for each position. The foregoing payout opportunities are multiplied by the weighting factor of a particular performance metric to determine the amounts of cash bonuses payable to officers to the extent the threshold, target, or maximum for a performance metric is met or exceeded. To the extent performance exceeds the established threshold or target, as applicable, for any performance metric, but does not meet or exceed the established target or maximum, as applicable, linear interpolation is used to determine the pro rata portion of the performance bonus. The Compensation Committee also has discretion to increase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49" w:right="239" w:bottom="1440" w:gutter="0" w:footer="0" w:header="0"/>
        </w:sectPr>
      </w:pPr>
    </w:p>
    <w:bookmarkStart w:id="28" w:name="page29"/>
    <w:bookmarkEnd w:id="28"/>
    <w:p>
      <w:pPr>
        <w:jc w:val="both"/>
        <w:spacing w:after="0" w:line="262" w:lineRule="auto"/>
        <w:rPr>
          <w:sz w:val="20"/>
          <w:szCs w:val="20"/>
          <w:color w:val="auto"/>
        </w:rPr>
      </w:pPr>
      <w:r>
        <w:rPr>
          <w:rFonts w:ascii="Arial" w:cs="Arial" w:eastAsia="Arial" w:hAnsi="Arial"/>
          <w:sz w:val="18"/>
          <w:szCs w:val="18"/>
          <w:color w:val="auto"/>
        </w:rPr>
        <w:t>(or decrease) such performance-based bonuses using its judgment, provided that bonuses are not in any event to exceed 250% of the applicable base salary.</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2019 and 2020, the Annual Plan uses the same three key performance metrics and weighting: Revenue (weighted 33.33%), Operating Income (weighted 33.33%) and Earnings per Diluted Share (33.33%), since such metrics are not only appropriate measures of performance, but also align with the Company's overall business strategy.</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determining whether annual cash bonuses are paid under the Annual Plan, actual performance for the year is measured against specified target levels for each performance metric. The target for the three performance metrics reflects a level of performance, which at the time set was anticipated to be challenging but achievable. The threshold level is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an additional 100% of the target award was warranted.</w:t>
      </w:r>
    </w:p>
    <w:p>
      <w:pPr>
        <w:spacing w:after="0" w:line="20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2019, pre-established target performance (along with pre-established thresholds and maximums) and actual results for the performance metrics are as follows:</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29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Performance Metric</w:t>
            </w:r>
          </w:p>
        </w:tc>
        <w:tc>
          <w:tcPr>
            <w:tcW w:w="16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Weight</w:t>
            </w:r>
          </w:p>
        </w:tc>
        <w:tc>
          <w:tcPr>
            <w:tcW w:w="192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Threshold*</w:t>
            </w:r>
          </w:p>
        </w:tc>
        <w:tc>
          <w:tcPr>
            <w:tcW w:w="18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Target*</w:t>
            </w: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Maximum*</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 Performance*</w:t>
            </w:r>
          </w:p>
        </w:tc>
      </w:tr>
      <w:tr>
        <w:trPr>
          <w:trHeight w:val="25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33.33%</w:t>
            </w:r>
          </w:p>
        </w:tc>
        <w:tc>
          <w:tcPr>
            <w:tcW w:w="19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$1,504,000</w:t>
            </w:r>
          </w:p>
        </w:tc>
        <w:tc>
          <w:tcPr>
            <w:tcW w:w="1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$1,880,000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$1,858,897</w:t>
            </w:r>
          </w:p>
        </w:tc>
      </w:tr>
      <w:tr>
        <w:trPr>
          <w:trHeight w:val="250"/>
        </w:trPr>
        <w:tc>
          <w:tcPr>
            <w:tcW w:w="29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40" w:type="dxa"/>
            <w:vAlign w:val="bottom"/>
          </w:tcPr>
          <w:p>
            <w:pPr>
              <w:jc w:val="right"/>
              <w:ind w:right="194"/>
              <w:spacing w:after="0"/>
              <w:rPr>
                <w:sz w:val="20"/>
                <w:szCs w:val="20"/>
                <w:color w:val="auto"/>
              </w:rPr>
            </w:pPr>
            <w:r>
              <w:rPr>
                <w:rFonts w:ascii="Arial" w:cs="Arial" w:eastAsia="Arial" w:hAnsi="Arial"/>
                <w:sz w:val="18"/>
                <w:szCs w:val="18"/>
                <w:color w:val="auto"/>
              </w:rPr>
              <w:t>33.33%</w:t>
            </w:r>
          </w:p>
        </w:tc>
        <w:tc>
          <w:tcPr>
            <w:tcW w:w="1920" w:type="dxa"/>
            <w:vAlign w:val="bottom"/>
          </w:tcPr>
          <w:p>
            <w:pPr>
              <w:jc w:val="right"/>
              <w:ind w:right="314"/>
              <w:spacing w:after="0"/>
              <w:rPr>
                <w:sz w:val="20"/>
                <w:szCs w:val="20"/>
                <w:color w:val="auto"/>
              </w:rPr>
            </w:pPr>
            <w:r>
              <w:rPr>
                <w:rFonts w:ascii="Arial" w:cs="Arial" w:eastAsia="Arial" w:hAnsi="Arial"/>
                <w:sz w:val="18"/>
                <w:szCs w:val="18"/>
                <w:color w:val="auto"/>
              </w:rPr>
              <w:t>$411,300</w:t>
            </w: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$514,126</w:t>
            </w:r>
          </w:p>
        </w:tc>
        <w:tc>
          <w:tcPr>
            <w:tcW w:w="1400" w:type="dxa"/>
            <w:vAlign w:val="bottom"/>
          </w:tcPr>
          <w:p>
            <w:pPr>
              <w:jc w:val="right"/>
              <w:spacing w:after="0"/>
              <w:rPr>
                <w:sz w:val="20"/>
                <w:szCs w:val="20"/>
                <w:color w:val="auto"/>
              </w:rPr>
            </w:pPr>
            <w:r>
              <w:rPr>
                <w:rFonts w:ascii="Arial" w:cs="Arial" w:eastAsia="Arial" w:hAnsi="Arial"/>
                <w:sz w:val="18"/>
                <w:szCs w:val="18"/>
                <w:color w:val="auto"/>
              </w:rPr>
              <w:t>$616,951</w:t>
            </w:r>
          </w:p>
        </w:tc>
        <w:tc>
          <w:tcPr>
            <w:tcW w:w="1540" w:type="dxa"/>
            <w:vAlign w:val="bottom"/>
          </w:tcPr>
          <w:p>
            <w:pPr>
              <w:jc w:val="right"/>
              <w:spacing w:after="0"/>
              <w:rPr>
                <w:sz w:val="20"/>
                <w:szCs w:val="20"/>
                <w:color w:val="auto"/>
              </w:rPr>
            </w:pPr>
            <w:r>
              <w:rPr>
                <w:rFonts w:ascii="Arial" w:cs="Arial" w:eastAsia="Arial" w:hAnsi="Arial"/>
                <w:sz w:val="18"/>
                <w:szCs w:val="18"/>
                <w:color w:val="auto"/>
              </w:rPr>
              <w:t>$505,447</w:t>
            </w:r>
          </w:p>
        </w:tc>
      </w:tr>
      <w:tr>
        <w:trPr>
          <w:trHeight w:val="26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Diluted Share</w:t>
            </w:r>
          </w:p>
        </w:tc>
        <w:tc>
          <w:tcPr>
            <w:tcW w:w="16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33.33%</w:t>
            </w:r>
          </w:p>
        </w:tc>
        <w:tc>
          <w:tcPr>
            <w:tcW w:w="19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$1.384</w:t>
            </w:r>
          </w:p>
        </w:tc>
        <w:tc>
          <w:tcPr>
            <w:tcW w:w="1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$1.730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r>
    </w:tbl>
    <w:p>
      <w:pPr>
        <w:spacing w:after="0" w:line="32" w:lineRule="exact"/>
        <w:rPr>
          <w:sz w:val="20"/>
          <w:szCs w:val="20"/>
          <w:color w:val="auto"/>
        </w:rPr>
      </w:pPr>
    </w:p>
    <w:p>
      <w:pPr>
        <w:ind w:left="100" w:right="180" w:firstLine="3"/>
        <w:spacing w:after="0" w:line="250" w:lineRule="auto"/>
        <w:tabs>
          <w:tab w:leader="none" w:pos="1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in thousands (000) except for per share amounts. Amounts may be modified in the discretion of the Compensation Committee as appropriate to ensure the performance metrics are not unsuitable. Threshold, Target, and Maximum for Operating Income and Earnings per Diluted Share were adjusted to address the estimated impact of tariffs and the Actual Performance was similarly adjusted with respect to the actual impact of tariffs.</w:t>
      </w:r>
    </w:p>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actual Revenue, Operating Income, and Earnings per Diluted Share results compared to the pre-established targets (adjusted for the impact of tariffs) and performance of the named executive officers, the payments for 2019 under the Annual Plan are shown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35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2019 Annual Plan</w:t>
            </w:r>
          </w:p>
        </w:tc>
        <w:tc>
          <w:tcPr>
            <w:tcW w:w="1820" w:type="dxa"/>
            <w:vAlign w:val="bottom"/>
          </w:tcPr>
          <w:p>
            <w:pPr>
              <w:jc w:val="right"/>
              <w:ind w:right="275"/>
              <w:spacing w:after="0"/>
              <w:rPr>
                <w:sz w:val="20"/>
                <w:szCs w:val="20"/>
                <w:color w:val="auto"/>
              </w:rPr>
            </w:pPr>
            <w:r>
              <w:rPr>
                <w:rFonts w:ascii="Arial" w:cs="Arial" w:eastAsia="Arial" w:hAnsi="Arial"/>
                <w:sz w:val="14"/>
                <w:szCs w:val="14"/>
                <w:b w:val="1"/>
                <w:bCs w:val="1"/>
                <w:color w:val="auto"/>
              </w:rPr>
              <w:t>2019 Annual Plan</w:t>
            </w:r>
          </w:p>
        </w:tc>
      </w:tr>
      <w:tr>
        <w:trPr>
          <w:trHeight w:val="196"/>
        </w:trPr>
        <w:tc>
          <w:tcPr>
            <w:tcW w:w="610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Executive Officer</w:t>
            </w:r>
          </w:p>
        </w:tc>
        <w:tc>
          <w:tcPr>
            <w:tcW w:w="35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Performance Bonus</w:t>
            </w:r>
          </w:p>
        </w:tc>
        <w:tc>
          <w:tcPr>
            <w:tcW w:w="1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Discretionary Bonus</w:t>
            </w:r>
          </w:p>
        </w:tc>
      </w:tr>
      <w:tr>
        <w:trPr>
          <w:trHeight w:val="256"/>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 Downing</w:t>
            </w:r>
          </w:p>
        </w:tc>
        <w:tc>
          <w:tcPr>
            <w:tcW w:w="35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$735,272</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50"/>
        </w:trPr>
        <w:tc>
          <w:tcPr>
            <w:tcW w:w="6100" w:type="dxa"/>
            <w:vAlign w:val="bottom"/>
          </w:tcPr>
          <w:p>
            <w:pPr>
              <w:ind w:left="40"/>
              <w:spacing w:after="0"/>
              <w:rPr>
                <w:sz w:val="20"/>
                <w:szCs w:val="20"/>
                <w:color w:val="auto"/>
              </w:rPr>
            </w:pPr>
            <w:r>
              <w:rPr>
                <w:rFonts w:ascii="Arial" w:cs="Arial" w:eastAsia="Arial" w:hAnsi="Arial"/>
                <w:sz w:val="18"/>
                <w:szCs w:val="18"/>
                <w:color w:val="auto"/>
              </w:rPr>
              <w:t>Neil Boehm</w:t>
            </w:r>
          </w:p>
        </w:tc>
        <w:tc>
          <w:tcPr>
            <w:tcW w:w="3500" w:type="dxa"/>
            <w:vAlign w:val="bottom"/>
          </w:tcPr>
          <w:p>
            <w:pPr>
              <w:jc w:val="right"/>
              <w:ind w:right="55"/>
              <w:spacing w:after="0"/>
              <w:rPr>
                <w:sz w:val="20"/>
                <w:szCs w:val="20"/>
                <w:color w:val="auto"/>
              </w:rPr>
            </w:pPr>
            <w:r>
              <w:rPr>
                <w:rFonts w:ascii="Arial" w:cs="Arial" w:eastAsia="Arial" w:hAnsi="Arial"/>
                <w:sz w:val="18"/>
                <w:szCs w:val="18"/>
                <w:color w:val="auto"/>
              </w:rPr>
              <w:t>$299,256</w:t>
            </w: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63"/>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Kevin Nash</w:t>
            </w:r>
          </w:p>
        </w:tc>
        <w:tc>
          <w:tcPr>
            <w:tcW w:w="35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$294,109</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50"/>
        </w:trPr>
        <w:tc>
          <w:tcPr>
            <w:tcW w:w="6100" w:type="dxa"/>
            <w:vAlign w:val="bottom"/>
          </w:tcPr>
          <w:p>
            <w:pPr>
              <w:ind w:left="40"/>
              <w:spacing w:after="0"/>
              <w:rPr>
                <w:sz w:val="20"/>
                <w:szCs w:val="20"/>
                <w:color w:val="auto"/>
              </w:rPr>
            </w:pPr>
            <w:r>
              <w:rPr>
                <w:rFonts w:ascii="Arial" w:cs="Arial" w:eastAsia="Arial" w:hAnsi="Arial"/>
                <w:sz w:val="18"/>
                <w:szCs w:val="18"/>
                <w:color w:val="auto"/>
              </w:rPr>
              <w:t>Matt Chiodo</w:t>
            </w:r>
          </w:p>
        </w:tc>
        <w:tc>
          <w:tcPr>
            <w:tcW w:w="3500" w:type="dxa"/>
            <w:vAlign w:val="bottom"/>
          </w:tcPr>
          <w:p>
            <w:pPr>
              <w:jc w:val="right"/>
              <w:ind w:right="55"/>
              <w:spacing w:after="0"/>
              <w:rPr>
                <w:sz w:val="20"/>
                <w:szCs w:val="20"/>
                <w:color w:val="auto"/>
              </w:rPr>
            </w:pPr>
            <w:r>
              <w:rPr>
                <w:rFonts w:ascii="Arial" w:cs="Arial" w:eastAsia="Arial" w:hAnsi="Arial"/>
                <w:sz w:val="18"/>
                <w:szCs w:val="18"/>
                <w:color w:val="auto"/>
              </w:rPr>
              <w:t>$279,403</w:t>
            </w: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63"/>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Scott Ryan</w:t>
            </w:r>
          </w:p>
        </w:tc>
        <w:tc>
          <w:tcPr>
            <w:tcW w:w="35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$257,345</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2020, the Compensation Committee has established thresholds, targets, and maximums for Revenue, Operating Income, and Earnings per Diluted Share (adjusted for the impact of tariffs) as the Annual Plan performance metrics.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Omnibus Incentive Plan and Long-Term Incentive Program</w:t>
      </w:r>
    </w:p>
    <w:p>
      <w:pPr>
        <w:spacing w:after="0" w:line="3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2019 Omnibus Incentive Plan ("OIP") has been approved by shareholders. Pursuant to the OIP, the Company implemented the Long-Term Incentive Plan (the"Long-Term Plan"). The Long-Term Plan provides officers, including our named executive officers, with incentive awards that serve an important role by balancing other applicable short-term goals with longer term shareholder value creation, while minimizing risk-taking behaviors that could negatively affect long-term results.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Long-Term Plan uses three-year performance periods and selected performance objectives to determine equity incentive awards so as to balance short-term goals under the Annual Plan, with performance objectives associated with longer-term shareholder value creation under the Long-Term Plan. Under the Long-Term Plan, the Board of Directors and/or the Compensation Committee determines the amount of the long-term incentive awards. Each officer's award opportunity is based on a target dollar value (determined toward the very beginning of the performance period) as a percentage of base salary assigned to his or her position based on market comparisons for similar positions,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71" w:right="239" w:bottom="1440" w:gutter="0" w:footer="0" w:header="0"/>
        </w:sectPr>
      </w:pPr>
    </w:p>
    <w:bookmarkStart w:id="29" w:name="page30"/>
    <w:bookmarkEnd w:id="29"/>
    <w:p>
      <w:pPr>
        <w:jc w:val="both"/>
        <w:spacing w:after="0" w:line="262" w:lineRule="auto"/>
        <w:rPr>
          <w:sz w:val="20"/>
          <w:szCs w:val="20"/>
          <w:color w:val="auto"/>
        </w:rPr>
      </w:pPr>
      <w:r>
        <w:rPr>
          <w:rFonts w:ascii="Arial" w:cs="Arial" w:eastAsia="Arial" w:hAnsi="Arial"/>
          <w:sz w:val="18"/>
          <w:szCs w:val="18"/>
          <w:color w:val="auto"/>
        </w:rPr>
        <w:t>using both a peer group and general industry market data. The following target opportunities apply for the 2020-2022 performance period under the Long-Term Incentive Plan: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4020" w:type="dxa"/>
            <w:vAlign w:val="bottom"/>
          </w:tcPr>
          <w:p>
            <w:pPr>
              <w:jc w:val="center"/>
              <w:ind w:left="1937"/>
              <w:spacing w:after="0"/>
              <w:rPr>
                <w:sz w:val="20"/>
                <w:szCs w:val="20"/>
                <w:color w:val="auto"/>
              </w:rPr>
            </w:pPr>
            <w:r>
              <w:rPr>
                <w:rFonts w:ascii="Arial" w:cs="Arial" w:eastAsia="Arial" w:hAnsi="Arial"/>
                <w:sz w:val="14"/>
                <w:szCs w:val="14"/>
                <w:b w:val="1"/>
                <w:bCs w:val="1"/>
                <w:color w:val="auto"/>
              </w:rPr>
              <w:t>Long-Term Plan Target</w:t>
            </w:r>
          </w:p>
        </w:tc>
      </w:tr>
      <w:tr>
        <w:trPr>
          <w:trHeight w:val="162"/>
        </w:trPr>
        <w:tc>
          <w:tcPr>
            <w:tcW w:w="7400" w:type="dxa"/>
            <w:vAlign w:val="bottom"/>
          </w:tcPr>
          <w:p>
            <w:pPr>
              <w:spacing w:after="0"/>
              <w:rPr>
                <w:sz w:val="14"/>
                <w:szCs w:val="14"/>
                <w:color w:val="auto"/>
              </w:rPr>
            </w:pPr>
          </w:p>
        </w:tc>
        <w:tc>
          <w:tcPr>
            <w:tcW w:w="4020" w:type="dxa"/>
            <w:vAlign w:val="bottom"/>
          </w:tcPr>
          <w:p>
            <w:pPr>
              <w:jc w:val="center"/>
              <w:ind w:left="1917"/>
              <w:spacing w:after="0"/>
              <w:rPr>
                <w:sz w:val="20"/>
                <w:szCs w:val="20"/>
                <w:color w:val="auto"/>
              </w:rPr>
            </w:pPr>
            <w:r>
              <w:rPr>
                <w:rFonts w:ascii="Arial" w:cs="Arial" w:eastAsia="Arial" w:hAnsi="Arial"/>
                <w:sz w:val="14"/>
                <w:szCs w:val="14"/>
                <w:b w:val="1"/>
                <w:bCs w:val="1"/>
                <w:color w:val="auto"/>
              </w:rPr>
              <w:t>Opportunity Percentage of</w:t>
            </w:r>
          </w:p>
        </w:tc>
      </w:tr>
      <w:tr>
        <w:trPr>
          <w:trHeight w:val="196"/>
        </w:trPr>
        <w:tc>
          <w:tcPr>
            <w:tcW w:w="7400" w:type="dxa"/>
            <w:vAlign w:val="bottom"/>
            <w:tcBorders>
              <w:bottom w:val="single" w:sz="8" w:color="auto"/>
            </w:tcBorders>
          </w:tcPr>
          <w:p>
            <w:pPr>
              <w:ind w:left="4120"/>
              <w:spacing w:after="0"/>
              <w:rPr>
                <w:sz w:val="20"/>
                <w:szCs w:val="20"/>
                <w:color w:val="auto"/>
              </w:rPr>
            </w:pPr>
            <w:r>
              <w:rPr>
                <w:rFonts w:ascii="Arial" w:cs="Arial" w:eastAsia="Arial" w:hAnsi="Arial"/>
                <w:sz w:val="14"/>
                <w:szCs w:val="14"/>
                <w:b w:val="1"/>
                <w:bCs w:val="1"/>
                <w:color w:val="auto"/>
              </w:rPr>
              <w:t>Executive Officer</w:t>
            </w:r>
          </w:p>
        </w:tc>
        <w:tc>
          <w:tcPr>
            <w:tcW w:w="4020" w:type="dxa"/>
            <w:vAlign w:val="bottom"/>
            <w:tcBorders>
              <w:bottom w:val="single" w:sz="8" w:color="auto"/>
            </w:tcBorders>
          </w:tcPr>
          <w:p>
            <w:pPr>
              <w:jc w:val="center"/>
              <w:ind w:left="1917"/>
              <w:spacing w:after="0"/>
              <w:rPr>
                <w:sz w:val="20"/>
                <w:szCs w:val="20"/>
                <w:color w:val="auto"/>
              </w:rPr>
            </w:pPr>
            <w:r>
              <w:rPr>
                <w:rFonts w:ascii="Arial" w:cs="Arial" w:eastAsia="Arial" w:hAnsi="Arial"/>
                <w:sz w:val="14"/>
                <w:szCs w:val="14"/>
                <w:b w:val="1"/>
                <w:bCs w:val="1"/>
                <w:color w:val="auto"/>
              </w:rPr>
              <w:t>Base Salary for 2020-2022</w:t>
            </w:r>
          </w:p>
        </w:tc>
      </w:tr>
      <w:tr>
        <w:trPr>
          <w:trHeight w:val="256"/>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 Downing</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50"/>
        </w:trPr>
        <w:tc>
          <w:tcPr>
            <w:tcW w:w="7400" w:type="dxa"/>
            <w:vAlign w:val="bottom"/>
          </w:tcPr>
          <w:p>
            <w:pPr>
              <w:ind w:left="40"/>
              <w:spacing w:after="0"/>
              <w:rPr>
                <w:sz w:val="20"/>
                <w:szCs w:val="20"/>
                <w:color w:val="auto"/>
              </w:rPr>
            </w:pPr>
            <w:r>
              <w:rPr>
                <w:rFonts w:ascii="Arial" w:cs="Arial" w:eastAsia="Arial" w:hAnsi="Arial"/>
                <w:sz w:val="18"/>
                <w:szCs w:val="18"/>
                <w:color w:val="auto"/>
              </w:rPr>
              <w:t>Neil Boehm</w:t>
            </w:r>
          </w:p>
        </w:tc>
        <w:tc>
          <w:tcPr>
            <w:tcW w:w="40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63"/>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Kevin Nash</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50"/>
        </w:trPr>
        <w:tc>
          <w:tcPr>
            <w:tcW w:w="7400" w:type="dxa"/>
            <w:vAlign w:val="bottom"/>
          </w:tcPr>
          <w:p>
            <w:pPr>
              <w:ind w:left="40"/>
              <w:spacing w:after="0"/>
              <w:rPr>
                <w:sz w:val="20"/>
                <w:szCs w:val="20"/>
                <w:color w:val="auto"/>
              </w:rPr>
            </w:pPr>
            <w:r>
              <w:rPr>
                <w:rFonts w:ascii="Arial" w:cs="Arial" w:eastAsia="Arial" w:hAnsi="Arial"/>
                <w:sz w:val="18"/>
                <w:szCs w:val="18"/>
                <w:color w:val="auto"/>
              </w:rPr>
              <w:t>Matt Chiodo</w:t>
            </w:r>
          </w:p>
        </w:tc>
        <w:tc>
          <w:tcPr>
            <w:tcW w:w="40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63"/>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Scott Ryan</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These Long-Term Plan Target Opportunity Percentage of Base Salary for 2020 - 2022 have increased from those applicable for 2019 - 2021 (which were 200% for Mr. Downing and 100% for other named executive officers) in lieu of base salary increases as discussed above.</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Achievement at threshold performance yields 50% of the target award and achievement of the maximum performance yields another 100% of the target award. To the extent performance exceeds the established threshold or target, as applicable, for an applicable performance objective, but does not meet or exceed the established target or maximum, as applicable, linear interpolation is used to determine the pro rata portion of such award.</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Seventy percent (70%) of the total value of the target long-term incentive opportunity is delivered through performance share awards ("PSAs") and the other thirty percent (30%) through restricted stock ("RS"). Both PSAs and RS are forms of performance-based incentive compensation because PSAs involve performance objectives that provide direct alignment with shareholder interests and the value of RS fluctuates based on stock price performance.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requiring achievement of performance objectives in respect of PSAs, PSAs and RS require the executive officers to remain employed with the Company for three years from the grant date (unless the executive officer attains retirement age, departs for good reason, dies, or becomes disabled or a change in control occurs whereby an award may be paid or partially paid).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Shares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Long-Term Plan is designed to provide PSAs for officers, including our named executive officers. PSAs are tied to the achievement of two performance objectives, each weighted equally: earnings before interest, taxes, depreciation and amortization (EBITDA) and return on invested capital (ROIC), in each case adjusted as determined by the Compensation Committee. Each performance objective is based on a three-year performance period (2020-2022) with a performance range that can result in PSAs of 0% for failure to achieve threshold, 50% of target for achieving threshold, to 200% of the target opportunity for achieving maximum.</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EBITDA drives the ability to commit resources to continued growth, but is also a measure of ability to provide shareholder return. It also drives profitable sales growth and optimizes the Company's cost structure. ROIC ensures management uses the Company's capital in an effective manner that drives shareholder value. Since the value of PSAs is tied to the Company's actual performance in financial objectives, it aligns the officers' interests with those of shareholders. The target opportunities of PSAs for the named executive officers are shown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6020" w:type="dxa"/>
            <w:vAlign w:val="bottom"/>
          </w:tcPr>
          <w:p>
            <w:pPr>
              <w:jc w:val="center"/>
              <w:ind w:left="3997"/>
              <w:spacing w:after="0"/>
              <w:rPr>
                <w:sz w:val="20"/>
                <w:szCs w:val="20"/>
                <w:color w:val="auto"/>
              </w:rPr>
            </w:pPr>
            <w:r>
              <w:rPr>
                <w:rFonts w:ascii="Arial" w:cs="Arial" w:eastAsia="Arial" w:hAnsi="Arial"/>
                <w:sz w:val="14"/>
                <w:szCs w:val="14"/>
                <w:b w:val="1"/>
                <w:bCs w:val="1"/>
                <w:color w:val="auto"/>
              </w:rPr>
              <w:t>Number of PSAs Awarded</w:t>
            </w:r>
          </w:p>
        </w:tc>
      </w:tr>
      <w:tr>
        <w:trPr>
          <w:trHeight w:val="162"/>
        </w:trPr>
        <w:tc>
          <w:tcPr>
            <w:tcW w:w="5400" w:type="dxa"/>
            <w:vAlign w:val="bottom"/>
          </w:tcPr>
          <w:p>
            <w:pPr>
              <w:spacing w:after="0"/>
              <w:rPr>
                <w:sz w:val="14"/>
                <w:szCs w:val="14"/>
                <w:color w:val="auto"/>
              </w:rPr>
            </w:pPr>
          </w:p>
        </w:tc>
        <w:tc>
          <w:tcPr>
            <w:tcW w:w="6020" w:type="dxa"/>
            <w:vAlign w:val="bottom"/>
          </w:tcPr>
          <w:p>
            <w:pPr>
              <w:jc w:val="center"/>
              <w:ind w:left="3997"/>
              <w:spacing w:after="0"/>
              <w:rPr>
                <w:sz w:val="20"/>
                <w:szCs w:val="20"/>
                <w:color w:val="auto"/>
              </w:rPr>
            </w:pPr>
            <w:r>
              <w:rPr>
                <w:rFonts w:ascii="Arial" w:cs="Arial" w:eastAsia="Arial" w:hAnsi="Arial"/>
                <w:sz w:val="14"/>
                <w:szCs w:val="14"/>
                <w:b w:val="1"/>
                <w:bCs w:val="1"/>
                <w:color w:val="auto"/>
              </w:rPr>
              <w:t>in 2020 (Target) for 2020-</w:t>
            </w:r>
          </w:p>
        </w:tc>
      </w:tr>
      <w:tr>
        <w:trPr>
          <w:trHeight w:val="196"/>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Officer</w:t>
            </w:r>
          </w:p>
        </w:tc>
        <w:tc>
          <w:tcPr>
            <w:tcW w:w="6020" w:type="dxa"/>
            <w:vAlign w:val="bottom"/>
            <w:tcBorders>
              <w:bottom w:val="single" w:sz="8" w:color="auto"/>
            </w:tcBorders>
          </w:tcPr>
          <w:p>
            <w:pPr>
              <w:jc w:val="center"/>
              <w:ind w:left="4017"/>
              <w:spacing w:after="0"/>
              <w:rPr>
                <w:sz w:val="20"/>
                <w:szCs w:val="20"/>
                <w:color w:val="auto"/>
              </w:rPr>
            </w:pPr>
            <w:r>
              <w:rPr>
                <w:rFonts w:ascii="Arial" w:cs="Arial" w:eastAsia="Arial" w:hAnsi="Arial"/>
                <w:sz w:val="14"/>
                <w:szCs w:val="14"/>
                <w:b w:val="1"/>
                <w:bCs w:val="1"/>
                <w:color w:val="auto"/>
              </w:rPr>
              <w:t>2022</w:t>
            </w:r>
          </w:p>
        </w:tc>
      </w:tr>
      <w:tr>
        <w:trPr>
          <w:trHeight w:val="256"/>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 Downing</w:t>
            </w:r>
          </w:p>
        </w:tc>
        <w:tc>
          <w:tcPr>
            <w:tcW w:w="6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41,516</w:t>
            </w:r>
          </w:p>
        </w:tc>
      </w:tr>
      <w:tr>
        <w:trPr>
          <w:trHeight w:val="250"/>
        </w:trPr>
        <w:tc>
          <w:tcPr>
            <w:tcW w:w="5400" w:type="dxa"/>
            <w:vAlign w:val="bottom"/>
          </w:tcPr>
          <w:p>
            <w:pPr>
              <w:ind w:left="40"/>
              <w:spacing w:after="0"/>
              <w:rPr>
                <w:sz w:val="20"/>
                <w:szCs w:val="20"/>
                <w:color w:val="auto"/>
              </w:rPr>
            </w:pPr>
            <w:r>
              <w:rPr>
                <w:rFonts w:ascii="Arial" w:cs="Arial" w:eastAsia="Arial" w:hAnsi="Arial"/>
                <w:sz w:val="18"/>
                <w:szCs w:val="18"/>
                <w:color w:val="auto"/>
              </w:rPr>
              <w:t>Neil Boehm</w:t>
            </w:r>
          </w:p>
        </w:tc>
        <w:tc>
          <w:tcPr>
            <w:tcW w:w="6020" w:type="dxa"/>
            <w:vAlign w:val="bottom"/>
          </w:tcPr>
          <w:p>
            <w:pPr>
              <w:jc w:val="right"/>
              <w:ind w:right="17"/>
              <w:spacing w:after="0"/>
              <w:rPr>
                <w:sz w:val="20"/>
                <w:szCs w:val="20"/>
                <w:color w:val="auto"/>
              </w:rPr>
            </w:pPr>
            <w:r>
              <w:rPr>
                <w:rFonts w:ascii="Arial" w:cs="Arial" w:eastAsia="Arial" w:hAnsi="Arial"/>
                <w:sz w:val="18"/>
                <w:szCs w:val="18"/>
                <w:color w:val="auto"/>
              </w:rPr>
              <w:t>14,081</w:t>
            </w:r>
          </w:p>
        </w:tc>
      </w:tr>
      <w:tr>
        <w:trPr>
          <w:trHeight w:val="263"/>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Kevin Nash</w:t>
            </w:r>
          </w:p>
        </w:tc>
        <w:tc>
          <w:tcPr>
            <w:tcW w:w="6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12,916</w:t>
            </w:r>
          </w:p>
        </w:tc>
      </w:tr>
      <w:tr>
        <w:trPr>
          <w:trHeight w:val="250"/>
        </w:trPr>
        <w:tc>
          <w:tcPr>
            <w:tcW w:w="5400" w:type="dxa"/>
            <w:vAlign w:val="bottom"/>
          </w:tcPr>
          <w:p>
            <w:pPr>
              <w:ind w:left="40"/>
              <w:spacing w:after="0"/>
              <w:rPr>
                <w:sz w:val="20"/>
                <w:szCs w:val="20"/>
                <w:color w:val="auto"/>
              </w:rPr>
            </w:pPr>
            <w:r>
              <w:rPr>
                <w:rFonts w:ascii="Arial" w:cs="Arial" w:eastAsia="Arial" w:hAnsi="Arial"/>
                <w:sz w:val="18"/>
                <w:szCs w:val="18"/>
                <w:color w:val="auto"/>
              </w:rPr>
              <w:t>Matt Chiodo</w:t>
            </w:r>
          </w:p>
        </w:tc>
        <w:tc>
          <w:tcPr>
            <w:tcW w:w="6020" w:type="dxa"/>
            <w:vAlign w:val="bottom"/>
          </w:tcPr>
          <w:p>
            <w:pPr>
              <w:jc w:val="right"/>
              <w:ind w:right="17"/>
              <w:spacing w:after="0"/>
              <w:rPr>
                <w:sz w:val="20"/>
                <w:szCs w:val="20"/>
                <w:color w:val="auto"/>
              </w:rPr>
            </w:pPr>
            <w:r>
              <w:rPr>
                <w:rFonts w:ascii="Arial" w:cs="Arial" w:eastAsia="Arial" w:hAnsi="Arial"/>
                <w:sz w:val="18"/>
                <w:szCs w:val="18"/>
                <w:color w:val="auto"/>
              </w:rPr>
              <w:t>11,394</w:t>
            </w:r>
          </w:p>
        </w:tc>
      </w:tr>
      <w:tr>
        <w:trPr>
          <w:trHeight w:val="263"/>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Scott Ryan</w:t>
            </w:r>
          </w:p>
        </w:tc>
        <w:tc>
          <w:tcPr>
            <w:tcW w:w="6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10,091</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Awards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1" w:right="23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The other 30% of the total value of the long-term incentive opportunity consists of RS awards. RS incentivizes and rewards executives for improving long-term stock value and serves as a retention tool. Under the Long-Term Plan, RS will generally be granted in February to officers, including our named executive officers, and cliff vest on the third anniversary of the grant. The RS awarded in 2020, based on the target opportunities, for the executive officers are shown in the table below:</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5980" w:type="dxa"/>
            <w:vAlign w:val="bottom"/>
          </w:tcPr>
          <w:p>
            <w:pPr>
              <w:jc w:val="right"/>
              <w:spacing w:after="0"/>
              <w:rPr>
                <w:sz w:val="20"/>
                <w:szCs w:val="20"/>
                <w:color w:val="auto"/>
              </w:rPr>
            </w:pPr>
            <w:r>
              <w:rPr>
                <w:rFonts w:ascii="Arial" w:cs="Arial" w:eastAsia="Arial" w:hAnsi="Arial"/>
                <w:sz w:val="14"/>
                <w:szCs w:val="14"/>
                <w:b w:val="1"/>
                <w:bCs w:val="1"/>
                <w:color w:val="auto"/>
              </w:rPr>
              <w:t>Number of RS Awarded in</w:t>
            </w:r>
          </w:p>
        </w:tc>
      </w:tr>
      <w:tr>
        <w:trPr>
          <w:trHeight w:val="196"/>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 Officer</w:t>
            </w:r>
          </w:p>
        </w:tc>
        <w:tc>
          <w:tcPr>
            <w:tcW w:w="59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 for 2020-2022</w:t>
            </w:r>
          </w:p>
        </w:tc>
      </w:tr>
      <w:tr>
        <w:trPr>
          <w:trHeight w:val="25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 Downing</w:t>
            </w:r>
          </w:p>
        </w:tc>
        <w:tc>
          <w:tcPr>
            <w:tcW w:w="5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17,792</w:t>
            </w: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Neil Boehm</w:t>
            </w:r>
          </w:p>
        </w:tc>
        <w:tc>
          <w:tcPr>
            <w:tcW w:w="5980" w:type="dxa"/>
            <w:vAlign w:val="bottom"/>
          </w:tcPr>
          <w:p>
            <w:pPr>
              <w:jc w:val="right"/>
              <w:ind w:right="35"/>
              <w:spacing w:after="0"/>
              <w:rPr>
                <w:sz w:val="20"/>
                <w:szCs w:val="20"/>
                <w:color w:val="auto"/>
              </w:rPr>
            </w:pPr>
            <w:r>
              <w:rPr>
                <w:rFonts w:ascii="Arial" w:cs="Arial" w:eastAsia="Arial" w:hAnsi="Arial"/>
                <w:sz w:val="18"/>
                <w:szCs w:val="18"/>
                <w:color w:val="auto"/>
              </w:rPr>
              <w:t>6,035</w:t>
            </w:r>
          </w:p>
        </w:tc>
      </w:tr>
      <w:tr>
        <w:trPr>
          <w:trHeight w:val="26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Nash</w:t>
            </w:r>
          </w:p>
        </w:tc>
        <w:tc>
          <w:tcPr>
            <w:tcW w:w="5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5,535</w:t>
            </w: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Matt Chiodo</w:t>
            </w:r>
          </w:p>
        </w:tc>
        <w:tc>
          <w:tcPr>
            <w:tcW w:w="5980" w:type="dxa"/>
            <w:vAlign w:val="bottom"/>
          </w:tcPr>
          <w:p>
            <w:pPr>
              <w:jc w:val="right"/>
              <w:ind w:right="35"/>
              <w:spacing w:after="0"/>
              <w:rPr>
                <w:sz w:val="20"/>
                <w:szCs w:val="20"/>
                <w:color w:val="auto"/>
              </w:rPr>
            </w:pPr>
            <w:r>
              <w:rPr>
                <w:rFonts w:ascii="Arial" w:cs="Arial" w:eastAsia="Arial" w:hAnsi="Arial"/>
                <w:sz w:val="18"/>
                <w:szCs w:val="18"/>
                <w:color w:val="auto"/>
              </w:rPr>
              <w:t>4,883</w:t>
            </w:r>
          </w:p>
        </w:tc>
      </w:tr>
      <w:tr>
        <w:trPr>
          <w:trHeight w:val="26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Scott Ryan</w:t>
            </w:r>
          </w:p>
        </w:tc>
        <w:tc>
          <w:tcPr>
            <w:tcW w:w="5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4,325</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information contained under the captions “Common Stock Ownership of Management,” “Common Stock Ownership of Certain Beneficial Owners,” and “Equity Compensation Plan Information” contained in the definitive Proxy Statement is hereby incorporated herein by reference. There are no arrangements known to the registrant, the operation of which may at a subsequent date result in a change in control.</w:t>
      </w:r>
    </w:p>
    <w:p>
      <w:pPr>
        <w:spacing w:after="0" w:line="34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 and Services.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regarding principal accounting fees and services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herein by reference.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81" w:right="239" w:bottom="1440" w:gutter="0" w:footer="0" w:header="0"/>
        </w:sectPr>
      </w:pPr>
    </w:p>
    <w:bookmarkStart w:id="31" w:name="page32"/>
    <w:bookmarkEnd w:id="31"/>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193" w:lineRule="exact"/>
        <w:rPr>
          <w:sz w:val="20"/>
          <w:szCs w:val="20"/>
          <w:color w:val="auto"/>
        </w:rPr>
      </w:pPr>
    </w:p>
    <w:p>
      <w:pPr>
        <w:ind w:left="1960" w:hanging="980"/>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1. </w:t>
      </w:r>
      <w:hyperlink w:anchor="page24">
        <w:r>
          <w:rPr>
            <w:rFonts w:ascii="Arial" w:cs="Arial" w:eastAsia="Arial" w:hAnsi="Arial"/>
            <w:sz w:val="18"/>
            <w:szCs w:val="18"/>
            <w:u w:val="single" w:color="auto"/>
            <w:color w:val="0000EE"/>
          </w:rPr>
          <w:t>Financial Statements. See Part II, Item 8.</w:t>
        </w:r>
      </w:hyperlink>
    </w:p>
    <w:p>
      <w:pPr>
        <w:spacing w:after="0" w:line="144" w:lineRule="exact"/>
        <w:rPr>
          <w:rFonts w:ascii="Arial" w:cs="Arial" w:eastAsia="Arial" w:hAnsi="Arial"/>
          <w:sz w:val="18"/>
          <w:szCs w:val="18"/>
          <w:color w:val="auto"/>
        </w:rPr>
      </w:pPr>
    </w:p>
    <w:p>
      <w:pPr>
        <w:ind w:left="1940" w:right="2919" w:hanging="68"/>
        <w:spacing w:after="0" w:line="449" w:lineRule="auto"/>
        <w:tabs>
          <w:tab w:leader="none" w:pos="20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Financial Statements Schedules. None required or not applicable. 3. Exhibits. See Exhibit Index on Page </w:t>
      </w:r>
      <w:hyperlink w:anchor="page65">
        <w:r>
          <w:rPr>
            <w:rFonts w:ascii="Arial" w:cs="Arial" w:eastAsia="Arial" w:hAnsi="Arial"/>
            <w:sz w:val="18"/>
            <w:szCs w:val="18"/>
            <w:u w:val="single" w:color="auto"/>
            <w:color w:val="0000EE"/>
          </w:rPr>
          <w:t>64</w:t>
        </w:r>
      </w:hyperlink>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960" w:hanging="980"/>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(a) above.</w:t>
      </w:r>
    </w:p>
    <w:p>
      <w:pPr>
        <w:spacing w:after="0" w:line="9" w:lineRule="exact"/>
        <w:rPr>
          <w:rFonts w:ascii="Arial" w:cs="Arial" w:eastAsia="Arial" w:hAnsi="Arial"/>
          <w:sz w:val="18"/>
          <w:szCs w:val="18"/>
          <w:color w:val="auto"/>
        </w:rPr>
      </w:pPr>
    </w:p>
    <w:p>
      <w:pPr>
        <w:ind w:left="1960" w:hanging="980"/>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(a) above.</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6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765" w:right="1440"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GENTEX CORPORATION</w:t>
      </w:r>
    </w:p>
    <w:p>
      <w:pPr>
        <w:spacing w:after="0" w:line="387" w:lineRule="exact"/>
        <w:rPr>
          <w:sz w:val="20"/>
          <w:szCs w:val="20"/>
          <w:color w:val="auto"/>
        </w:rPr>
      </w:pPr>
    </w:p>
    <w:p>
      <w:pPr>
        <w:ind w:left="3120"/>
        <w:spacing w:after="0"/>
        <w:tabs>
          <w:tab w:leader="none" w:pos="4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R. Downing, President and Chief Executive Officer</w:t>
      </w:r>
    </w:p>
    <w:p>
      <w:pPr>
        <w:spacing w:after="0" w:line="50" w:lineRule="exact"/>
        <w:rPr>
          <w:sz w:val="20"/>
          <w:szCs w:val="20"/>
          <w:color w:val="auto"/>
        </w:rPr>
      </w:pPr>
    </w:p>
    <w:p>
      <w:pPr>
        <w:ind w:left="3120"/>
        <w:spacing w:after="0"/>
        <w:tabs>
          <w:tab w:leader="none" w:pos="4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2020</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26th day of February, 2020, by the following persons on behalf of the registrant and in the capacities indicated.</w:t>
      </w:r>
    </w:p>
    <w:p>
      <w:pPr>
        <w:spacing w:after="0" w:line="200" w:lineRule="exact"/>
        <w:rPr>
          <w:sz w:val="20"/>
          <w:szCs w:val="20"/>
          <w:color w:val="auto"/>
        </w:rPr>
      </w:pPr>
    </w:p>
    <w:p>
      <w:pPr>
        <w:spacing w:after="0" w:line="293" w:lineRule="exact"/>
        <w:rPr>
          <w:sz w:val="20"/>
          <w:szCs w:val="20"/>
          <w:color w:val="auto"/>
        </w:rPr>
      </w:pPr>
    </w:p>
    <w:p>
      <w:pPr>
        <w:ind w:left="3120"/>
        <w:spacing w:after="0"/>
        <w:tabs>
          <w:tab w:leader="none" w:pos="4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R. Downing, President and Chief Executive Officer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(Principal Executive Officer) on behalf of Gentex Corporation</w:t>
      </w:r>
    </w:p>
    <w:p>
      <w:pPr>
        <w:spacing w:after="0" w:line="333" w:lineRule="exact"/>
        <w:rPr>
          <w:sz w:val="20"/>
          <w:szCs w:val="20"/>
          <w:color w:val="auto"/>
        </w:rPr>
      </w:pPr>
    </w:p>
    <w:p>
      <w:pPr>
        <w:ind w:left="354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C.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14605</wp:posOffset>
            </wp:positionV>
            <wp:extent cx="3782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Kevin C. Nash, Vice President, Finance, Chief Financial Officer and</w:t>
      </w:r>
    </w:p>
    <w:p>
      <w:pPr>
        <w:ind w:left="4400"/>
        <w:spacing w:after="0"/>
        <w:rPr>
          <w:sz w:val="20"/>
          <w:szCs w:val="20"/>
          <w:color w:val="auto"/>
        </w:rPr>
      </w:pPr>
      <w:r>
        <w:rPr>
          <w:rFonts w:ascii="Arial" w:cs="Arial" w:eastAsia="Arial" w:hAnsi="Arial"/>
          <w:sz w:val="18"/>
          <w:szCs w:val="18"/>
          <w:color w:val="auto"/>
        </w:rPr>
        <w:t>Treasurer</w:t>
      </w:r>
    </w:p>
    <w:p>
      <w:pPr>
        <w:spacing w:after="0" w:line="50" w:lineRule="exact"/>
        <w:rPr>
          <w:sz w:val="20"/>
          <w:szCs w:val="20"/>
          <w:color w:val="auto"/>
        </w:rPr>
      </w:pPr>
    </w:p>
    <w:p>
      <w:pPr>
        <w:ind w:left="4400" w:right="1180"/>
        <w:spacing w:after="0" w:line="246"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549" w:right="319" w:bottom="1440" w:gutter="0" w:footer="0" w:header="0"/>
        </w:sectPr>
      </w:pPr>
    </w:p>
    <w:bookmarkStart w:id="33" w:name="page34"/>
    <w:bookmarkEnd w:id="33"/>
    <w:p>
      <w:pPr>
        <w:ind w:firstLine="972"/>
        <w:spacing w:after="0" w:line="256" w:lineRule="auto"/>
        <w:rPr>
          <w:sz w:val="20"/>
          <w:szCs w:val="20"/>
          <w:color w:val="auto"/>
        </w:rPr>
      </w:pPr>
      <w:r>
        <w:rPr>
          <w:rFonts w:ascii="Arial" w:cs="Arial" w:eastAsia="Arial" w:hAnsi="Arial"/>
          <w:sz w:val="18"/>
          <w:szCs w:val="18"/>
          <w:color w:val="auto"/>
        </w:rPr>
        <w:t>Each Director of the registrant whose signature appears below hereby appoints Steve Downing or Kevin Nash, as his or her attorney-in-fact to sign in his or her name and on his or her behalf, and to file with the Commission any and all amendments to this report on Form 10-K to the same extent and with the same effect as if done personally.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Leslie Brown</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Leslie Brown</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Gary Goode</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Gary Goode</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James Hollars</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James Hollars</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John Mulder</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John Mulder</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Richard Schaum</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Richard Schaum</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Fred Sotok</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Fred Sotok</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Kathleen Starkoff</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Kathleen Starkoff</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Brian Walker</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Brian Walker</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James Wallace</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James Wallace</w:t>
            </w:r>
          </w:p>
        </w:tc>
        <w:tc>
          <w:tcPr>
            <w:tcW w:w="800" w:type="dxa"/>
            <w:vAlign w:val="bottom"/>
          </w:tcPr>
          <w:p>
            <w:pPr>
              <w:spacing w:after="0"/>
              <w:rPr>
                <w:sz w:val="19"/>
                <w:szCs w:val="19"/>
                <w:color w:val="auto"/>
              </w:rPr>
            </w:pPr>
          </w:p>
        </w:tc>
      </w:tr>
    </w:tbl>
    <w:p>
      <w:pPr>
        <w:spacing w:after="0" w:line="2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240" w:top="1057" w:right="539" w:bottom="1440" w:gutter="0" w:footer="0" w:header="0"/>
        </w:sectPr>
      </w:pPr>
    </w:p>
    <w:bookmarkStart w:id="34" w:name="page35"/>
    <w:bookmarkEnd w:id="34"/>
    <w:p>
      <w:pPr>
        <w:ind w:left="2240"/>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the Shareholders and the Board of Directors of Gentex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Opinion on the Financial Statements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We have audited the accompanying consolidated balance sheets of Gentex Corporation and subsidiaries (the Company) as of December 31, 2019 and 2018, the related consolidated statements of income, comprehensive income, shareholders' investment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26, 2020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Basis for Opinion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57" w:right="239" w:bottom="1440" w:gutter="0" w:footer="0" w:header="0"/>
        </w:sectPr>
      </w:pPr>
    </w:p>
    <w:bookmarkStart w:id="35" w:name="page36"/>
    <w:bookmarkEnd w:id="35"/>
    <w:p>
      <w:pPr>
        <w:ind w:left="2940"/>
        <w:spacing w:after="0"/>
        <w:rPr>
          <w:sz w:val="20"/>
          <w:szCs w:val="20"/>
          <w:color w:val="auto"/>
        </w:rPr>
      </w:pPr>
      <w:r>
        <w:rPr>
          <w:rFonts w:ascii="Arial" w:cs="Arial" w:eastAsia="Arial" w:hAnsi="Arial"/>
          <w:sz w:val="15"/>
          <w:szCs w:val="15"/>
          <w:b w:val="1"/>
          <w:bCs w:val="1"/>
          <w:i w:val="1"/>
          <w:iCs w:val="1"/>
          <w:color w:val="auto"/>
        </w:rPr>
        <w:t>Revenue - Estimate of Variable Consideration</w:t>
      </w:r>
    </w:p>
    <w:p>
      <w:pPr>
        <w:sectPr>
          <w:pgSz w:w="11900" w:h="16838" w:orient="portrait"/>
          <w:cols w:equalWidth="0" w:num="1">
            <w:col w:w="10820"/>
          </w:cols>
          <w:pgMar w:left="240" w:top="719" w:right="839" w:bottom="1440" w:gutter="0" w:footer="0" w:header="0"/>
        </w:sectPr>
      </w:pPr>
    </w:p>
    <w:p>
      <w:pPr>
        <w:spacing w:after="0" w:line="98" w:lineRule="exact"/>
        <w:rPr>
          <w:sz w:val="20"/>
          <w:szCs w:val="20"/>
          <w:color w:val="auto"/>
        </w:rPr>
      </w:pPr>
    </w:p>
    <w:p>
      <w:pPr>
        <w:jc w:val="center"/>
        <w:ind w:left="54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discussed in Notes 1 and 11 to the Company’s consolidated financial statements, the Company occasionally enters into sales contracts with its customers that provide for annual price reductions over the production life of a particular part. Prices may also be adjusted on an ongoing basis to reflect changes in product content, product cost and other commercial factors.</w:t>
      </w:r>
    </w:p>
    <w:p>
      <w:pPr>
        <w:spacing w:after="0" w:line="200" w:lineRule="exact"/>
        <w:rPr>
          <w:sz w:val="20"/>
          <w:szCs w:val="20"/>
          <w:color w:val="auto"/>
        </w:rPr>
      </w:pPr>
    </w:p>
    <w:p>
      <w:pPr>
        <w:sectPr>
          <w:pgSz w:w="11900" w:h="16838" w:orient="portrait"/>
          <w:cols w:equalWidth="0" w:num="2">
            <w:col w:w="2380" w:space="560"/>
            <w:col w:w="7880"/>
          </w:cols>
          <w:pgMar w:left="240" w:top="719" w:right="839" w:bottom="1440" w:gutter="0" w:footer="0" w:header="0"/>
          <w:type w:val="continuous"/>
        </w:sectPr>
      </w:pPr>
    </w:p>
    <w:p>
      <w:pPr>
        <w:spacing w:after="0" w:line="2" w:lineRule="exact"/>
        <w:rPr>
          <w:sz w:val="20"/>
          <w:szCs w:val="20"/>
          <w:color w:val="auto"/>
        </w:rPr>
      </w:pPr>
    </w:p>
    <w:p>
      <w:pPr>
        <w:ind w:left="2940" w:right="240"/>
        <w:spacing w:after="0" w:line="239" w:lineRule="auto"/>
        <w:rPr>
          <w:sz w:val="20"/>
          <w:szCs w:val="20"/>
          <w:color w:val="auto"/>
        </w:rPr>
      </w:pPr>
      <w:r>
        <w:rPr>
          <w:rFonts w:ascii="Arial" w:cs="Arial" w:eastAsia="Arial" w:hAnsi="Arial"/>
          <w:sz w:val="18"/>
          <w:szCs w:val="18"/>
          <w:color w:val="auto"/>
        </w:rPr>
        <w:t>Auditing the accounting for and the completeness of the amount of revenue that the Company expects to be entitled to in exchange for its products (for arrangements containing annual price reductions) is judgmental due to the unique facts and circumstances involved with each revenue arrangement, as well as on-going commercial negotiations with customers.</w:t>
      </w:r>
    </w:p>
    <w:p>
      <w:pPr>
        <w:sectPr>
          <w:pgSz w:w="11900" w:h="16838" w:orient="portrait"/>
          <w:cols w:equalWidth="0" w:num="1">
            <w:col w:w="10820"/>
          </w:cols>
          <w:pgMar w:left="240" w:top="719" w:right="839" w:bottom="1440" w:gutter="0" w:footer="0" w:header="0"/>
          <w:type w:val="continuous"/>
        </w:sectPr>
      </w:pPr>
    </w:p>
    <w:p>
      <w:pPr>
        <w:spacing w:after="0" w:line="26" w:lineRule="exact"/>
        <w:rPr>
          <w:sz w:val="20"/>
          <w:szCs w:val="20"/>
          <w:color w:val="auto"/>
        </w:rPr>
      </w:pPr>
    </w:p>
    <w:p>
      <w:pPr>
        <w:ind w:left="540" w:right="20"/>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annual price reductions. This included testing controls over the Company’s process to identify and evaluate customer contracts that contain matters that impact revenue recognition, as well as testing controls relating to the completeness and measurement of revenue related to those sales contracts.</w:t>
      </w:r>
    </w:p>
    <w:p>
      <w:pPr>
        <w:spacing w:after="0" w:line="200" w:lineRule="exact"/>
        <w:rPr>
          <w:sz w:val="20"/>
          <w:szCs w:val="20"/>
          <w:color w:val="auto"/>
        </w:rPr>
      </w:pPr>
    </w:p>
    <w:p>
      <w:pPr>
        <w:sectPr>
          <w:pgSz w:w="11900" w:h="16838" w:orient="portrait"/>
          <w:cols w:equalWidth="0" w:num="2">
            <w:col w:w="2220" w:space="720"/>
            <w:col w:w="7880"/>
          </w:cols>
          <w:pgMar w:left="240" w:top="719" w:right="839" w:bottom="1440" w:gutter="0" w:footer="0" w:header="0"/>
          <w:type w:val="continuous"/>
        </w:sectPr>
      </w:pPr>
    </w:p>
    <w:p>
      <w:pPr>
        <w:spacing w:after="0" w:line="3" w:lineRule="exact"/>
        <w:rPr>
          <w:sz w:val="20"/>
          <w:szCs w:val="20"/>
          <w:color w:val="auto"/>
        </w:rPr>
      </w:pPr>
    </w:p>
    <w:p>
      <w:pPr>
        <w:ind w:left="2940" w:right="300"/>
        <w:spacing w:after="0" w:line="238" w:lineRule="auto"/>
        <w:rPr>
          <w:sz w:val="20"/>
          <w:szCs w:val="20"/>
          <w:color w:val="auto"/>
        </w:rPr>
      </w:pPr>
      <w:r>
        <w:rPr>
          <w:rFonts w:ascii="Arial" w:cs="Arial" w:eastAsia="Arial" w:hAnsi="Arial"/>
          <w:sz w:val="18"/>
          <w:szCs w:val="18"/>
          <w:color w:val="auto"/>
        </w:rPr>
        <w:t>Our audit procedures included, among others, testing the completeness and valuation of the Company’s price reductions, including interviews of executive and commercial management personnel responsible for negotiations with customers, inspecting communications between the Company and its customers related to the price reductions, and testing manual price reduction entries recorded using lower materiality thresholds for our testing purposes.</w:t>
      </w:r>
    </w:p>
    <w:p>
      <w:pPr>
        <w:sectPr>
          <w:pgSz w:w="11900" w:h="16838" w:orient="portrait"/>
          <w:cols w:equalWidth="0" w:num="1">
            <w:col w:w="10820"/>
          </w:cols>
          <w:pgMar w:left="240" w:top="719"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820"/>
          </w:cols>
          <w:pgMar w:left="240" w:top="719" w:right="839" w:bottom="1440" w:gutter="0" w:footer="0" w:header="0"/>
          <w:type w:val="continuous"/>
        </w:sectPr>
      </w:pPr>
    </w:p>
    <w:bookmarkStart w:id="36" w:name="page37"/>
    <w:bookmarkEnd w:id="36"/>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Gentex 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audited Gentex Corporation and subsidiaries’ internal control over financial reporting as of December 31, 2019 based on criteria established in Internal Control-Integrated Framework issued by the Committee of Sponsoring Organizations of the Treadway Commission (2013 framework) (the COSO criteria). In our opinion, Gentex Corporation and subsidiaries (the Company) maintained, in all material respects, effective internal control over financial reporting as of December 31, 2019, based on the COSO criteria.</w:t>
      </w:r>
    </w:p>
    <w:p>
      <w:pPr>
        <w:spacing w:after="0" w:line="1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Gentex Corporation and subsidiaries as of December 31, 2019 and 2018, the related consolidated statements of income, comprehensive income, shareholders' investment and cash flows for each of the three years in the period ended December 31, 2019, and the related notes and our report dated February 26, 2020 expressed an unqualified opinion thereon.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49" w:right="239" w:bottom="1440" w:gutter="0" w:footer="0" w:header="0"/>
        </w:sectPr>
      </w:pPr>
    </w:p>
    <w:bookmarkStart w:id="37" w:name="page38"/>
    <w:bookmarkEnd w:id="37"/>
    <w:p>
      <w:pPr>
        <w:jc w:val="center"/>
        <w:ind w:right="-759"/>
        <w:spacing w:after="0"/>
        <w:rPr>
          <w:sz w:val="20"/>
          <w:szCs w:val="20"/>
          <w:color w:val="auto"/>
        </w:rPr>
      </w:pPr>
      <w:r>
        <w:rPr>
          <w:rFonts w:ascii="Arial" w:cs="Arial" w:eastAsia="Arial" w:hAnsi="Arial"/>
          <w:sz w:val="13"/>
          <w:szCs w:val="13"/>
          <w:color w:val="auto"/>
        </w:rPr>
        <w:t>GENTEX CORPORATION AND SUBSIDIARIES</w:t>
      </w:r>
    </w:p>
    <w:p>
      <w:pPr>
        <w:jc w:val="center"/>
        <w:ind w:right="-759"/>
        <w:spacing w:after="0"/>
        <w:rPr>
          <w:sz w:val="20"/>
          <w:szCs w:val="20"/>
          <w:color w:val="auto"/>
        </w:rPr>
      </w:pPr>
      <w:r>
        <w:rPr>
          <w:rFonts w:ascii="Arial" w:cs="Arial" w:eastAsia="Arial" w:hAnsi="Arial"/>
          <w:sz w:val="13"/>
          <w:szCs w:val="13"/>
          <w:color w:val="auto"/>
        </w:rPr>
        <w:t>CONSOLIDATED BALANCE SHEETS</w:t>
      </w:r>
    </w:p>
    <w:p>
      <w:pPr>
        <w:jc w:val="center"/>
        <w:ind w:right="-759"/>
        <w:spacing w:after="0"/>
        <w:rPr>
          <w:sz w:val="20"/>
          <w:szCs w:val="20"/>
          <w:color w:val="auto"/>
        </w:rPr>
      </w:pPr>
      <w:r>
        <w:rPr>
          <w:rFonts w:ascii="Arial" w:cs="Arial" w:eastAsia="Arial" w:hAnsi="Arial"/>
          <w:sz w:val="13"/>
          <w:szCs w:val="13"/>
          <w:color w:val="auto"/>
        </w:rPr>
        <w:t>AS OF DECEMBER 31, 2019 AND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39"/>
        </w:trPr>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4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56"/>
        </w:trPr>
        <w:tc>
          <w:tcPr>
            <w:tcW w:w="7580" w:type="dxa"/>
            <w:vAlign w:val="bottom"/>
            <w:gridSpan w:val="4"/>
            <w:shd w:val="clear" w:color="auto" w:fill="CCEEFF"/>
          </w:tcPr>
          <w:p>
            <w:pPr>
              <w:ind w:left="40"/>
              <w:spacing w:after="0" w:line="155" w:lineRule="exact"/>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800" w:type="dxa"/>
            <w:vAlign w:val="bottom"/>
            <w:tcBorders>
              <w:top w:val="single" w:sz="8" w:color="CCEEFF"/>
            </w:tcBorders>
            <w:shd w:val="clear" w:color="auto" w:fill="CCEEFF"/>
          </w:tcPr>
          <w:p>
            <w:pPr>
              <w:spacing w:after="0"/>
              <w:rPr>
                <w:sz w:val="7"/>
                <w:szCs w:val="7"/>
                <w:color w:val="auto"/>
              </w:rPr>
            </w:pPr>
          </w:p>
        </w:tc>
        <w:tc>
          <w:tcPr>
            <w:tcW w:w="41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CCEEFF"/>
            </w:tcBorders>
            <w:shd w:val="clear" w:color="auto" w:fill="CCEEFF"/>
          </w:tcPr>
          <w:p>
            <w:pPr>
              <w:spacing w:after="0"/>
              <w:rPr>
                <w:sz w:val="7"/>
                <w:szCs w:val="7"/>
                <w:color w:val="auto"/>
              </w:rPr>
            </w:pPr>
          </w:p>
        </w:tc>
      </w:tr>
      <w:tr>
        <w:trPr>
          <w:trHeight w:val="231"/>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296,321,622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217,025,278</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140,384,053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169,412,999</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235,410,326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213,537,799</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Inventories, net</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248,941,855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225,281,599</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Prepaid expenses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29,319,036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25,672,579</w:t>
            </w:r>
          </w:p>
        </w:tc>
      </w:tr>
      <w:tr>
        <w:trPr>
          <w:trHeight w:val="211"/>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80" w:type="dxa"/>
            <w:vAlign w:val="bottom"/>
            <w:gridSpan w:val="2"/>
          </w:tcPr>
          <w:p>
            <w:pPr>
              <w:ind w:left="120"/>
              <w:spacing w:after="0"/>
              <w:rPr>
                <w:sz w:val="20"/>
                <w:szCs w:val="20"/>
                <w:color w:val="auto"/>
              </w:rPr>
            </w:pPr>
            <w:r>
              <w:rPr>
                <w:rFonts w:ascii="Arial" w:cs="Arial" w:eastAsia="Arial" w:hAnsi="Arial"/>
                <w:sz w:val="14"/>
                <w:szCs w:val="14"/>
                <w:color w:val="auto"/>
              </w:rPr>
              <w:t>Total current assets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950,376,892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850,930,254</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Land, buildings and improvements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344,231,180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340,910,332</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Machinery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843,439,691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838,887,032</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Construction-in-process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39,456,490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18,156,423</w:t>
            </w:r>
          </w:p>
        </w:tc>
      </w:tr>
      <w:tr>
        <w:trPr>
          <w:trHeight w:val="39"/>
        </w:trPr>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4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Plant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1,227,127,361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1,197,953,787</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Less- Accumulated depreciation</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(728,811,261)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(699,480,021)</w:t>
            </w:r>
          </w:p>
        </w:tc>
      </w:tr>
      <w:tr>
        <w:trPr>
          <w:trHeight w:val="39"/>
        </w:trPr>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4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Net Plant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498,316,100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498,473,766</w:t>
            </w:r>
          </w:p>
        </w:tc>
      </w:tr>
      <w:tr>
        <w:trPr>
          <w:trHeight w:val="231"/>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307,365,845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307,365,845</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Long-term investments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139,909,323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137,979,082</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250,375,000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269,675,000</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Patents and other assets, net</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22,460,033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21,010,121</w:t>
            </w:r>
          </w:p>
        </w:tc>
      </w:tr>
      <w:tr>
        <w:trPr>
          <w:trHeight w:val="39"/>
        </w:trPr>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4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720,110,201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736,030,048</w:t>
            </w:r>
          </w:p>
        </w:tc>
      </w:tr>
      <w:tr>
        <w:trPr>
          <w:trHeight w:val="211"/>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2,168,803,193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2,085,434,068</w:t>
            </w:r>
          </w:p>
        </w:tc>
      </w:tr>
      <w:tr>
        <w:trPr>
          <w:trHeight w:val="66"/>
        </w:trPr>
        <w:tc>
          <w:tcPr>
            <w:tcW w:w="4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2800" w:type="dxa"/>
            <w:vAlign w:val="bottom"/>
            <w:tcBorders>
              <w:bottom w:val="single" w:sz="8" w:color="CCEEFF"/>
            </w:tcBorders>
          </w:tcPr>
          <w:p>
            <w:pPr>
              <w:spacing w:after="0"/>
              <w:rPr>
                <w:sz w:val="5"/>
                <w:szCs w:val="5"/>
                <w:color w:val="auto"/>
              </w:rPr>
            </w:pPr>
          </w:p>
        </w:tc>
        <w:tc>
          <w:tcPr>
            <w:tcW w:w="4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170"/>
        </w:trPr>
        <w:tc>
          <w:tcPr>
            <w:tcW w:w="75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LIABILITIES AND SHAREHOLDERS’ INVESTMENT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800" w:type="dxa"/>
            <w:vAlign w:val="bottom"/>
            <w:tcBorders>
              <w:top w:val="single" w:sz="8" w:color="auto"/>
            </w:tcBorders>
            <w:shd w:val="clear" w:color="auto" w:fill="CCEEFF"/>
          </w:tcPr>
          <w:p>
            <w:pPr>
              <w:spacing w:after="0"/>
              <w:rPr>
                <w:sz w:val="5"/>
                <w:szCs w:val="5"/>
                <w:color w:val="auto"/>
              </w:rPr>
            </w:pPr>
          </w:p>
        </w:tc>
        <w:tc>
          <w:tcPr>
            <w:tcW w:w="4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r>
      <w:tr>
        <w:trPr>
          <w:trHeight w:val="231"/>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97,553,917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92,810,316</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4"/>
                <w:szCs w:val="14"/>
                <w:color w:val="auto"/>
              </w:rPr>
              <w:t>Salaries, wages and vacation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16,385,833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15,860,073</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560"/>
              <w:spacing w:after="0"/>
              <w:rPr>
                <w:sz w:val="20"/>
                <w:szCs w:val="20"/>
                <w:color w:val="auto"/>
              </w:rPr>
            </w:pPr>
            <w:r>
              <w:rPr>
                <w:rFonts w:ascii="Arial" w:cs="Arial" w:eastAsia="Arial" w:hAnsi="Arial"/>
                <w:sz w:val="14"/>
                <w:szCs w:val="14"/>
                <w:color w:val="auto"/>
              </w:rPr>
              <w:t>Income taxes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24,952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4,293,608</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4"/>
                <w:szCs w:val="14"/>
                <w:color w:val="auto"/>
              </w:rPr>
              <w:t>Royalties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17,371,829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16,174,041</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560"/>
              <w:spacing w:after="0"/>
              <w:rPr>
                <w:sz w:val="20"/>
                <w:szCs w:val="20"/>
                <w:color w:val="auto"/>
              </w:rPr>
            </w:pPr>
            <w:r>
              <w:rPr>
                <w:rFonts w:ascii="Arial" w:cs="Arial" w:eastAsia="Arial" w:hAnsi="Arial"/>
                <w:sz w:val="14"/>
                <w:szCs w:val="14"/>
                <w:color w:val="auto"/>
              </w:rPr>
              <w:t>Dividends payable</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28,896,914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28,526,147</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11,613,355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11,496,734</w:t>
            </w:r>
          </w:p>
        </w:tc>
      </w:tr>
      <w:tr>
        <w:trPr>
          <w:trHeight w:val="211"/>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80" w:type="dxa"/>
            <w:vAlign w:val="bottom"/>
            <w:gridSpan w:val="2"/>
          </w:tcPr>
          <w:p>
            <w:pPr>
              <w:ind w:left="12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171,846,800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169,160,919</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76"/>
        </w:trPr>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1"/>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OTHER NON-CURRENT LIABILITIES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7,414,424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76"/>
        </w:trPr>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1"/>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51,454,149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54,521,489</w:t>
            </w:r>
          </w:p>
        </w:tc>
      </w:tr>
      <w:tr>
        <w:trPr>
          <w:trHeight w:val="39"/>
        </w:trPr>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4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9"/>
        </w:trPr>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bl>
    <w:p>
      <w:pPr>
        <w:spacing w:after="0" w:line="32" w:lineRule="exact"/>
        <w:rPr>
          <w:sz w:val="20"/>
          <w:szCs w:val="20"/>
          <w:color w:val="auto"/>
        </w:rPr>
      </w:pPr>
    </w:p>
    <w:p>
      <w:pPr>
        <w:sectPr>
          <w:pgSz w:w="11900" w:h="16838" w:orient="portrait"/>
          <w:cols w:equalWidth="0" w:num="1">
            <w:col w:w="10660"/>
          </w:cols>
          <w:pgMar w:left="240" w:top="781" w:right="999" w:bottom="1440" w:gutter="0" w:footer="0" w:header="0"/>
        </w:sectPr>
      </w:pPr>
    </w:p>
    <w:p>
      <w:pPr>
        <w:ind w:left="4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57670"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7670" cy="111760"/>
                    </a:xfrm>
                    <a:prstGeom prst="rect">
                      <a:avLst/>
                    </a:prstGeom>
                    <a:noFill/>
                  </pic:spPr>
                </pic:pic>
              </a:graphicData>
            </a:graphic>
          </wp:anchor>
        </w:drawing>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SHAREHOLDERS’ INVESTMENT:</w:t>
      </w:r>
    </w:p>
    <w:p>
      <w:pPr>
        <w:spacing w:after="0" w:line="82" w:lineRule="exact"/>
        <w:rPr>
          <w:sz w:val="20"/>
          <w:szCs w:val="20"/>
          <w:color w:val="auto"/>
        </w:rPr>
      </w:pPr>
    </w:p>
    <w:p>
      <w:pPr>
        <w:ind w:left="380"/>
        <w:spacing w:after="0" w:line="258" w:lineRule="auto"/>
        <w:rPr>
          <w:sz w:val="20"/>
          <w:szCs w:val="20"/>
          <w:color w:val="auto"/>
        </w:rPr>
      </w:pPr>
      <w:r>
        <w:rPr>
          <w:rFonts w:ascii="Arial" w:cs="Arial" w:eastAsia="Arial" w:hAnsi="Arial"/>
          <w:sz w:val="14"/>
          <w:szCs w:val="14"/>
          <w:color w:val="auto"/>
        </w:rPr>
        <w:t>Common stock, par value $.06 per share; 400,000,000 shares authorized; 251,277,515 and 259,328,613 shares issued and outstanding in 2019 and 2018 respectively.</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75767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767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Retained earnings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Accumulated other comprehensive income:</w:t>
      </w:r>
    </w:p>
    <w:p>
      <w:pPr>
        <w:spacing w:after="0" w:line="20" w:lineRule="exact"/>
        <w:rPr>
          <w:sz w:val="20"/>
          <w:szCs w:val="20"/>
          <w:color w:val="auto"/>
        </w:rPr>
      </w:pPr>
      <w:r>
        <w:rPr>
          <w:sz w:val="20"/>
          <w:szCs w:val="20"/>
          <w:color w:val="auto"/>
        </w:rPr>
        <w:br w:type="column"/>
      </w:r>
    </w:p>
    <w:p>
      <w:pPr>
        <w:ind w:left="120"/>
        <w:spacing w:after="0"/>
        <w:tabs>
          <w:tab w:leader="none" w:pos="1680" w:val="left"/>
        </w:tabs>
        <w:rPr>
          <w:sz w:val="20"/>
          <w:szCs w:val="20"/>
          <w:color w:val="auto"/>
        </w:rPr>
      </w:pPr>
      <w:r>
        <w:rPr>
          <w:rFonts w:ascii="Arial" w:cs="Arial" w:eastAsia="Arial" w:hAnsi="Arial"/>
          <w:sz w:val="14"/>
          <w:szCs w:val="14"/>
          <w:color w:val="auto"/>
        </w:rPr>
        <w:t>230,715,373</w:t>
      </w:r>
      <w:r>
        <w:rPr>
          <w:sz w:val="20"/>
          <w:szCs w:val="20"/>
          <w:color w:val="auto"/>
        </w:rPr>
        <w:tab/>
      </w:r>
      <w:r>
        <w:rPr>
          <w:rFonts w:ascii="Arial" w:cs="Arial" w:eastAsia="Arial" w:hAnsi="Arial"/>
          <w:sz w:val="14"/>
          <w:szCs w:val="14"/>
          <w:color w:val="auto"/>
        </w:rPr>
        <w:t>223,682,408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297815</wp:posOffset>
            </wp:positionV>
            <wp:extent cx="195516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2400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00"/>
        <w:spacing w:after="0"/>
        <w:tabs>
          <w:tab w:leader="none" w:pos="1760" w:val="left"/>
        </w:tabs>
        <w:rPr>
          <w:sz w:val="20"/>
          <w:szCs w:val="20"/>
          <w:color w:val="auto"/>
        </w:rPr>
      </w:pPr>
      <w:r>
        <w:rPr>
          <w:rFonts w:ascii="Arial" w:cs="Arial" w:eastAsia="Arial" w:hAnsi="Arial"/>
          <w:sz w:val="14"/>
          <w:szCs w:val="14"/>
          <w:color w:val="auto"/>
        </w:rPr>
        <w:t>15,076,651</w:t>
      </w:r>
      <w:r>
        <w:rPr>
          <w:sz w:val="20"/>
          <w:szCs w:val="20"/>
          <w:color w:val="auto"/>
        </w:rPr>
        <w:tab/>
      </w:r>
      <w:r>
        <w:rPr>
          <w:rFonts w:ascii="Arial" w:cs="Arial" w:eastAsia="Arial" w:hAnsi="Arial"/>
          <w:sz w:val="14"/>
          <w:szCs w:val="14"/>
          <w:color w:val="auto"/>
        </w:rPr>
        <w:t>15,559,717</w:t>
      </w:r>
    </w:p>
    <w:p>
      <w:pPr>
        <w:spacing w:after="0" w:line="163"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color w:val="auto"/>
        </w:rPr>
        <w:t>807,928,139</w:t>
      </w:r>
      <w:r>
        <w:rPr>
          <w:sz w:val="20"/>
          <w:szCs w:val="20"/>
          <w:color w:val="auto"/>
        </w:rPr>
        <w:tab/>
      </w:r>
      <w:r>
        <w:rPr>
          <w:rFonts w:ascii="Arial" w:cs="Arial" w:eastAsia="Arial" w:hAnsi="Arial"/>
          <w:sz w:val="14"/>
          <w:szCs w:val="14"/>
          <w:color w:val="auto"/>
        </w:rPr>
        <w:t>745,324,144</w:t>
      </w:r>
    </w:p>
    <w:p>
      <w:pPr>
        <w:spacing w:after="0" w:line="109"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1,116,372,133</w:t>
      </w:r>
      <w:r>
        <w:rPr>
          <w:sz w:val="20"/>
          <w:szCs w:val="20"/>
          <w:color w:val="auto"/>
        </w:rPr>
        <w:tab/>
      </w:r>
      <w:r>
        <w:rPr>
          <w:rFonts w:ascii="Arial" w:cs="Arial" w:eastAsia="Arial" w:hAnsi="Arial"/>
          <w:sz w:val="14"/>
          <w:szCs w:val="14"/>
          <w:color w:val="auto"/>
        </w:rPr>
        <w:t>1,102,468,137</w:t>
      </w:r>
    </w:p>
    <w:p>
      <w:pPr>
        <w:spacing w:after="0" w:line="320" w:lineRule="exact"/>
        <w:rPr>
          <w:sz w:val="20"/>
          <w:szCs w:val="20"/>
          <w:color w:val="auto"/>
        </w:rPr>
      </w:pPr>
    </w:p>
    <w:p>
      <w:pPr>
        <w:sectPr>
          <w:pgSz w:w="11900" w:h="16838" w:orient="portrait"/>
          <w:cols w:equalWidth="0" w:num="2">
            <w:col w:w="7520" w:space="540"/>
            <w:col w:w="2600"/>
          </w:cols>
          <w:pgMar w:left="240" w:top="781" w:right="99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Unrealized gain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1,095,486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74,549</w:t>
            </w:r>
          </w:p>
        </w:tc>
      </w:tr>
      <w:tr>
        <w:trPr>
          <w:trHeight w:val="231"/>
        </w:trPr>
        <w:tc>
          <w:tcPr>
            <w:tcW w:w="7580" w:type="dxa"/>
            <w:vAlign w:val="bottom"/>
          </w:tcPr>
          <w:p>
            <w:pPr>
              <w:ind w:left="720"/>
              <w:spacing w:after="0"/>
              <w:rPr>
                <w:sz w:val="20"/>
                <w:szCs w:val="20"/>
                <w:color w:val="auto"/>
              </w:rPr>
            </w:pPr>
            <w:r>
              <w:rPr>
                <w:rFonts w:ascii="Arial" w:cs="Arial" w:eastAsia="Arial" w:hAnsi="Arial"/>
                <w:sz w:val="14"/>
                <w:szCs w:val="14"/>
                <w:color w:val="auto"/>
              </w:rPr>
              <w:t>Cumulative translation adjustment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(2,384,589)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(1,674,887)</w:t>
            </w:r>
          </w:p>
        </w:tc>
      </w:tr>
      <w:tr>
        <w:trPr>
          <w:trHeight w:val="39"/>
        </w:trPr>
        <w:tc>
          <w:tcPr>
            <w:tcW w:w="75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0"/>
        </w:trPr>
        <w:tc>
          <w:tcPr>
            <w:tcW w:w="7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Total shareholders’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1,938,087,820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1,861,751,660</w:t>
            </w:r>
          </w:p>
        </w:tc>
      </w:tr>
      <w:tr>
        <w:trPr>
          <w:trHeight w:val="211"/>
        </w:trPr>
        <w:tc>
          <w:tcPr>
            <w:tcW w:w="7580" w:type="dxa"/>
            <w:vAlign w:val="bottom"/>
          </w:tcPr>
          <w:p>
            <w:pPr>
              <w:ind w:left="40"/>
              <w:spacing w:after="0"/>
              <w:rPr>
                <w:sz w:val="20"/>
                <w:szCs w:val="20"/>
                <w:color w:val="auto"/>
              </w:rPr>
            </w:pPr>
            <w:r>
              <w:rPr>
                <w:rFonts w:ascii="Arial" w:cs="Arial" w:eastAsia="Arial" w:hAnsi="Arial"/>
                <w:sz w:val="14"/>
                <w:szCs w:val="14"/>
                <w:color w:val="auto"/>
              </w:rPr>
              <w:t>TOTAL LIABILITES AND SHAREHOLDERS' INVESTMENT</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2,168,803,193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2,085,434,068</w:t>
            </w:r>
          </w:p>
        </w:tc>
      </w:tr>
      <w:tr>
        <w:trPr>
          <w:trHeight w:val="26"/>
        </w:trPr>
        <w:tc>
          <w:tcPr>
            <w:tcW w:w="75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5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8"/>
        </w:trPr>
        <w:tc>
          <w:tcPr>
            <w:tcW w:w="9180" w:type="dxa"/>
            <w:vAlign w:val="bottom"/>
            <w:gridSpan w:val="4"/>
          </w:tcPr>
          <w:p>
            <w:pPr>
              <w:ind w:left="2920"/>
              <w:spacing w:after="0" w:line="157" w:lineRule="exact"/>
              <w:rPr>
                <w:sz w:val="20"/>
                <w:szCs w:val="20"/>
                <w:color w:val="auto"/>
              </w:rPr>
            </w:pPr>
            <w:r>
              <w:rPr>
                <w:rFonts w:ascii="Arial" w:cs="Arial" w:eastAsia="Arial" w:hAnsi="Arial"/>
                <w:sz w:val="14"/>
                <w:szCs w:val="14"/>
                <w:color w:val="auto"/>
              </w:rPr>
              <w:t>The accompanying notes are an integral part of these consolidated financial statements.</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0660"/>
          </w:cols>
          <w:pgMar w:left="240" w:top="781" w:right="999" w:bottom="1440" w:gutter="0" w:footer="0" w:header="0"/>
          <w:type w:val="continuous"/>
        </w:sectPr>
      </w:pPr>
    </w:p>
    <w:p>
      <w:pPr>
        <w:ind w:left="562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660"/>
          </w:cols>
          <w:pgMar w:left="240" w:top="781" w:right="99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YEARS ENDED DECEMBER 31, 2019, 2018 AND 2017</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256"/>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1,858,897,406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1,834,063,697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1,794,872,578</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1,170,589,437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1,143,597,005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1,100,344,312</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688,307,969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690,466,692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694,528,266</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Engineering, research and development</w:t>
            </w: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114,687,309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107,134,862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99,726,438</w:t>
            </w: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85,083,056</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75,206,283</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71,443,476</w:t>
            </w:r>
          </w:p>
        </w:tc>
      </w:tr>
      <w:tr>
        <w:trPr>
          <w:trHeight w:val="244"/>
        </w:trPr>
        <w:tc>
          <w:tcPr>
            <w:tcW w:w="46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199,770,365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182,341,145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171,169,914</w:t>
            </w:r>
          </w:p>
        </w:tc>
      </w:tr>
      <w:tr>
        <w:trPr>
          <w:trHeight w:val="297"/>
        </w:trPr>
        <w:tc>
          <w:tcPr>
            <w:tcW w:w="46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488,537,604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508,125,547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523,358,352</w:t>
            </w:r>
          </w:p>
        </w:tc>
      </w:tr>
      <w:tr>
        <w:trPr>
          <w:trHeight w:val="304"/>
        </w:trPr>
        <w:tc>
          <w:tcPr>
            <w:tcW w:w="46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 income</w:t>
            </w: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11,230,696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11,262,385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9,442,387</w:t>
            </w:r>
          </w:p>
        </w:tc>
      </w:tr>
      <w:tr>
        <w:trPr>
          <w:trHeight w:val="264"/>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(expense), net</w:t>
            </w:r>
          </w:p>
        </w:tc>
        <w:tc>
          <w:tcPr>
            <w:tcW w:w="10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647,034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2,659,015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(1,004,035)</w:t>
            </w:r>
          </w:p>
        </w:tc>
      </w:tr>
      <w:tr>
        <w:trPr>
          <w:trHeight w:val="250"/>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10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11,877,730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13,921,400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8,438,352</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500,415,334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522,046,947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531,796,704</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75,731,395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84,163,850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125,004,782</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424,683,939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437,883,097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406,791,922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90"/>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w:t>
            </w:r>
          </w:p>
        </w:tc>
      </w:tr>
      <w:tr>
        <w:trPr>
          <w:trHeight w:val="237"/>
        </w:trPr>
        <w:tc>
          <w:tcPr>
            <w:tcW w:w="464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Diluted</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0.460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0.390</w:t>
            </w:r>
          </w:p>
        </w:tc>
      </w:tr>
      <w:tr>
        <w:trPr>
          <w:trHeight w:val="351"/>
        </w:trPr>
        <w:tc>
          <w:tcPr>
            <w:tcW w:w="9580" w:type="dxa"/>
            <w:vAlign w:val="bottom"/>
            <w:gridSpan w:val="8"/>
          </w:tcPr>
          <w:p>
            <w:pPr>
              <w:ind w:left="2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4640" w:type="dxa"/>
            <w:vAlign w:val="bottom"/>
          </w:tcPr>
          <w:p>
            <w:pPr>
              <w:spacing w:after="0"/>
              <w:rPr>
                <w:sz w:val="24"/>
                <w:szCs w:val="24"/>
                <w:color w:val="auto"/>
              </w:rPr>
            </w:pP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39</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57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COMPREHENSIVE INCOME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YEARS ENDED DECEMBER 31, 2019, 2018 AND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424,683,939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437,883,097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406,791,922</w:t>
            </w:r>
          </w:p>
        </w:tc>
      </w:tr>
      <w:tr>
        <w:trPr>
          <w:trHeight w:val="324"/>
        </w:trPr>
        <w:tc>
          <w:tcPr>
            <w:tcW w:w="6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(709,702)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(2,319,917)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3,508,029</w:t>
            </w:r>
          </w:p>
        </w:tc>
      </w:tr>
      <w:tr>
        <w:trPr>
          <w:trHeight w:val="27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on derivatives</w:t>
            </w:r>
          </w:p>
        </w:tc>
        <w:tc>
          <w:tcPr>
            <w:tcW w:w="3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98,767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1,721,933</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Unrealized gains on available-for-sale securities, net</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1,292,325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115,059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5,903,699</w:t>
            </w:r>
          </w:p>
        </w:tc>
      </w:tr>
      <w:tr>
        <w:trPr>
          <w:trHeight w:val="324"/>
        </w:trPr>
        <w:tc>
          <w:tcPr>
            <w:tcW w:w="6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3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582,623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(2,106,091)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11,133,661</w:t>
            </w:r>
          </w:p>
        </w:tc>
      </w:tr>
      <w:tr>
        <w:trPr>
          <w:trHeight w:val="331"/>
        </w:trPr>
        <w:tc>
          <w:tcPr>
            <w:tcW w:w="6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Expense for income taxes related to components of other comprehensive</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(loss)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271,388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2,668,973</w:t>
            </w:r>
          </w:p>
        </w:tc>
      </w:tr>
      <w:tr>
        <w:trPr>
          <w:trHeight w:val="324"/>
        </w:trPr>
        <w:tc>
          <w:tcPr>
            <w:tcW w:w="6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311,235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(2,150,994)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8,464,688</w:t>
            </w:r>
          </w:p>
        </w:tc>
      </w:tr>
      <w:tr>
        <w:trPr>
          <w:trHeight w:val="324"/>
        </w:trPr>
        <w:tc>
          <w:tcPr>
            <w:tcW w:w="6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424,995,174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435,732,103</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415,256,610</w:t>
            </w: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71" w:right="239" w:bottom="1440" w:gutter="0" w:footer="0" w:header="0"/>
        </w:sectPr>
      </w:pPr>
    </w:p>
    <w:bookmarkStart w:id="40" w:name="page41"/>
    <w:bookmarkEnd w:id="40"/>
    <w:p>
      <w:pPr>
        <w:spacing w:after="0" w:line="62"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u w:val="single" w:color="auto"/>
          <w:color w:val="auto"/>
        </w:rPr>
        <w:t>GENTEX CORPORATION AND SUBSIDIARIES CONSOLIDATED STATEMENTS OF SHAREHOLDERS’ INVESTMENT FOR THE YEARS ENDED DECEMBER 31, 2019, 2018 and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Common</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Retained</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Capital</w:t>
            </w: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Earnings</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36"/>
        </w:trPr>
        <w:tc>
          <w:tcPr>
            <w:tcW w:w="4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JANUARY 1, 2017</w:t>
            </w:r>
          </w:p>
        </w:tc>
        <w:tc>
          <w:tcPr>
            <w:tcW w:w="10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287,737,516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17,264,251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$683,446,463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$1,210,984,825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(1,271,305)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$1,910,424,234</w:t>
            </w: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Issuance of common stock</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4,498,729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269,923</w:t>
            </w:r>
          </w:p>
        </w:tc>
        <w:tc>
          <w:tcPr>
            <w:tcW w:w="120" w:type="dxa"/>
            <w:vAlign w:val="bottom"/>
          </w:tcPr>
          <w:p>
            <w:pPr>
              <w:spacing w:after="0"/>
              <w:rPr>
                <w:sz w:val="17"/>
                <w:szCs w:val="17"/>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47,500,544</w:t>
            </w:r>
          </w:p>
        </w:tc>
        <w:tc>
          <w:tcPr>
            <w:tcW w:w="100" w:type="dxa"/>
            <w:vAlign w:val="bottom"/>
          </w:tcPr>
          <w:p>
            <w:pPr>
              <w:spacing w:after="0"/>
              <w:rPr>
                <w:sz w:val="17"/>
                <w:szCs w:val="17"/>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47,770,467</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Repurchases of common stock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(11,954,924)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(717,295)</w:t>
            </w: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(25,813,300)</w:t>
            </w:r>
          </w:p>
        </w:tc>
        <w:tc>
          <w:tcPr>
            <w:tcW w:w="1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(204,832,621)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(231,363,216)</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160"/>
              <w:spacing w:after="0"/>
              <w:rPr>
                <w:sz w:val="20"/>
                <w:szCs w:val="20"/>
                <w:color w:val="auto"/>
              </w:rPr>
            </w:pPr>
            <w:r>
              <w:rPr>
                <w:rFonts w:ascii="Arial" w:cs="Arial" w:eastAsia="Arial" w:hAnsi="Arial"/>
                <w:sz w:val="14"/>
                <w:szCs w:val="14"/>
                <w:color w:val="auto"/>
              </w:rPr>
              <w:t>Stock-based compensation expense related to stock options,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20" w:type="dxa"/>
            <w:vAlign w:val="bottom"/>
          </w:tcPr>
          <w:p>
            <w:pPr>
              <w:ind w:left="40"/>
              <w:spacing w:after="0"/>
              <w:rPr>
                <w:sz w:val="20"/>
                <w:szCs w:val="20"/>
                <w:color w:val="auto"/>
              </w:rPr>
            </w:pPr>
            <w:r>
              <w:rPr>
                <w:rFonts w:ascii="Arial" w:cs="Arial" w:eastAsia="Arial" w:hAnsi="Arial"/>
                <w:sz w:val="14"/>
                <w:szCs w:val="14"/>
                <w:color w:val="auto"/>
              </w:rPr>
              <w:t>employee stock purchases and restricted stock</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18,376,965</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18,376,965</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Dividends declared ($.39 per share)</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(110,946,799)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(110,946,799)</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406,791,922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406,791,922</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income</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8,464,688</w:t>
            </w:r>
          </w:p>
        </w:tc>
        <w:tc>
          <w:tcPr>
            <w:tcW w:w="1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8,464,688</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0"/>
              <w:spacing w:after="0"/>
              <w:rPr>
                <w:sz w:val="20"/>
                <w:szCs w:val="20"/>
                <w:color w:val="auto"/>
              </w:rPr>
            </w:pPr>
            <w:r>
              <w:rPr>
                <w:rFonts w:ascii="Arial" w:cs="Arial" w:eastAsia="Arial" w:hAnsi="Arial"/>
                <w:sz w:val="14"/>
                <w:szCs w:val="14"/>
                <w:color w:val="auto"/>
              </w:rPr>
              <w:t>BALANCE AS OF DECEMBER 31, 2017</w:t>
            </w:r>
          </w:p>
        </w:tc>
        <w:tc>
          <w:tcPr>
            <w:tcW w:w="10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280,281,321</w:t>
            </w:r>
          </w:p>
        </w:tc>
        <w:tc>
          <w:tcPr>
            <w:tcW w:w="12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16,816,879</w:t>
            </w:r>
          </w:p>
        </w:tc>
        <w:tc>
          <w:tcPr>
            <w:tcW w:w="120" w:type="dxa"/>
            <w:vAlign w:val="bottom"/>
          </w:tcPr>
          <w:p>
            <w:pPr>
              <w:spacing w:after="0"/>
              <w:rPr>
                <w:sz w:val="16"/>
                <w:szCs w:val="16"/>
                <w:color w:val="auto"/>
              </w:rPr>
            </w:pPr>
          </w:p>
        </w:tc>
        <w:tc>
          <w:tcPr>
            <w:tcW w:w="10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$723,510,672</w:t>
            </w:r>
          </w:p>
        </w:tc>
        <w:tc>
          <w:tcPr>
            <w:tcW w:w="100" w:type="dxa"/>
            <w:vAlign w:val="bottom"/>
          </w:tcPr>
          <w:p>
            <w:pPr>
              <w:spacing w:after="0"/>
              <w:rPr>
                <w:sz w:val="16"/>
                <w:szCs w:val="16"/>
                <w:color w:val="auto"/>
              </w:rPr>
            </w:pPr>
          </w:p>
        </w:tc>
        <w:tc>
          <w:tcPr>
            <w:tcW w:w="11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$1,301,997,327</w:t>
            </w:r>
          </w:p>
        </w:tc>
        <w:tc>
          <w:tcPr>
            <w:tcW w:w="100" w:type="dxa"/>
            <w:vAlign w:val="bottom"/>
          </w:tcPr>
          <w:p>
            <w:pPr>
              <w:spacing w:after="0"/>
              <w:rPr>
                <w:sz w:val="16"/>
                <w:szCs w:val="16"/>
                <w:color w:val="auto"/>
              </w:rPr>
            </w:pPr>
          </w:p>
        </w:tc>
        <w:tc>
          <w:tcPr>
            <w:tcW w:w="22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7,193,383</w:t>
            </w:r>
          </w:p>
        </w:tc>
        <w:tc>
          <w:tcPr>
            <w:tcW w:w="120" w:type="dxa"/>
            <w:vAlign w:val="bottom"/>
          </w:tcPr>
          <w:p>
            <w:pPr>
              <w:spacing w:after="0"/>
              <w:rPr>
                <w:sz w:val="16"/>
                <w:szCs w:val="16"/>
                <w:color w:val="auto"/>
              </w:rPr>
            </w:pPr>
          </w:p>
        </w:tc>
        <w:tc>
          <w:tcPr>
            <w:tcW w:w="11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$2,049,518,261</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5,496,659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329,801</w:t>
            </w: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66,508,019</w:t>
            </w: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66,837,820</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Repurchases of common stock</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(26,449,367)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(1,586,963)</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(63,000,528)</w:t>
            </w:r>
          </w:p>
        </w:tc>
        <w:tc>
          <w:tcPr>
            <w:tcW w:w="1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(526,990,360)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(591,577,851)</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 expense related to stock options,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stock purchases and restricted stock</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18,305,981</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18,305,981</w:t>
            </w: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Impact of ASU 2016-01 adoption</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6,642,727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(6,642,727)</w:t>
            </w:r>
          </w:p>
        </w:tc>
        <w:tc>
          <w:tcPr>
            <w:tcW w:w="120" w:type="dxa"/>
            <w:vAlign w:val="bottom"/>
          </w:tcPr>
          <w:p>
            <w:pPr>
              <w:spacing w:after="0"/>
              <w:rPr>
                <w:sz w:val="17"/>
                <w:szCs w:val="17"/>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Dividends declared ($.44 per share)</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(117,064,654)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(117,064,654)</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437,883,097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437,883,097</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(loss)</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(2,150,994)</w:t>
            </w:r>
          </w:p>
        </w:tc>
        <w:tc>
          <w:tcPr>
            <w:tcW w:w="1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(2,150,994)</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tcBorders>
              <w:bottom w:val="single" w:sz="8" w:color="auto"/>
            </w:tcBorders>
            <w:gridSpan w:val="2"/>
            <w:vMerge w:val="continue"/>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gridSpan w:val="2"/>
            <w:vMerge w:val="continue"/>
            <w:shd w:val="clear" w:color="auto" w:fill="CCEEFF"/>
          </w:tcPr>
          <w:p>
            <w:pPr>
              <w:spacing w:after="0"/>
              <w:rPr>
                <w:sz w:val="5"/>
                <w:szCs w:val="5"/>
                <w:color w:val="auto"/>
              </w:rPr>
            </w:pPr>
          </w:p>
        </w:tc>
        <w:tc>
          <w:tcPr>
            <w:tcW w:w="1120" w:type="dxa"/>
            <w:vAlign w:val="bottom"/>
            <w:tcBorders>
              <w:bottom w:val="single" w:sz="8" w:color="auto"/>
            </w:tcBorders>
            <w:gridSpan w:val="2"/>
            <w:vMerge w:val="continue"/>
            <w:shd w:val="clear" w:color="auto" w:fill="CCEEFF"/>
          </w:tcPr>
          <w:p>
            <w:pPr>
              <w:spacing w:after="0"/>
              <w:rPr>
                <w:sz w:val="5"/>
                <w:szCs w:val="5"/>
                <w:color w:val="auto"/>
              </w:rPr>
            </w:pPr>
          </w:p>
        </w:tc>
        <w:tc>
          <w:tcPr>
            <w:tcW w:w="1260" w:type="dxa"/>
            <w:vAlign w:val="bottom"/>
            <w:tcBorders>
              <w:bottom w:val="single" w:sz="8" w:color="auto"/>
            </w:tcBorders>
            <w:gridSpan w:val="2"/>
            <w:vMerge w:val="continue"/>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0"/>
              <w:spacing w:after="0"/>
              <w:rPr>
                <w:sz w:val="20"/>
                <w:szCs w:val="20"/>
                <w:color w:val="auto"/>
              </w:rPr>
            </w:pPr>
            <w:r>
              <w:rPr>
                <w:rFonts w:ascii="Arial" w:cs="Arial" w:eastAsia="Arial" w:hAnsi="Arial"/>
                <w:sz w:val="14"/>
                <w:szCs w:val="14"/>
                <w:color w:val="auto"/>
              </w:rPr>
              <w:t>BALANCE AS OF DECEMBER 31, 2018</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259,328,613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15,559,717</w:t>
            </w:r>
          </w:p>
        </w:tc>
        <w:tc>
          <w:tcPr>
            <w:tcW w:w="1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$745,324,144</w:t>
            </w:r>
          </w:p>
        </w:tc>
        <w:tc>
          <w:tcPr>
            <w:tcW w:w="10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$1,102,468,137</w:t>
            </w:r>
          </w:p>
        </w:tc>
        <w:tc>
          <w:tcPr>
            <w:tcW w:w="100" w:type="dxa"/>
            <w:vAlign w:val="bottom"/>
          </w:tcPr>
          <w:p>
            <w:pPr>
              <w:spacing w:after="0"/>
              <w:rPr>
                <w:sz w:val="16"/>
                <w:szCs w:val="16"/>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(1,600,338)</w:t>
            </w:r>
          </w:p>
        </w:tc>
        <w:tc>
          <w:tcPr>
            <w:tcW w:w="12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$1,861,751,660</w:t>
            </w:r>
          </w:p>
        </w:tc>
        <w:tc>
          <w:tcPr>
            <w:tcW w:w="0" w:type="dxa"/>
            <w:vAlign w:val="bottom"/>
          </w:tcPr>
          <w:p>
            <w:pPr>
              <w:spacing w:after="0"/>
              <w:rPr>
                <w:sz w:val="1"/>
                <w:szCs w:val="1"/>
                <w:color w:val="auto"/>
              </w:rPr>
            </w:pPr>
          </w:p>
        </w:tc>
      </w:tr>
      <w:tr>
        <w:trPr>
          <w:trHeight w:val="74"/>
        </w:trPr>
        <w:tc>
          <w:tcPr>
            <w:tcW w:w="44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5,724,840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343,490</w:t>
            </w: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77,477,661</w:t>
            </w: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77,821,151</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Repurchases of common stock</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(13,775,938)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(826,556)</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(36,544,858)</w:t>
            </w:r>
          </w:p>
        </w:tc>
        <w:tc>
          <w:tcPr>
            <w:tcW w:w="1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(294,099,978)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(331,471,392)</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 expense related to stock options,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stock purchases and restricted stock</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21,671,192</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21,671,192</w:t>
            </w: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Dividends declared ($.46 per share)</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(116,679,965)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(116,679,965)</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424,683,939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424,683,939</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Other comprehensive income</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311,235</w:t>
            </w:r>
          </w:p>
        </w:tc>
        <w:tc>
          <w:tcPr>
            <w:tcW w:w="120" w:type="dxa"/>
            <w:vAlign w:val="bottom"/>
          </w:tcPr>
          <w:p>
            <w:pPr>
              <w:spacing w:after="0"/>
              <w:rPr>
                <w:sz w:val="17"/>
                <w:szCs w:val="17"/>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311,235</w:t>
            </w:r>
          </w:p>
        </w:tc>
        <w:tc>
          <w:tcPr>
            <w:tcW w:w="0" w:type="dxa"/>
            <w:vAlign w:val="bottom"/>
          </w:tcPr>
          <w:p>
            <w:pPr>
              <w:spacing w:after="0"/>
              <w:rPr>
                <w:sz w:val="1"/>
                <w:szCs w:val="1"/>
                <w:color w:val="auto"/>
              </w:rPr>
            </w:pPr>
          </w:p>
        </w:tc>
      </w:tr>
      <w:tr>
        <w:trPr>
          <w:trHeight w:val="60"/>
        </w:trPr>
        <w:tc>
          <w:tcPr>
            <w:tcW w:w="44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vMerge w:val="continue"/>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1260" w:type="dxa"/>
            <w:vAlign w:val="bottom"/>
            <w:tcBorders>
              <w:bottom w:val="single" w:sz="8" w:color="auto"/>
            </w:tcBorders>
            <w:gridSpan w:val="2"/>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2019</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251,277,515</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15,076,651</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$807,928,139</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$1,116,372,133</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(1,289,103)</w:t>
            </w:r>
          </w:p>
        </w:tc>
        <w:tc>
          <w:tcPr>
            <w:tcW w:w="1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$1,938,087,820</w:t>
            </w:r>
          </w:p>
        </w:tc>
        <w:tc>
          <w:tcPr>
            <w:tcW w:w="0" w:type="dxa"/>
            <w:vAlign w:val="bottom"/>
          </w:tcPr>
          <w:p>
            <w:pPr>
              <w:spacing w:after="0"/>
              <w:rPr>
                <w:sz w:val="1"/>
                <w:szCs w:val="1"/>
                <w:color w:val="auto"/>
              </w:rPr>
            </w:pPr>
          </w:p>
        </w:tc>
      </w:tr>
      <w:tr>
        <w:trPr>
          <w:trHeight w:val="60"/>
        </w:trPr>
        <w:tc>
          <w:tcPr>
            <w:tcW w:w="44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 There may be some differences due to rounding.</w:t>
      </w:r>
    </w:p>
    <w:p>
      <w:pPr>
        <w:spacing w:after="0" w:line="200" w:lineRule="exact"/>
        <w:rPr>
          <w:sz w:val="20"/>
          <w:szCs w:val="20"/>
          <w:color w:val="auto"/>
        </w:rPr>
      </w:pPr>
    </w:p>
    <w:p>
      <w:pPr>
        <w:spacing w:after="0" w:line="349" w:lineRule="exact"/>
        <w:rPr>
          <w:sz w:val="20"/>
          <w:szCs w:val="20"/>
          <w:color w:val="auto"/>
        </w:rPr>
      </w:pPr>
    </w:p>
    <w:p>
      <w:pPr>
        <w:ind w:left="3780"/>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44" w:lineRule="exact"/>
        <w:rPr>
          <w:sz w:val="20"/>
          <w:szCs w:val="20"/>
          <w:color w:val="auto"/>
        </w:rPr>
      </w:pPr>
    </w:p>
    <w:p>
      <w:pPr>
        <w:ind w:left="3620"/>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144" w:lineRule="exact"/>
        <w:rPr>
          <w:sz w:val="20"/>
          <w:szCs w:val="20"/>
          <w:color w:val="auto"/>
        </w:rPr>
      </w:pPr>
    </w:p>
    <w:p>
      <w:pPr>
        <w:ind w:left="3000"/>
        <w:spacing w:after="0"/>
        <w:rPr>
          <w:sz w:val="20"/>
          <w:szCs w:val="20"/>
          <w:color w:val="auto"/>
        </w:rPr>
      </w:pPr>
      <w:r>
        <w:rPr>
          <w:rFonts w:ascii="Arial" w:cs="Arial" w:eastAsia="Arial" w:hAnsi="Arial"/>
          <w:sz w:val="18"/>
          <w:szCs w:val="18"/>
          <w:u w:val="single" w:color="auto"/>
          <w:color w:val="auto"/>
        </w:rPr>
        <w:t>FOR THE YEARS ENDED DECEMBER 31, 2019, 2018 AND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424,683,939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437,883,097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406,791,922</w:t>
            </w:r>
          </w:p>
        </w:tc>
      </w:tr>
      <w:tr>
        <w:trPr>
          <w:trHeight w:val="27"/>
        </w:trPr>
        <w:tc>
          <w:tcPr>
            <w:tcW w:w="6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63"/>
        </w:trPr>
        <w:tc>
          <w:tcPr>
            <w:tcW w:w="61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104,702,974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102,186,814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99,570,908</w:t>
            </w:r>
          </w:p>
        </w:tc>
      </w:tr>
      <w:tr>
        <w:trPr>
          <w:trHeight w:val="277"/>
        </w:trPr>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disposal of assets</w:t>
            </w: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(188,150)</w:t>
            </w:r>
          </w:p>
        </w:tc>
      </w:tr>
      <w:tr>
        <w:trPr>
          <w:trHeight w:val="263"/>
        </w:trPr>
        <w:tc>
          <w:tcPr>
            <w:tcW w:w="6120" w:type="dxa"/>
            <w:vAlign w:val="bottom"/>
          </w:tcPr>
          <w:p>
            <w:pPr>
              <w:ind w:left="500"/>
              <w:spacing w:after="0"/>
              <w:rPr>
                <w:sz w:val="20"/>
                <w:szCs w:val="20"/>
                <w:color w:val="auto"/>
              </w:rPr>
            </w:pPr>
            <w:r>
              <w:rPr>
                <w:rFonts w:ascii="Arial" w:cs="Arial" w:eastAsia="Arial" w:hAnsi="Arial"/>
                <w:sz w:val="18"/>
                <w:szCs w:val="18"/>
                <w:color w:val="auto"/>
              </w:rPr>
              <w:t>Loss on disposal of assets</w:t>
            </w:r>
          </w:p>
        </w:tc>
        <w:tc>
          <w:tcPr>
            <w:tcW w:w="36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588,941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108,927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299,174</w:t>
            </w:r>
          </w:p>
        </w:tc>
      </w:tr>
      <w:tr>
        <w:trPr>
          <w:trHeight w:val="277"/>
        </w:trPr>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sale of investments</w:t>
            </w: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(660,643)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(2,538,729)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(1,309,166)</w:t>
            </w:r>
          </w:p>
        </w:tc>
      </w:tr>
      <w:tr>
        <w:trPr>
          <w:trHeight w:val="263"/>
        </w:trPr>
        <w:tc>
          <w:tcPr>
            <w:tcW w:w="6120" w:type="dxa"/>
            <w:vAlign w:val="bottom"/>
          </w:tcPr>
          <w:p>
            <w:pPr>
              <w:ind w:left="500"/>
              <w:spacing w:after="0"/>
              <w:rPr>
                <w:sz w:val="20"/>
                <w:szCs w:val="20"/>
                <w:color w:val="auto"/>
              </w:rPr>
            </w:pPr>
            <w:r>
              <w:rPr>
                <w:rFonts w:ascii="Arial" w:cs="Arial" w:eastAsia="Arial" w:hAnsi="Arial"/>
                <w:sz w:val="18"/>
                <w:szCs w:val="18"/>
                <w:color w:val="auto"/>
              </w:rPr>
              <w:t>Loss on sale of investments</w:t>
            </w:r>
          </w:p>
        </w:tc>
        <w:tc>
          <w:tcPr>
            <w:tcW w:w="36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176,360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532,494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375,388</w:t>
            </w:r>
          </w:p>
        </w:tc>
      </w:tr>
      <w:tr>
        <w:trPr>
          <w:trHeight w:val="277"/>
        </w:trPr>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(3,358,537)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(4,414,739)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(14,996,179)</w:t>
            </w:r>
          </w:p>
        </w:tc>
      </w:tr>
      <w:tr>
        <w:trPr>
          <w:trHeight w:val="229"/>
        </w:trPr>
        <w:tc>
          <w:tcPr>
            <w:tcW w:w="6120" w:type="dxa"/>
            <w:vAlign w:val="bottom"/>
          </w:tcPr>
          <w:p>
            <w:pPr>
              <w:ind w:left="500"/>
              <w:spacing w:after="0"/>
              <w:rPr>
                <w:sz w:val="20"/>
                <w:szCs w:val="20"/>
                <w:color w:val="auto"/>
              </w:rPr>
            </w:pPr>
            <w:r>
              <w:rPr>
                <w:rFonts w:ascii="Arial" w:cs="Arial" w:eastAsia="Arial" w:hAnsi="Arial"/>
                <w:sz w:val="18"/>
                <w:szCs w:val="18"/>
                <w:color w:val="auto"/>
              </w:rPr>
              <w:t>Stock based compensation expense related to employee stock</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4"/>
        </w:trPr>
        <w:tc>
          <w:tcPr>
            <w:tcW w:w="6120" w:type="dxa"/>
            <w:vAlign w:val="bottom"/>
          </w:tcPr>
          <w:p>
            <w:pPr>
              <w:ind w:left="500"/>
              <w:spacing w:after="0"/>
              <w:rPr>
                <w:sz w:val="20"/>
                <w:szCs w:val="20"/>
                <w:color w:val="auto"/>
              </w:rPr>
            </w:pPr>
            <w:r>
              <w:rPr>
                <w:rFonts w:ascii="Arial" w:cs="Arial" w:eastAsia="Arial" w:hAnsi="Arial"/>
                <w:sz w:val="18"/>
                <w:szCs w:val="18"/>
                <w:color w:val="auto"/>
              </w:rPr>
              <w:t>options, employee stock purchases and restricted stock</w:t>
            </w:r>
          </w:p>
        </w:tc>
        <w:tc>
          <w:tcPr>
            <w:tcW w:w="3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21,671,192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18,305,981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18,376,965</w:t>
            </w:r>
          </w:p>
        </w:tc>
      </w:tr>
      <w:tr>
        <w:trPr>
          <w:trHeight w:val="257"/>
        </w:trPr>
        <w:tc>
          <w:tcPr>
            <w:tcW w:w="6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3"/>
        </w:trPr>
        <w:tc>
          <w:tcPr>
            <w:tcW w:w="6120" w:type="dxa"/>
            <w:vAlign w:val="bottom"/>
          </w:tcPr>
          <w:p>
            <w:pPr>
              <w:ind w:left="8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(21,872,527)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17,583,989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(19,530,043)</w:t>
            </w:r>
          </w:p>
        </w:tc>
      </w:tr>
      <w:tr>
        <w:trPr>
          <w:trHeight w:val="277"/>
        </w:trPr>
        <w:tc>
          <w:tcPr>
            <w:tcW w:w="6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(23,660,256)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(8,516,016)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(27,454,146)</w:t>
            </w:r>
          </w:p>
        </w:tc>
      </w:tr>
      <w:tr>
        <w:trPr>
          <w:trHeight w:val="263"/>
        </w:trPr>
        <w:tc>
          <w:tcPr>
            <w:tcW w:w="6120" w:type="dxa"/>
            <w:vAlign w:val="bottom"/>
          </w:tcPr>
          <w:p>
            <w:pPr>
              <w:ind w:left="820"/>
              <w:spacing w:after="0"/>
              <w:rPr>
                <w:sz w:val="20"/>
                <w:szCs w:val="20"/>
                <w:color w:val="auto"/>
              </w:rPr>
            </w:pPr>
            <w:r>
              <w:rPr>
                <w:rFonts w:ascii="Arial" w:cs="Arial" w:eastAsia="Arial" w:hAnsi="Arial"/>
                <w:sz w:val="18"/>
                <w:szCs w:val="18"/>
                <w:color w:val="auto"/>
              </w:rPr>
              <w:t>Prepaid expenses and other</w:t>
            </w:r>
          </w:p>
        </w:tc>
        <w:tc>
          <w:tcPr>
            <w:tcW w:w="3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(3,646,457)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(11,268,677)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16,183,673</w:t>
            </w:r>
          </w:p>
        </w:tc>
      </w:tr>
      <w:tr>
        <w:trPr>
          <w:trHeight w:val="277"/>
        </w:trPr>
        <w:tc>
          <w:tcPr>
            <w:tcW w:w="6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4,743,601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2,911,849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9,934,837</w:t>
            </w:r>
          </w:p>
        </w:tc>
      </w:tr>
      <w:tr>
        <w:trPr>
          <w:trHeight w:val="264"/>
        </w:trPr>
        <w:tc>
          <w:tcPr>
            <w:tcW w:w="61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2,753,427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220,856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12,947,597</w:t>
            </w:r>
          </w:p>
        </w:tc>
      </w:tr>
      <w:tr>
        <w:trPr>
          <w:trHeight w:val="257"/>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flows from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505,966,864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552,418,646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501,002,780</w:t>
            </w:r>
          </w:p>
        </w:tc>
      </w:tr>
      <w:tr>
        <w:trPr>
          <w:trHeight w:val="223"/>
        </w:trPr>
        <w:tc>
          <w:tcPr>
            <w:tcW w:w="6120" w:type="dxa"/>
            <w:vAlign w:val="bottom"/>
          </w:tcPr>
          <w:p>
            <w:pPr>
              <w:ind w:left="40"/>
              <w:spacing w:after="0"/>
              <w:rPr>
                <w:sz w:val="20"/>
                <w:szCs w:val="20"/>
                <w:color w:val="auto"/>
              </w:rPr>
            </w:pPr>
            <w:r>
              <w:rPr>
                <w:rFonts w:ascii="Arial" w:cs="Arial" w:eastAsia="Arial" w:hAnsi="Arial"/>
                <w:sz w:val="18"/>
                <w:szCs w:val="18"/>
                <w:color w:val="auto"/>
              </w:rPr>
              <w:t>CASH FLOWS USED FOR INVESTING ACTIVITIES: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1"/>
        </w:trPr>
        <w:tc>
          <w:tcPr>
            <w:tcW w:w="6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Activity in 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3"/>
        </w:trPr>
        <w:tc>
          <w:tcPr>
            <w:tcW w:w="6120" w:type="dxa"/>
            <w:vAlign w:val="bottom"/>
          </w:tcPr>
          <w:p>
            <w:pPr>
              <w:ind w:left="720"/>
              <w:spacing w:after="0"/>
              <w:rPr>
                <w:sz w:val="20"/>
                <w:szCs w:val="20"/>
                <w:color w:val="auto"/>
              </w:rPr>
            </w:pPr>
            <w:r>
              <w:rPr>
                <w:rFonts w:ascii="Arial" w:cs="Arial" w:eastAsia="Arial" w:hAnsi="Arial"/>
                <w:sz w:val="18"/>
                <w:szCs w:val="18"/>
                <w:color w:val="auto"/>
              </w:rPr>
              <w:t>Sales proceeds</w:t>
            </w:r>
          </w:p>
        </w:tc>
        <w:tc>
          <w:tcPr>
            <w:tcW w:w="36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57,139,135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55,248,551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30,207,523</w:t>
            </w:r>
          </w:p>
        </w:tc>
      </w:tr>
      <w:tr>
        <w:trPr>
          <w:trHeight w:val="77"/>
        </w:trPr>
        <w:tc>
          <w:tcPr>
            <w:tcW w:w="6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571" w:right="2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Maturities and calls</w:t>
            </w: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125,013,589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181,892,136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23,100,000</w:t>
            </w:r>
          </w:p>
        </w:tc>
        <w:tc>
          <w:tcPr>
            <w:tcW w:w="0" w:type="dxa"/>
            <w:vAlign w:val="bottom"/>
          </w:tcPr>
          <w:p>
            <w:pPr>
              <w:spacing w:after="0"/>
              <w:rPr>
                <w:sz w:val="1"/>
                <w:szCs w:val="1"/>
                <w:color w:val="auto"/>
              </w:rPr>
            </w:pPr>
          </w:p>
        </w:tc>
      </w:tr>
      <w:tr>
        <w:trPr>
          <w:trHeight w:val="263"/>
        </w:trPr>
        <w:tc>
          <w:tcPr>
            <w:tcW w:w="5600" w:type="dxa"/>
            <w:vAlign w:val="bottom"/>
          </w:tcPr>
          <w:p>
            <w:pPr>
              <w:ind w:left="720"/>
              <w:spacing w:after="0"/>
              <w:rPr>
                <w:sz w:val="20"/>
                <w:szCs w:val="20"/>
                <w:color w:val="auto"/>
              </w:rPr>
            </w:pPr>
            <w:r>
              <w:rPr>
                <w:rFonts w:ascii="Arial" w:cs="Arial" w:eastAsia="Arial" w:hAnsi="Arial"/>
                <w:sz w:val="18"/>
                <w:szCs w:val="18"/>
                <w:color w:val="auto"/>
              </w:rPr>
              <w:t>Purchases</w:t>
            </w: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(153,257,603)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(332,106,362)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(29,874,960)</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Plant and equipment additions</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(84,580,255)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(85,990,570)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(104,040,919)</w:t>
            </w:r>
          </w:p>
        </w:tc>
        <w:tc>
          <w:tcPr>
            <w:tcW w:w="0" w:type="dxa"/>
            <w:vAlign w:val="bottom"/>
          </w:tcPr>
          <w:p>
            <w:pPr>
              <w:spacing w:after="0"/>
              <w:rPr>
                <w:sz w:val="1"/>
                <w:szCs w:val="1"/>
                <w:color w:val="auto"/>
              </w:rPr>
            </w:pPr>
          </w:p>
        </w:tc>
      </w:tr>
      <w:tr>
        <w:trPr>
          <w:trHeight w:val="263"/>
        </w:trPr>
        <w:tc>
          <w:tcPr>
            <w:tcW w:w="5600" w:type="dxa"/>
            <w:vAlign w:val="bottom"/>
          </w:tcPr>
          <w:p>
            <w:pPr>
              <w:ind w:left="380"/>
              <w:spacing w:after="0"/>
              <w:rPr>
                <w:sz w:val="20"/>
                <w:szCs w:val="20"/>
                <w:color w:val="auto"/>
              </w:rPr>
            </w:pPr>
            <w:r>
              <w:rPr>
                <w:rFonts w:ascii="Arial" w:cs="Arial" w:eastAsia="Arial" w:hAnsi="Arial"/>
                <w:sz w:val="18"/>
                <w:szCs w:val="18"/>
                <w:color w:val="auto"/>
              </w:rPr>
              <w:t>Proceeds from sale of plant and equipment</w:t>
            </w: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2,001,315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738,093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249,757</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Decrease in other assets</w:t>
            </w:r>
          </w:p>
        </w:tc>
        <w:tc>
          <w:tcPr>
            <w:tcW w:w="5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(3,027,263)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(5,603,042)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2,646,029</w:t>
            </w: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used for investing activities</w:t>
            </w:r>
          </w:p>
        </w:tc>
        <w:tc>
          <w:tcPr>
            <w:tcW w:w="5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(56,711,082)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(185,821,194)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(77,712,570)</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FOR FINANCING ACTIVITIES:</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0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(78,000,000)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(107,625,000)</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Issuance of common stock from stock plan transactions</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77,821,151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66,837,820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47,770,467</w:t>
            </w:r>
          </w:p>
        </w:tc>
        <w:tc>
          <w:tcPr>
            <w:tcW w:w="0" w:type="dxa"/>
            <w:vAlign w:val="bottom"/>
          </w:tcPr>
          <w:p>
            <w:pPr>
              <w:spacing w:after="0"/>
              <w:rPr>
                <w:sz w:val="1"/>
                <w:szCs w:val="1"/>
                <w:color w:val="auto"/>
              </w:rPr>
            </w:pPr>
          </w:p>
        </w:tc>
      </w:tr>
      <w:tr>
        <w:trPr>
          <w:trHeight w:val="263"/>
        </w:trPr>
        <w:tc>
          <w:tcPr>
            <w:tcW w:w="5600" w:type="dxa"/>
            <w:vAlign w:val="bottom"/>
          </w:tcPr>
          <w:p>
            <w:pPr>
              <w:ind w:left="380"/>
              <w:spacing w:after="0"/>
              <w:rPr>
                <w:sz w:val="20"/>
                <w:szCs w:val="20"/>
                <w:color w:val="auto"/>
              </w:rPr>
            </w:pPr>
            <w:r>
              <w:rPr>
                <w:rFonts w:ascii="Arial" w:cs="Arial" w:eastAsia="Arial" w:hAnsi="Arial"/>
                <w:sz w:val="18"/>
                <w:szCs w:val="18"/>
                <w:color w:val="auto"/>
              </w:rPr>
              <w:t>Cash dividends paid</w:t>
            </w: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(116,309,197)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(116,566,639)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(108,815,040)</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Repurchases of common stock</w:t>
            </w:r>
          </w:p>
        </w:tc>
        <w:tc>
          <w:tcPr>
            <w:tcW w:w="5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(331,471,392)</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(591,577,851)</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(231,363,216)</w:t>
            </w: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used for financing activities</w:t>
            </w:r>
          </w:p>
        </w:tc>
        <w:tc>
          <w:tcPr>
            <w:tcW w:w="5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(369,959,438)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(719,306,670)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(400,032,789)</w:t>
            </w:r>
          </w:p>
        </w:tc>
        <w:tc>
          <w:tcPr>
            <w:tcW w:w="0" w:type="dxa"/>
            <w:vAlign w:val="bottom"/>
          </w:tcPr>
          <w:p>
            <w:pPr>
              <w:spacing w:after="0"/>
              <w:rPr>
                <w:sz w:val="1"/>
                <w:szCs w:val="1"/>
                <w:color w:val="auto"/>
              </w:rPr>
            </w:pPr>
          </w:p>
        </w:tc>
      </w:tr>
      <w:tr>
        <w:trPr>
          <w:trHeight w:val="459"/>
        </w:trPr>
        <w:tc>
          <w:tcPr>
            <w:tcW w:w="56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w w:val="99"/>
              </w:rPr>
              <w:t>NET INCREASE (DECREASE) IN CASH AND CASH EQUIVALENTS</w:t>
            </w: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79,296,344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(352,709,218)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23,257,421</w:t>
            </w:r>
          </w:p>
        </w:tc>
        <w:tc>
          <w:tcPr>
            <w:tcW w:w="0" w:type="dxa"/>
            <w:vAlign w:val="bottom"/>
          </w:tcPr>
          <w:p>
            <w:pPr>
              <w:spacing w:after="0"/>
              <w:rPr>
                <w:sz w:val="1"/>
                <w:szCs w:val="1"/>
                <w:color w:val="auto"/>
              </w:rPr>
            </w:pPr>
          </w:p>
        </w:tc>
      </w:tr>
      <w:tr>
        <w:trPr>
          <w:trHeight w:val="331"/>
        </w:trPr>
        <w:tc>
          <w:tcPr>
            <w:tcW w:w="56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5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217,025,278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569,734,496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546,477,075</w:t>
            </w:r>
          </w:p>
        </w:tc>
        <w:tc>
          <w:tcPr>
            <w:tcW w:w="0" w:type="dxa"/>
            <w:vAlign w:val="bottom"/>
          </w:tcPr>
          <w:p>
            <w:pPr>
              <w:spacing w:after="0"/>
              <w:rPr>
                <w:sz w:val="1"/>
                <w:szCs w:val="1"/>
                <w:color w:val="auto"/>
              </w:rPr>
            </w:pPr>
          </w:p>
        </w:tc>
      </w:tr>
      <w:tr>
        <w:trPr>
          <w:trHeight w:val="324"/>
        </w:trPr>
        <w:tc>
          <w:tcPr>
            <w:tcW w:w="56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40"/>
              <w:spacing w:after="0"/>
              <w:rPr>
                <w:sz w:val="20"/>
                <w:szCs w:val="20"/>
                <w:color w:val="auto"/>
              </w:rPr>
            </w:pPr>
            <w:r>
              <w:rPr>
                <w:rFonts w:ascii="Arial" w:cs="Arial" w:eastAsia="Arial" w:hAnsi="Arial"/>
                <w:sz w:val="18"/>
                <w:szCs w:val="18"/>
                <w:color w:val="auto"/>
              </w:rPr>
              <w:t>CASH AND CASH EQUIVALENTS, End of year</w:t>
            </w: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296,321,622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217,025,278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569,734,496</w:t>
            </w:r>
          </w:p>
        </w:tc>
        <w:tc>
          <w:tcPr>
            <w:tcW w:w="0" w:type="dxa"/>
            <w:vAlign w:val="bottom"/>
          </w:tcPr>
          <w:p>
            <w:pPr>
              <w:spacing w:after="0"/>
              <w:rPr>
                <w:sz w:val="1"/>
                <w:szCs w:val="1"/>
                <w:color w:val="auto"/>
              </w:rPr>
            </w:pPr>
          </w:p>
        </w:tc>
      </w:tr>
      <w:tr>
        <w:trPr>
          <w:trHeight w:val="20"/>
        </w:trPr>
        <w:tc>
          <w:tcPr>
            <w:tcW w:w="6120" w:type="dxa"/>
            <w:vAlign w:val="bottom"/>
            <w:gridSpan w:val="2"/>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9760" w:type="dxa"/>
            <w:vAlign w:val="bottom"/>
            <w:gridSpan w:val="8"/>
          </w:tcPr>
          <w:p>
            <w:pPr>
              <w:jc w:val="center"/>
              <w:ind w:left="157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4"/>
                <w:szCs w:val="24"/>
                <w:color w:val="auto"/>
              </w:rPr>
            </w:pP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9"/>
              </w:rPr>
              <w:t>41</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0" w:right="29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900" w:firstLine="8"/>
        <w:spacing w:after="0" w:line="407"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AND REPORTING POLICIES </w:t>
      </w:r>
      <w:r>
        <w:rPr>
          <w:rFonts w:ascii="Arial" w:cs="Arial" w:eastAsia="Arial" w:hAnsi="Arial"/>
          <w:sz w:val="18"/>
          <w:szCs w:val="18"/>
          <w:u w:val="single" w:color="auto"/>
          <w:color w:val="auto"/>
        </w:rPr>
        <w:t>The Company</w:t>
      </w:r>
    </w:p>
    <w:p>
      <w:pPr>
        <w:jc w:val="both"/>
        <w:spacing w:after="0" w:line="253" w:lineRule="auto"/>
        <w:rPr>
          <w:sz w:val="20"/>
          <w:szCs w:val="20"/>
          <w:color w:val="auto"/>
        </w:rPr>
      </w:pPr>
      <w:r>
        <w:rPr>
          <w:rFonts w:ascii="Arial" w:cs="Arial" w:eastAsia="Arial" w:hAnsi="Arial"/>
          <w:sz w:val="18"/>
          <w:szCs w:val="18"/>
          <w:color w:val="auto"/>
        </w:rPr>
        <w:t>Gentex Corporation including its wholly-owned subsidiaries (the "Company") is a leading supplier of digital vision, connected car, dimmable glass, and fire protection products. The Company’s largest business segment involves designing, developing, manufacturing, marketing, and supplying automatic-dimming rearview and non-dimming mirrors and various electronic modules for the automotive industry. The Company ships its product to all of the major automotive producing regions worldwide, which it supports with numerous sales, engineering and distribution locations worldwide.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substantial portion of the Company’s net sales and accounts receivable result from transactions with domestic and foreign automotive manufacturers and Tier 1 suppliers. The Company also designs, develops, manufactures, markets, and supplies dimmable aircraft windows for the aviation industry and commercial smoke alarms and signaling devices for the fire protection products industry. The Company does not require collateral or other security for trade accounts receivable.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Significant accounting policies of the Company not described elsewhere are as follows: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Consolidation</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consolidated financial statements include the accounts of Gentex Corporation and all of its wholly-owned subsidiaries. All intercompany accounts and transactions have been eliminated.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funds invested in bank accounts and money market funds that have daily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Doubtful Accounts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reviews a monthly aging report of all accounts receivable balances starting with invoices outstanding over sixty days. In addition, the Company monitors information about its customers through a variety of sources including the media, and information obtained through on-going interaction between Company personnel and the customer. Based on the evaluation of the above information, the Company estimates its allowances related to customer receivables on historical credit and collections experience, customers current financial condition and the specific identification of other potential problems, including the economic climate. Actual collections can differ, requiring adjustments to the allowances, but historically such adjustments have not been material.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the Company’s allowance for doubtful accounts: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(Reductions)</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Beginning</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 Costs and</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4"/>
                <w:szCs w:val="14"/>
                <w:color w:val="auto"/>
              </w:rPr>
            </w:pPr>
          </w:p>
        </w:tc>
        <w:tc>
          <w:tcPr>
            <w:tcW w:w="1160" w:type="dxa"/>
            <w:vAlign w:val="bottom"/>
          </w:tcPr>
          <w:p>
            <w:pPr>
              <w:jc w:val="right"/>
              <w:ind w:right="397"/>
              <w:spacing w:after="0"/>
              <w:rPr>
                <w:sz w:val="20"/>
                <w:szCs w:val="20"/>
                <w:color w:val="auto"/>
              </w:rPr>
            </w:pPr>
            <w:r>
              <w:rPr>
                <w:rFonts w:ascii="Arial" w:cs="Arial" w:eastAsia="Arial" w:hAnsi="Arial"/>
                <w:sz w:val="14"/>
                <w:szCs w:val="14"/>
                <w:b w:val="1"/>
                <w:bCs w:val="1"/>
                <w:color w:val="auto"/>
              </w:rPr>
              <w:t>Ending</w:t>
            </w:r>
          </w:p>
        </w:tc>
      </w:tr>
      <w:tr>
        <w:trPr>
          <w:trHeight w:val="196"/>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7"/>
                <w:szCs w:val="17"/>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8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2,746,647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(295,354)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2,451,293</w:t>
            </w: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3"/>
        </w:trPr>
        <w:tc>
          <w:tcPr>
            <w:tcW w:w="48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2,714,533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32,114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2,746,647</w:t>
            </w: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7"/>
        </w:trPr>
        <w:tc>
          <w:tcPr>
            <w:tcW w:w="48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2,917,424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(202,891)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2,714,533</w:t>
            </w:r>
          </w:p>
        </w:tc>
      </w:tr>
    </w:tbl>
    <w:p>
      <w:pPr>
        <w:spacing w:after="0" w:line="200" w:lineRule="exact"/>
        <w:rPr>
          <w:sz w:val="20"/>
          <w:szCs w:val="20"/>
          <w:color w:val="auto"/>
        </w:rPr>
      </w:pPr>
    </w:p>
    <w:p>
      <w:pPr>
        <w:spacing w:after="0" w:line="3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Company’s allowance for doubtful accounts primarily relates to financially distressed automotive customers. The Company continues to work with these financially distressed customers in collecting past due balances.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follows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determines the fair value of its government securities, asset-backed securities, corporate bonds, and certain mutual funds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will also periodically make technology investments in certain non-consolidated third-parties.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Equity investments that do not have readily determinable fair values, and where the Company has not identified any observable events that would cause adjustment of the valuation to date, are held at cost. These technology investments totaled $9.0 million and $3.9 million as of December 31, 2019 and December 31, 2018, respectively. These investments are classified within Long-Term Investments in the consolidated balance sheet and are not included within the tables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December 31, 2019 and December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gridSpan w:val="7"/>
          </w:tcPr>
          <w:p>
            <w:pPr>
              <w:jc w:val="center"/>
              <w:ind w:right="135"/>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75"/>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62"/>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Active Markets</w:t>
            </w: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4"/>
                <w:szCs w:val="14"/>
                <w:color w:val="auto"/>
              </w:rPr>
            </w:pPr>
          </w:p>
        </w:tc>
        <w:tc>
          <w:tcPr>
            <w:tcW w:w="1560" w:type="dxa"/>
            <w:vAlign w:val="bottom"/>
          </w:tcPr>
          <w:p>
            <w:pPr>
              <w:jc w:val="center"/>
              <w:ind w:right="195"/>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560" w:type="dxa"/>
            <w:vAlign w:val="bottom"/>
          </w:tcPr>
          <w:p>
            <w:pPr>
              <w:jc w:val="center"/>
              <w:ind w:right="195"/>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ind w:right="593"/>
              <w:spacing w:after="0"/>
              <w:rPr>
                <w:sz w:val="20"/>
                <w:szCs w:val="20"/>
                <w:color w:val="auto"/>
              </w:rPr>
            </w:pPr>
            <w:r>
              <w:rPr>
                <w:rFonts w:ascii="Arial" w:cs="Arial" w:eastAsia="Arial" w:hAnsi="Arial"/>
                <w:sz w:val="14"/>
                <w:szCs w:val="14"/>
                <w:b w:val="1"/>
                <w:bCs w:val="1"/>
                <w:color w:val="auto"/>
              </w:rPr>
              <w:t>Total as of</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Inputs</w:t>
            </w:r>
          </w:p>
        </w:tc>
      </w:tr>
      <w:tr>
        <w:trPr>
          <w:trHeight w:val="250"/>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(Level I)</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(Level 3)</w:t>
            </w:r>
          </w:p>
        </w:tc>
      </w:tr>
      <w:tr>
        <w:trPr>
          <w:trHeight w:val="256"/>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296,321,622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296,321,622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50,099,795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50,099,795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63"/>
        </w:trPr>
        <w:tc>
          <w:tcPr>
            <w:tcW w:w="352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29,219,685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29,219,685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7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58,432,823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58,432,823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63"/>
        </w:trPr>
        <w:tc>
          <w:tcPr>
            <w:tcW w:w="352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2,631,750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2,631,750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57"/>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r>
      <w:tr>
        <w:trPr>
          <w:trHeight w:val="263"/>
        </w:trPr>
        <w:tc>
          <w:tcPr>
            <w:tcW w:w="352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25,791,029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25,791,029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7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3,557,798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3,557,798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63"/>
        </w:trPr>
        <w:tc>
          <w:tcPr>
            <w:tcW w:w="352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22,815,998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22,815,998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7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6,088,190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6,088,190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64"/>
        </w:trPr>
        <w:tc>
          <w:tcPr>
            <w:tcW w:w="3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72,638,690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72,638,690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50"/>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567,597,380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352,610,965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214,986,415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gridSpan w:val="7"/>
          </w:tcPr>
          <w:p>
            <w:pPr>
              <w:ind w:left="86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75"/>
        </w:trPr>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2"/>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Active Markets</w:t>
            </w: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 Other</w:t>
            </w:r>
          </w:p>
        </w:tc>
        <w:tc>
          <w:tcPr>
            <w:tcW w:w="260" w:type="dxa"/>
            <w:vAlign w:val="bottom"/>
          </w:tcPr>
          <w:p>
            <w:pPr>
              <w:spacing w:after="0"/>
              <w:rPr>
                <w:sz w:val="14"/>
                <w:szCs w:val="14"/>
                <w:color w:val="auto"/>
              </w:rPr>
            </w:pPr>
          </w:p>
        </w:tc>
        <w:tc>
          <w:tcPr>
            <w:tcW w:w="1460" w:type="dxa"/>
            <w:vAlign w:val="bottom"/>
          </w:tcPr>
          <w:p>
            <w:pPr>
              <w:jc w:val="center"/>
              <w:ind w:right="156"/>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460" w:type="dxa"/>
            <w:vAlign w:val="bottom"/>
          </w:tcPr>
          <w:p>
            <w:pPr>
              <w:jc w:val="center"/>
              <w:ind w:right="176"/>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 as of</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Inputs</w:t>
            </w:r>
          </w:p>
        </w:tc>
      </w:tr>
      <w:tr>
        <w:trPr>
          <w:trHeight w:val="250"/>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(Level I)</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(Level 3)</w:t>
            </w:r>
          </w:p>
        </w:tc>
      </w:tr>
      <w:tr>
        <w:trPr>
          <w:trHeight w:val="25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217,025,278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217,025,278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Certificate of Deposit</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150,299,384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150,299,384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6,967,700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6,967,700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Government Securities</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9,176,227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9,176,227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2,219,688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2,219,688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57"/>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60,369,930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60,369,930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18,025,432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18,025,432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64"/>
        </w:trPr>
        <w:tc>
          <w:tcPr>
            <w:tcW w:w="3760" w:type="dxa"/>
            <w:vAlign w:val="bottom"/>
          </w:tcPr>
          <w:p>
            <w:pPr>
              <w:ind w:left="38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56,483,720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56,483,720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50"/>
        </w:trPr>
        <w:tc>
          <w:tcPr>
            <w:tcW w:w="3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520,567,359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369,544,350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151,023,009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December 31, 2019 and 2018: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973"/>
              <w:spacing w:after="0"/>
              <w:rPr>
                <w:sz w:val="20"/>
                <w:szCs w:val="20"/>
                <w:color w:val="auto"/>
              </w:rPr>
            </w:pPr>
            <w:r>
              <w:rPr>
                <w:rFonts w:ascii="Arial" w:cs="Arial" w:eastAsia="Arial" w:hAnsi="Arial"/>
                <w:sz w:val="14"/>
                <w:szCs w:val="14"/>
                <w:b w:val="1"/>
                <w:bCs w:val="1"/>
                <w:color w:val="auto"/>
              </w:rPr>
              <w:t>Unrealized</w:t>
            </w: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229"/>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9"/>
                <w:szCs w:val="19"/>
                <w:color w:val="auto"/>
              </w:rPr>
            </w:pPr>
          </w:p>
        </w:tc>
        <w:tc>
          <w:tcPr>
            <w:tcW w:w="1240" w:type="dxa"/>
            <w:vAlign w:val="bottom"/>
          </w:tcPr>
          <w:p>
            <w:pPr>
              <w:jc w:val="right"/>
              <w:ind w:right="51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Gains</w:t>
            </w:r>
          </w:p>
        </w:tc>
        <w:tc>
          <w:tcPr>
            <w:tcW w:w="52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9"/>
                <w:szCs w:val="19"/>
                <w:color w:val="auto"/>
              </w:rPr>
            </w:pPr>
          </w:p>
        </w:tc>
        <w:tc>
          <w:tcPr>
            <w:tcW w:w="1620" w:type="dxa"/>
            <w:vAlign w:val="bottom"/>
          </w:tcPr>
          <w:p>
            <w:pPr>
              <w:jc w:val="right"/>
              <w:ind w:right="452"/>
              <w:spacing w:after="0"/>
              <w:rPr>
                <w:sz w:val="20"/>
                <w:szCs w:val="20"/>
                <w:color w:val="auto"/>
              </w:rPr>
            </w:pPr>
            <w:r>
              <w:rPr>
                <w:rFonts w:ascii="Arial" w:cs="Arial" w:eastAsia="Arial" w:hAnsi="Arial"/>
                <w:sz w:val="14"/>
                <w:szCs w:val="14"/>
                <w:b w:val="1"/>
                <w:bCs w:val="1"/>
                <w:color w:val="auto"/>
              </w:rPr>
              <w:t>Market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50,099,795</w:t>
            </w: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50,099,795</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29,025,624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194,061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29,219,685</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Government Securities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58,343,911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99,917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58,432,823</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2,631,750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2,631,750</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Long-Term Investments: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25,971,156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25,791,029</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58,808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3,557,798</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22,306,130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509,868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22,815,998</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Government Securities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6,012,705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75,485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6,088,190</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71,997,996</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1,036,116</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(395,422)</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72,638,690</w:t>
            </w:r>
          </w:p>
        </w:tc>
      </w:tr>
      <w:tr>
        <w:trPr>
          <w:trHeight w:val="244"/>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269,889,067</w:t>
            </w: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1,974,255</w:t>
            </w:r>
          </w:p>
        </w:tc>
        <w:tc>
          <w:tcPr>
            <w:tcW w:w="120" w:type="dxa"/>
            <w:vAlign w:val="bottom"/>
          </w:tcPr>
          <w:p>
            <w:pPr>
              <w:spacing w:after="0"/>
              <w:rPr>
                <w:sz w:val="21"/>
                <w:szCs w:val="21"/>
                <w:color w:val="auto"/>
              </w:rPr>
            </w:pPr>
          </w:p>
        </w:tc>
        <w:tc>
          <w:tcPr>
            <w:tcW w:w="52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(587,564)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271,275,758</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44</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229"/>
        </w:trPr>
        <w:tc>
          <w:tcPr>
            <w:tcW w:w="4100" w:type="dxa"/>
            <w:vAlign w:val="bottom"/>
            <w:gridSpan w:val="3"/>
          </w:tcPr>
          <w:p>
            <w:pPr>
              <w:ind w:left="4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9"/>
                <w:szCs w:val="19"/>
                <w:color w:val="auto"/>
              </w:rPr>
            </w:pP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9"/>
                <w:szCs w:val="19"/>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9"/>
                <w:szCs w:val="19"/>
                <w:color w:val="auto"/>
              </w:rPr>
            </w:pPr>
          </w:p>
        </w:tc>
        <w:tc>
          <w:tcPr>
            <w:tcW w:w="1540" w:type="dxa"/>
            <w:vAlign w:val="bottom"/>
          </w:tcPr>
          <w:p>
            <w:pPr>
              <w:jc w:val="right"/>
              <w:ind w:right="392"/>
              <w:spacing w:after="0"/>
              <w:rPr>
                <w:sz w:val="20"/>
                <w:szCs w:val="20"/>
                <w:color w:val="auto"/>
              </w:rPr>
            </w:pPr>
            <w:r>
              <w:rPr>
                <w:rFonts w:ascii="Arial" w:cs="Arial" w:eastAsia="Arial" w:hAnsi="Arial"/>
                <w:sz w:val="14"/>
                <w:szCs w:val="14"/>
                <w:b w:val="1"/>
                <w:bCs w:val="1"/>
                <w:color w:val="auto"/>
              </w:rPr>
              <w:t>Market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150,299,384</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150,299,384</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Securities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9,186,586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9,176,227</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22"/>
                <w:szCs w:val="22"/>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6,981,305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6,967,700</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2,219,688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2,219,688</w:t>
            </w:r>
          </w:p>
        </w:tc>
      </w:tr>
      <w:tr>
        <w:trPr>
          <w:trHeight w:val="24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Long-Term Investments:</w:t>
            </w: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60,659,498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50,340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(339,908)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60,369,930</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Common Stocks</w:t>
            </w:r>
          </w:p>
        </w:tc>
        <w:tc>
          <w:tcPr>
            <w:tcW w:w="36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17,840,518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184,914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18,025,432</w:t>
            </w:r>
          </w:p>
        </w:tc>
      </w:tr>
      <w:tr>
        <w:trPr>
          <w:trHeight w:val="264"/>
        </w:trPr>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Government Securities</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56,280,552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205,553</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56,483,720</w:t>
            </w:r>
          </w:p>
        </w:tc>
      </w:tr>
      <w:tr>
        <w:trPr>
          <w:trHeight w:val="250"/>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303,467,531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440,807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303,542,081</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2019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2280" w:type="dxa"/>
            <w:vAlign w:val="bottom"/>
            <w:gridSpan w:val="3"/>
          </w:tcPr>
          <w:p>
            <w:pPr>
              <w:ind w:left="80"/>
              <w:spacing w:after="0"/>
              <w:rPr>
                <w:sz w:val="20"/>
                <w:szCs w:val="20"/>
                <w:color w:val="auto"/>
              </w:rPr>
            </w:pPr>
            <w:r>
              <w:rPr>
                <w:rFonts w:ascii="Arial" w:cs="Arial" w:eastAsia="Arial" w:hAnsi="Arial"/>
                <w:sz w:val="14"/>
                <w:szCs w:val="14"/>
                <w:b w:val="1"/>
                <w:bCs w:val="1"/>
                <w:color w:val="auto"/>
              </w:rPr>
              <w:t>Aggregate Unrealized Losses</w:t>
            </w:r>
          </w:p>
        </w:tc>
        <w:tc>
          <w:tcPr>
            <w:tcW w:w="260" w:type="dxa"/>
            <w:vAlign w:val="bottom"/>
          </w:tcPr>
          <w:p>
            <w:pPr>
              <w:spacing w:after="0"/>
              <w:rPr>
                <w:sz w:val="17"/>
                <w:szCs w:val="17"/>
                <w:color w:val="auto"/>
              </w:rPr>
            </w:pPr>
          </w:p>
        </w:tc>
        <w:tc>
          <w:tcPr>
            <w:tcW w:w="1920" w:type="dxa"/>
            <w:vAlign w:val="bottom"/>
          </w:tcPr>
          <w:p>
            <w:pPr>
              <w:jc w:val="right"/>
              <w:ind w:right="294"/>
              <w:spacing w:after="0"/>
              <w:rPr>
                <w:sz w:val="20"/>
                <w:szCs w:val="20"/>
                <w:color w:val="auto"/>
              </w:rPr>
            </w:pPr>
            <w:r>
              <w:rPr>
                <w:rFonts w:ascii="Arial" w:cs="Arial" w:eastAsia="Arial" w:hAnsi="Arial"/>
                <w:sz w:val="14"/>
                <w:szCs w:val="14"/>
                <w:b w:val="1"/>
                <w:bCs w:val="1"/>
                <w:color w:val="auto"/>
              </w:rPr>
              <w:t>Aggregate Fair Value</w:t>
            </w:r>
          </w:p>
        </w:tc>
        <w:tc>
          <w:tcPr>
            <w:tcW w:w="0" w:type="dxa"/>
            <w:vAlign w:val="bottom"/>
          </w:tcPr>
          <w:p>
            <w:pPr>
              <w:spacing w:after="0"/>
              <w:rPr>
                <w:sz w:val="1"/>
                <w:szCs w:val="1"/>
                <w:color w:val="auto"/>
              </w:rPr>
            </w:pPr>
          </w:p>
        </w:tc>
      </w:tr>
      <w:tr>
        <w:trPr>
          <w:trHeight w:val="256"/>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one year</w:t>
            </w:r>
          </w:p>
        </w:tc>
        <w:tc>
          <w:tcPr>
            <w:tcW w:w="78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587,564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90,721,081</w:t>
            </w:r>
          </w:p>
        </w:tc>
        <w:tc>
          <w:tcPr>
            <w:tcW w:w="0" w:type="dxa"/>
            <w:vAlign w:val="bottom"/>
          </w:tcPr>
          <w:p>
            <w:pPr>
              <w:spacing w:after="0"/>
              <w:rPr>
                <w:sz w:val="1"/>
                <w:szCs w:val="1"/>
                <w:color w:val="auto"/>
              </w:rPr>
            </w:pPr>
          </w:p>
        </w:tc>
      </w:tr>
      <w:tr>
        <w:trPr>
          <w:trHeight w:val="264"/>
        </w:trPr>
        <w:tc>
          <w:tcPr>
            <w:tcW w:w="6960" w:type="dxa"/>
            <w:vAlign w:val="bottom"/>
          </w:tcPr>
          <w:p>
            <w:pPr>
              <w:ind w:left="40"/>
              <w:spacing w:after="0"/>
              <w:rPr>
                <w:sz w:val="20"/>
                <w:szCs w:val="20"/>
                <w:color w:val="auto"/>
              </w:rPr>
            </w:pPr>
            <w:r>
              <w:rPr>
                <w:rFonts w:ascii="Arial" w:cs="Arial" w:eastAsia="Arial" w:hAnsi="Arial"/>
                <w:sz w:val="18"/>
                <w:szCs w:val="18"/>
                <w:color w:val="auto"/>
              </w:rPr>
              <w:t>Greater than one year</w:t>
            </w:r>
          </w:p>
        </w:tc>
        <w:tc>
          <w:tcPr>
            <w:tcW w:w="78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9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587,564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90,721,081</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Unrealized losses on investments as of December 31, 2018 are as follows:</w:t>
            </w: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9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960" w:type="dxa"/>
            <w:vAlign w:val="bottom"/>
          </w:tcPr>
          <w:p>
            <w:pPr>
              <w:spacing w:after="0"/>
              <w:rPr>
                <w:sz w:val="24"/>
                <w:szCs w:val="24"/>
                <w:color w:val="auto"/>
              </w:rPr>
            </w:pPr>
          </w:p>
        </w:tc>
        <w:tc>
          <w:tcPr>
            <w:tcW w:w="2280" w:type="dxa"/>
            <w:vAlign w:val="bottom"/>
            <w:gridSpan w:val="3"/>
          </w:tcPr>
          <w:p>
            <w:pPr>
              <w:ind w:left="80"/>
              <w:spacing w:after="0"/>
              <w:rPr>
                <w:sz w:val="20"/>
                <w:szCs w:val="20"/>
                <w:color w:val="auto"/>
              </w:rPr>
            </w:pPr>
            <w:r>
              <w:rPr>
                <w:rFonts w:ascii="Arial" w:cs="Arial" w:eastAsia="Arial" w:hAnsi="Arial"/>
                <w:sz w:val="14"/>
                <w:szCs w:val="14"/>
                <w:b w:val="1"/>
                <w:bCs w:val="1"/>
                <w:color w:val="auto"/>
              </w:rPr>
              <w:t>Aggregate Unrealized Losses</w:t>
            </w:r>
          </w:p>
        </w:tc>
        <w:tc>
          <w:tcPr>
            <w:tcW w:w="260" w:type="dxa"/>
            <w:vAlign w:val="bottom"/>
          </w:tcPr>
          <w:p>
            <w:pPr>
              <w:spacing w:after="0"/>
              <w:rPr>
                <w:sz w:val="24"/>
                <w:szCs w:val="24"/>
                <w:color w:val="auto"/>
              </w:rPr>
            </w:pPr>
          </w:p>
        </w:tc>
        <w:tc>
          <w:tcPr>
            <w:tcW w:w="1920" w:type="dxa"/>
            <w:vAlign w:val="bottom"/>
          </w:tcPr>
          <w:p>
            <w:pPr>
              <w:jc w:val="right"/>
              <w:ind w:right="294"/>
              <w:spacing w:after="0"/>
              <w:rPr>
                <w:sz w:val="20"/>
                <w:szCs w:val="20"/>
                <w:color w:val="auto"/>
              </w:rPr>
            </w:pPr>
            <w:r>
              <w:rPr>
                <w:rFonts w:ascii="Arial" w:cs="Arial" w:eastAsia="Arial" w:hAnsi="Arial"/>
                <w:sz w:val="14"/>
                <w:szCs w:val="14"/>
                <w:b w:val="1"/>
                <w:bCs w:val="1"/>
                <w:color w:val="auto"/>
              </w:rPr>
              <w:t>Aggregate Fair Value</w:t>
            </w:r>
          </w:p>
        </w:tc>
        <w:tc>
          <w:tcPr>
            <w:tcW w:w="0" w:type="dxa"/>
            <w:vAlign w:val="bottom"/>
          </w:tcPr>
          <w:p>
            <w:pPr>
              <w:spacing w:after="0"/>
              <w:rPr>
                <w:sz w:val="1"/>
                <w:szCs w:val="1"/>
                <w:color w:val="auto"/>
              </w:rPr>
            </w:pPr>
          </w:p>
        </w:tc>
      </w:tr>
      <w:tr>
        <w:trPr>
          <w:trHeight w:val="256"/>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one year</w:t>
            </w:r>
          </w:p>
        </w:tc>
        <w:tc>
          <w:tcPr>
            <w:tcW w:w="78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365,824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68,722,980</w:t>
            </w: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Greater than one year</w:t>
            </w:r>
          </w:p>
        </w:tc>
        <w:tc>
          <w:tcPr>
            <w:tcW w:w="7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366,257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71,722,980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ASC 320,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as amended and interpreted, provides guidance on determining when an investment is other-than-temporarily impaired. The Company reviews its fixed income investments for any unrealized losses that would be deemed other-than-temporary and require the recognition of an impairment loss in income. If the cost of an investment exceeds its fair value, the Company evaluates, among other factors, general market conditions, the duration and extent to which the fair value is less than cost, and the Company’s intent and ability to hold the investments. Management also considers the type of security, related-industry and sector performance, as well as published investment ratings and analyst reports, to evaluate its portfolio. Once a decline in fair value is determined to be other-than-temporary, an impairment charge is recorded and new cost basis in the investment is established. If market, industry, and/or investee conditions deteriorate, the Company may incur future impairments. No investments were considered to be other-than-temporarily impaired in 2019 and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Fixed income securities as of December 31, 2019, have contractual maturities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137,752,302</w:t>
            </w: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6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43,125,222</w:t>
            </w: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Due over five years</w:t>
            </w:r>
          </w:p>
        </w:tc>
        <w:tc>
          <w:tcPr>
            <w:tcW w:w="64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87,766,483</w:t>
            </w:r>
          </w:p>
        </w:tc>
      </w:tr>
      <w:tr>
        <w:trPr>
          <w:trHeight w:val="243"/>
        </w:trPr>
        <w:tc>
          <w:tcPr>
            <w:tcW w:w="8320" w:type="dxa"/>
            <w:vAlign w:val="bottom"/>
          </w:tcPr>
          <w:p>
            <w:pPr>
              <w:spacing w:after="0"/>
              <w:rPr>
                <w:sz w:val="21"/>
                <w:szCs w:val="21"/>
                <w:color w:val="auto"/>
              </w:rPr>
            </w:pP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268,644,007</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18"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3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financial instruments consist of cash and cash equivalents, investments, accounts receivable, accounts payable, and short and long-term debt. The Company’s estimate of the fair values of these financial instruments approximates their carrying amounts at December 31, 2019 and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Inventories include material, direct labor and manufacturing overhead and are valued at the lower of first-in, first-out (FIFO) cost or net realizable value. Inventories consisted of the following as of December 31, 2019 and 2018:</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164,974,553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139,058,541</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42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33,069,255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35,386,615</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50,898,047</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50,836,443</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Total Inventory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248,941,855</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225,281,599</w:t>
            </w:r>
          </w:p>
        </w:tc>
      </w:tr>
      <w:tr>
        <w:trPr>
          <w:trHeight w:val="20"/>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Estimated inventory allowances for slow-moving and obsolete inventories are based on current assessments of future demands, market conditions, evaluation of longer lead times for certain electronic components and related management initiatives. If market conditions or customer requirements change and are less favorable than those projected by management, inventory allowances are adjusted accordingly. Allowances for slow-moving and obsolete inventories (which are included, net, in the above inventory values) were $7.6 million and $7.8 million at December 31, 2019 and 2018,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Plant and Equipment</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Plant and equipment is stated at cost. Depreciation and amortization are computed for financial reporting purposes using the straight-line method, with estimated useful lives of 7 to 30 years for buildings and improvements, and 3 to 10 years for machinery and equipment. Depreciation expense was approximately $82.3 million, $79.7 million and $77.0 million in 2019, 2018 and 2017,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or Disposal of Long-Lived Assets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reviews long-lived assets, including property, plant and equipment and other intangible assets with definite lives, for impairment whenever events or changes in circumstances indicate that the asset’s carrying amount may not be recoverable. The Company conducts its long-lived asset impairment analysis in accordance with ASC 360-10-15,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ASC 360-10-15 requires the Company to group assets and liabilities at the lowest level for which identifiable cash flows are 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policy is to capitalize costs incurred to obtain patents. The cost of patents is amortized over their useful lives. The cost of patents in process is not amortized until issuance. The Company periodically obtains intellectual property rights, in the ordinary course of business, and the cost of the rights are amortized over their useful lives.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Intangible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reflects the cost of an acquisition in excess of the fair values assigned to identifiable net assets acquired. The Company reviews goodwill for impairment during the fourth quarter on an annual basis or more frequently if events or changes in circumstances indicate that goodwill might be impaired. The Company performs an impairment review for its automotive reporting unit, which has been determined to be one of the Company’s reportable segments, using either a qualitative approach or quantitative approach which utilizes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fair value method that incorporates certain assumptions and judgments. The fair value of a reporting unit refers to the price that would be received to sell the unit as a whole in an orderly transaction between market participants at the measurement date. The Company performs a qualitative assessment (step 0) to determine whether it is more likely than not that a reporting unit's fair value is less than its carrying amount. If not, no further goodwill impairment testing is performed. If so, we determine the fair value of the reporting unit using step 1 and step 2 tests. If the fair value of the reporting unit is greater than its carrying amount, goodwill is not considered to be impaired. However, if the fair value of the reporting unit is less than its carrying amount, an impairment change is recorded as the excess of the reporting units carrying value over its fair value.</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For the qualitative assessment performed, management considers factors such as macro-economic conditions, industry and market considerations, overall financial performance, and other company-specific events, amongst other factors, in making the determination as to whether it is more likely than not that a reporting unit's fair value is less than its carrying amount. Other than management's internal projections of future cash flows, the primary assumptions used in the step 1 and step 2 impairment tests are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 determining the expected future cash flows attributable to a reporting unit. There have been no impairment charges recorded currently or in prior periods in which goodwill existed.</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Indefinite lived intangible assets are also subject to annual impairment testing or more frequently if indicators of impairment are identified. Management judgment and assumptions are required in determining the underlying fair value of the indefinite lived intangible assets. While the Company believes the judgments and assumptions used in determining fair value are reasonable, different assumptions could change the estimated fair values and, therefore, impairment charges could be required, which could be material to the consolidated financial statements. The indefinite lived intangible assets were not impaired as a result of the annual test prepared by management for either period presented.</w:t>
      </w:r>
    </w:p>
    <w:p>
      <w:pPr>
        <w:spacing w:after="0" w:line="20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61">
        <w:r>
          <w:rPr>
            <w:rFonts w:ascii="Arial" w:cs="Arial" w:eastAsia="Arial" w:hAnsi="Arial"/>
            <w:sz w:val="18"/>
            <w:szCs w:val="18"/>
            <w:u w:val="single" w:color="auto"/>
            <w:color w:val="0000EE"/>
          </w:rPr>
          <w:t>Note 10, "Goodwill and Intangible Assets"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information regarding the impairment testing performed in calendar year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Accordingly, revenue is recognized in an amount that reflects the consideration to which the Company expects to be 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Typically, such purchase order provide the annual terms, including pricing, related to a particular vehicle model. Purchase orders generally do not specify quantities. The Company recognizes revenue based on the pricing terms included in our annual purchase orders.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certain agreements, entered into in the ordinary course of business, the Company is asked to provide customers with annual price reductions. Such amounts are subject to estimate and are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content, the cost of our products and other commercial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360" w:lineRule="exact"/>
        <w:rPr>
          <w:sz w:val="20"/>
          <w:szCs w:val="20"/>
          <w:color w:val="auto"/>
        </w:rPr>
      </w:pPr>
    </w:p>
    <w:p>
      <w:pPr>
        <w:ind w:right="700"/>
        <w:spacing w:after="0" w:line="407" w:lineRule="auto"/>
        <w:rPr>
          <w:rFonts w:ascii="Arial" w:cs="Arial" w:eastAsia="Arial" w:hAnsi="Arial"/>
          <w:sz w:val="18"/>
          <w:szCs w:val="18"/>
          <w:color w:val="auto"/>
        </w:rPr>
      </w:pPr>
      <w:r>
        <w:rPr>
          <w:rFonts w:ascii="Arial" w:cs="Arial" w:eastAsia="Arial" w:hAnsi="Arial"/>
          <w:sz w:val="18"/>
          <w:szCs w:val="18"/>
          <w:color w:val="auto"/>
        </w:rPr>
        <w:t xml:space="preserve">factors. Such pricing accruals are adjusted as they are settled with our customers. Refer to </w:t>
      </w:r>
      <w:hyperlink w:anchor="page62">
        <w:r>
          <w:rPr>
            <w:rFonts w:ascii="Arial" w:cs="Arial" w:eastAsia="Arial" w:hAnsi="Arial"/>
            <w:sz w:val="18"/>
            <w:szCs w:val="18"/>
            <w:u w:val="single" w:color="auto"/>
            <w:color w:val="0000EE"/>
          </w:rPr>
          <w:t>Note 11, "Revenue"</w:t>
        </w:r>
      </w:hyperlink>
      <w:r>
        <w:rPr>
          <w:rFonts w:ascii="Arial" w:cs="Arial" w:eastAsia="Arial" w:hAnsi="Arial"/>
          <w:sz w:val="18"/>
          <w:szCs w:val="18"/>
          <w:color w:val="auto"/>
        </w:rPr>
        <w:t xml:space="preserve">, for further information. </w:t>
      </w:r>
      <w:r>
        <w:rPr>
          <w:rFonts w:ascii="Arial" w:cs="Arial" w:eastAsia="Arial" w:hAnsi="Arial"/>
          <w:sz w:val="18"/>
          <w:szCs w:val="18"/>
          <w:u w:val="single" w:color="auto"/>
          <w:color w:val="auto"/>
        </w:rPr>
        <w:t>Advertising and Promotional Materials</w:t>
      </w:r>
    </w:p>
    <w:p>
      <w:pPr>
        <w:jc w:val="both"/>
        <w:spacing w:after="0" w:line="262" w:lineRule="auto"/>
        <w:rPr>
          <w:sz w:val="20"/>
          <w:szCs w:val="20"/>
          <w:color w:val="auto"/>
        </w:rPr>
      </w:pPr>
      <w:r>
        <w:rPr>
          <w:rFonts w:ascii="Arial" w:cs="Arial" w:eastAsia="Arial" w:hAnsi="Arial"/>
          <w:sz w:val="18"/>
          <w:szCs w:val="18"/>
          <w:color w:val="auto"/>
        </w:rPr>
        <w:t>All advertising and promotional costs are expensed as incurred and amounted to approximately $3.0 million, $2.5 million and $2.6 million, in 2019, 2018 and 2017,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Repairs and Maintenance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Major renewals and improvements of property and equipment are capitalized, and repairs and maintenance are expensed as incurred. The Company incurred expenses relating to the repair and maintenance of plant and equipment of approximately $28.9 million, $28.9 million and $24.6 million, in 2019, 2018 and 2017,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self-insured for a portion of its risk on workers’ compensation and employee medical costs. The arrangements provide for stop loss insurance to manage the Company’s risk. Such costs are accrued based on known claims and an estimate of incurred, but not reported (IBNR) claims. IBNR claims are estimated using historical lag information and other data provided by claims administrators. This estimation process is subjective, and to the extent that future results differ from original estimates, adjustments to recorded accruals may be necessary.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Warranty</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periodically incurs product warranty costs. Any liabilities associated with product warranty are estimated based on known facts and circumstances and are not significant at December 31, 2019, 2018 and 2017. The Company does not offer extended warranties on its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provision for income taxes is based on the earnings reported in the consolidated financial statements. Deferred income tax assets and liabilities are computed for differences between the financial statement and tax basis of assets and liabilities that will result in deductible or taxable amounts in the future. Such deferred income tax asset and liability computations are based on enacted tax laws and rates. The Company applies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uncertainty in income taxes recognized in the Company’s consolidated financial statements. A threshold of more likely than not to be sustained upon examination is applied to uncertain tax positions. The Company deems the estimates related to this provision to be reasonable, however, no assurance can be given that the final outcome of these matters will not vary from what is reflected in the historical income tax provisions and accruals.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operating leases for corporate offices, warehouses, vehicles, and other equipment, which are included within "Plant and Equipment" section of the Consolidated Balance Sheets. The leases have remaining lease terms of 1 year to 5 years. The weighted average remaining lease term for operating leases as of December 31, 2019 was 2 years, with a weighted average discount rate of 2.9%. Future minimum lease payments for operating leases as of December 31, 2019 were as follows: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9"/>
              </w:rPr>
              <w:t>GENTEX CORPORATION AND SUBSIDIARIES</w:t>
            </w:r>
          </w:p>
        </w:tc>
        <w:tc>
          <w:tcPr>
            <w:tcW w:w="12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3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380" w:type="dxa"/>
            <w:vAlign w:val="bottom"/>
          </w:tcPr>
          <w:p>
            <w:pPr>
              <w:spacing w:after="0"/>
              <w:rPr>
                <w:sz w:val="17"/>
                <w:szCs w:val="17"/>
                <w:color w:val="auto"/>
              </w:rPr>
            </w:pPr>
          </w:p>
        </w:tc>
        <w:tc>
          <w:tcPr>
            <w:tcW w:w="4840" w:type="dxa"/>
            <w:vAlign w:val="bottom"/>
            <w:gridSpan w:val="4"/>
          </w:tcPr>
          <w:p>
            <w:pPr>
              <w:jc w:val="center"/>
              <w:ind w:right="180"/>
              <w:spacing w:after="0" w:line="196" w:lineRule="exact"/>
              <w:rPr>
                <w:sz w:val="20"/>
                <w:szCs w:val="20"/>
                <w:color w:val="auto"/>
              </w:rPr>
            </w:pPr>
            <w:r>
              <w:rPr>
                <w:rFonts w:ascii="Arial" w:cs="Arial" w:eastAsia="Arial" w:hAnsi="Arial"/>
                <w:sz w:val="18"/>
                <w:szCs w:val="18"/>
                <w:b w:val="1"/>
                <w:bCs w:val="1"/>
                <w:color w:val="auto"/>
                <w:w w:val="99"/>
              </w:rPr>
              <w:t>NOTES TO CONSOLIDATED FINANCIAL STATEMENTS</w:t>
            </w:r>
          </w:p>
        </w:tc>
        <w:tc>
          <w:tcPr>
            <w:tcW w:w="12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37"/>
        </w:trPr>
        <w:tc>
          <w:tcPr>
            <w:tcW w:w="33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2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rPr>
              <w:t>(Continued)</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32"/>
        </w:trPr>
        <w:tc>
          <w:tcPr>
            <w:tcW w:w="8220" w:type="dxa"/>
            <w:vAlign w:val="bottom"/>
            <w:gridSpan w:val="5"/>
          </w:tcPr>
          <w:p>
            <w:pPr>
              <w:spacing w:after="0"/>
              <w:rPr>
                <w:sz w:val="20"/>
                <w:szCs w:val="20"/>
                <w:color w:val="auto"/>
              </w:rPr>
            </w:pPr>
            <w:r>
              <w:rPr>
                <w:rFonts w:ascii="Arial" w:cs="Arial" w:eastAsia="Arial" w:hAnsi="Arial"/>
                <w:sz w:val="18"/>
                <w:szCs w:val="18"/>
                <w:color w:val="auto"/>
              </w:rPr>
              <w:t>(1)  SUMMARY OF SIGNIFICANT ACCOUNTING AND REPORTING POLICIES, continued</w:t>
            </w:r>
          </w:p>
        </w:tc>
        <w:tc>
          <w:tcPr>
            <w:tcW w:w="12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51"/>
        </w:trPr>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82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20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16"/>
        </w:trPr>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57"/>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CEEFF"/>
          </w:tcPr>
          <w:p>
            <w:pPr>
              <w:spacing w:after="0"/>
              <w:rPr>
                <w:sz w:val="22"/>
                <w:szCs w:val="22"/>
                <w:color w:val="auto"/>
              </w:rPr>
            </w:pPr>
          </w:p>
        </w:tc>
        <w:tc>
          <w:tcPr>
            <w:tcW w:w="3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786,807</w:t>
            </w:r>
          </w:p>
        </w:tc>
      </w:tr>
      <w:tr>
        <w:trPr>
          <w:trHeight w:val="250"/>
        </w:trPr>
        <w:tc>
          <w:tcPr>
            <w:tcW w:w="338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297,316</w:t>
            </w:r>
          </w:p>
        </w:tc>
      </w:tr>
      <w:tr>
        <w:trPr>
          <w:trHeight w:val="263"/>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22"/>
                <w:szCs w:val="22"/>
                <w:color w:val="auto"/>
              </w:rPr>
            </w:pPr>
          </w:p>
        </w:tc>
        <w:tc>
          <w:tcPr>
            <w:tcW w:w="3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145,154</w:t>
            </w:r>
          </w:p>
        </w:tc>
      </w:tr>
      <w:tr>
        <w:trPr>
          <w:trHeight w:val="250"/>
        </w:trPr>
        <w:tc>
          <w:tcPr>
            <w:tcW w:w="338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19,296</w:t>
            </w:r>
          </w:p>
        </w:tc>
      </w:tr>
      <w:tr>
        <w:trPr>
          <w:trHeight w:val="257"/>
        </w:trPr>
        <w:tc>
          <w:tcPr>
            <w:tcW w:w="82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20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15,105</w:t>
            </w:r>
          </w:p>
        </w:tc>
      </w:tr>
      <w:tr>
        <w:trPr>
          <w:trHeight w:val="250"/>
        </w:trPr>
        <w:tc>
          <w:tcPr>
            <w:tcW w:w="8220" w:type="dxa"/>
            <w:vAlign w:val="bottom"/>
            <w:gridSpan w:val="5"/>
          </w:tcPr>
          <w:p>
            <w:pPr>
              <w:ind w:left="280"/>
              <w:spacing w:after="0"/>
              <w:rPr>
                <w:sz w:val="20"/>
                <w:szCs w:val="20"/>
                <w:color w:val="auto"/>
              </w:rPr>
            </w:pPr>
            <w:r>
              <w:rPr>
                <w:rFonts w:ascii="Arial" w:cs="Arial" w:eastAsia="Arial" w:hAnsi="Arial"/>
                <w:sz w:val="18"/>
                <w:szCs w:val="18"/>
                <w:color w:val="auto"/>
              </w:rPr>
              <w:t>Total future minimum lease payments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1,263,678</w:t>
            </w:r>
          </w:p>
        </w:tc>
      </w:tr>
      <w:tr>
        <w:trPr>
          <w:trHeight w:val="257"/>
        </w:trPr>
        <w:tc>
          <w:tcPr>
            <w:tcW w:w="822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Less imputed interest</w:t>
            </w:r>
          </w:p>
        </w:tc>
        <w:tc>
          <w:tcPr>
            <w:tcW w:w="120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(84,964)</w:t>
            </w:r>
          </w:p>
        </w:tc>
      </w:tr>
      <w:tr>
        <w:trPr>
          <w:trHeight w:val="257"/>
        </w:trPr>
        <w:tc>
          <w:tcPr>
            <w:tcW w:w="8220" w:type="dxa"/>
            <w:vAlign w:val="bottom"/>
            <w:gridSpan w:val="5"/>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1,178,714</w:t>
            </w:r>
          </w:p>
        </w:tc>
      </w:tr>
      <w:tr>
        <w:trPr>
          <w:trHeight w:val="20"/>
        </w:trPr>
        <w:tc>
          <w:tcPr>
            <w:tcW w:w="3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w:t>
      </w:r>
    </w:p>
    <w:p>
      <w:pPr>
        <w:spacing w:after="0" w:line="20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each of the last three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50"/>
        </w:trPr>
        <w:tc>
          <w:tcPr>
            <w:tcW w:w="62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424,683,939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437,883,097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406,791,922</w:t>
            </w:r>
          </w:p>
        </w:tc>
      </w:tr>
      <w:tr>
        <w:trPr>
          <w:trHeight w:val="263"/>
        </w:trPr>
        <w:tc>
          <w:tcPr>
            <w:tcW w:w="6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Less: Allocated to participating securities</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5,028,813</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84"/>
        </w:trPr>
        <w:tc>
          <w:tcPr>
            <w:tcW w:w="62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 available to common shareholders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419,655,126</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437,883,097</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406,791,922</w:t>
            </w:r>
          </w:p>
        </w:tc>
      </w:tr>
      <w:tr>
        <w:trPr>
          <w:trHeight w:val="257"/>
        </w:trPr>
        <w:tc>
          <w:tcPr>
            <w:tcW w:w="6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280" w:type="dxa"/>
            <w:vAlign w:val="bottom"/>
          </w:tcPr>
          <w:p>
            <w:pPr>
              <w:ind w:left="380"/>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251,766,382</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267,794,786</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285,864,997</w:t>
            </w:r>
          </w:p>
        </w:tc>
      </w:tr>
      <w:tr>
        <w:trPr>
          <w:trHeight w:val="263"/>
        </w:trPr>
        <w:tc>
          <w:tcPr>
            <w:tcW w:w="6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per share - 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97"/>
        </w:trPr>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50"/>
        </w:trPr>
        <w:tc>
          <w:tcPr>
            <w:tcW w:w="6280" w:type="dxa"/>
            <w:vAlign w:val="bottom"/>
          </w:tcPr>
          <w:p>
            <w:pPr>
              <w:ind w:left="380"/>
              <w:spacing w:after="0"/>
              <w:rPr>
                <w:sz w:val="20"/>
                <w:szCs w:val="20"/>
                <w:color w:val="auto"/>
              </w:rPr>
            </w:pPr>
            <w:r>
              <w:rPr>
                <w:rFonts w:ascii="Arial" w:cs="Arial" w:eastAsia="Arial" w:hAnsi="Arial"/>
                <w:sz w:val="18"/>
                <w:szCs w:val="18"/>
                <w:color w:val="auto"/>
              </w:rPr>
              <w:t>Allocation of Net Income used in basic computation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419,655,126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437,883,097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406,791,922</w:t>
            </w:r>
          </w:p>
        </w:tc>
      </w:tr>
      <w:tr>
        <w:trPr>
          <w:trHeight w:val="263"/>
        </w:trPr>
        <w:tc>
          <w:tcPr>
            <w:tcW w:w="6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Reallocation of undistributed earnings</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21,104</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21,007</w:t>
            </w: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19,398</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Net Income available to common shareholders -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419,676,230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437,904,104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406,811,320</w:t>
            </w:r>
          </w:p>
        </w:tc>
      </w:tr>
      <w:tr>
        <w:trPr>
          <w:trHeight w:val="304"/>
        </w:trPr>
        <w:tc>
          <w:tcPr>
            <w:tcW w:w="6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0"/>
        </w:trPr>
        <w:tc>
          <w:tcPr>
            <w:tcW w:w="6280" w:type="dxa"/>
            <w:vAlign w:val="bottom"/>
          </w:tcPr>
          <w:p>
            <w:pPr>
              <w:ind w:left="380"/>
              <w:spacing w:after="0"/>
              <w:rPr>
                <w:sz w:val="20"/>
                <w:szCs w:val="20"/>
                <w:color w:val="auto"/>
              </w:rPr>
            </w:pPr>
            <w:r>
              <w:rPr>
                <w:rFonts w:ascii="Arial" w:cs="Arial" w:eastAsia="Arial" w:hAnsi="Arial"/>
                <w:sz w:val="18"/>
                <w:szCs w:val="18"/>
                <w:color w:val="auto"/>
              </w:rPr>
              <w:t>Number of shares used in basic computation</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251,766,382</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267,794,786</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285,864,997</w:t>
            </w:r>
          </w:p>
        </w:tc>
      </w:tr>
      <w:tr>
        <w:trPr>
          <w:trHeight w:val="263"/>
        </w:trPr>
        <w:tc>
          <w:tcPr>
            <w:tcW w:w="6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Additional weighted average dilutive common stock equivalents</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1,506,608</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2,082,563</w:t>
            </w: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2,361,092</w:t>
            </w:r>
          </w:p>
        </w:tc>
      </w:tr>
      <w:tr>
        <w:trPr>
          <w:trHeight w:val="284"/>
        </w:trPr>
        <w:tc>
          <w:tcPr>
            <w:tcW w:w="62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253,272,990</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269,877,349</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288,226,089</w:t>
            </w:r>
          </w:p>
        </w:tc>
      </w:tr>
      <w:tr>
        <w:trPr>
          <w:trHeight w:val="284"/>
        </w:trPr>
        <w:tc>
          <w:tcPr>
            <w:tcW w:w="6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Net income per share -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1.41</w:t>
            </w:r>
          </w:p>
        </w:tc>
      </w:tr>
    </w:tbl>
    <w:p>
      <w:pPr>
        <w:spacing w:after="0" w:line="226" w:lineRule="exact"/>
        <w:rPr>
          <w:sz w:val="20"/>
          <w:szCs w:val="20"/>
          <w:color w:val="auto"/>
        </w:rPr>
      </w:pPr>
    </w:p>
    <w:p>
      <w:pPr>
        <w:jc w:val="both"/>
        <w:ind w:right="20"/>
        <w:spacing w:after="0" w:line="233"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While there were participating securities in 2018 and 2017, they did not have a material impact on the two-class EPS calculation. Net income allocated to participating securities in 2018 and 2017 was $3,836,536 and $2,562,473,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8"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years ended December 31, 2019, 2018 and 2017, 247,855 shares, 698,019 shares, and 910,105 shares, respectively, related to stock option plans were not included in diluted average common shares outstanding because they were anti-dilutive.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Comprehensive Income (Loss)</w:t>
      </w:r>
    </w:p>
    <w:p>
      <w:pPr>
        <w:spacing w:after="0" w:line="144"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investments, derivatives, and foreign currency translation adjustments that are further detailed in </w:t>
      </w:r>
      <w:hyperlink w:anchor="page60">
        <w:r>
          <w:rPr>
            <w:rFonts w:ascii="Arial" w:cs="Arial" w:eastAsia="Arial" w:hAnsi="Arial"/>
            <w:sz w:val="18"/>
            <w:szCs w:val="18"/>
            <w:u w:val="single" w:color="auto"/>
            <w:color w:val="0000EE"/>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Translation</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Plans</w:t>
      </w:r>
    </w:p>
    <w:p>
      <w:pPr>
        <w:spacing w:after="0" w:line="126" w:lineRule="exact"/>
        <w:rPr>
          <w:sz w:val="20"/>
          <w:szCs w:val="20"/>
          <w:color w:val="auto"/>
        </w:rPr>
      </w:pPr>
    </w:p>
    <w:p>
      <w:pPr>
        <w:jc w:val="both"/>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 xml:space="preserve">The Company accounts for stock-based compensation using the fair value recognition provisions of ASC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As described more fully in</w:t>
      </w:r>
      <w:r>
        <w:rPr>
          <w:rFonts w:ascii="Arial" w:cs="Arial" w:eastAsia="Arial" w:hAnsi="Arial"/>
          <w:sz w:val="18"/>
          <w:szCs w:val="18"/>
          <w:i w:val="1"/>
          <w:iCs w:val="1"/>
          <w:color w:val="auto"/>
        </w:rPr>
        <w:t xml:space="preserve"> </w:t>
      </w:r>
      <w:hyperlink w:anchor="page55">
        <w:r>
          <w:rPr>
            <w:rFonts w:ascii="Arial" w:cs="Arial" w:eastAsia="Arial" w:hAnsi="Arial"/>
            <w:sz w:val="18"/>
            <w:szCs w:val="18"/>
            <w:u w:val="single" w:color="auto"/>
            <w:color w:val="0000EE"/>
          </w:rPr>
          <w:t>Note 5,</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provides compensation benefits under an omnibus incentive plan, two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plans, another restricted stock plan, and an employee stock purchase plan. The Company utilizes the Black-Scholes model, which requires the input of subjective assumptions. These assumptions include estimating (a) the length of time employees will retain their vested stock options before exercising them (“expected term”), (b) the volatility of the Company’s common stock price over the expected term, (c) the number of options that will ultimately not complete their vesting requirements (“forfeitures”) and (d) expected dividends. Changes in the subjective assumptions can materially affect the estimate of fair value of stock-based compensation and consequently, the related amounts recognized on the consolidated condensed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Standards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Effective January 1, 2019, the Company adopted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which provides guidance for lease accounting. The new guidance contained in the ASU stipulates that lessees will need to recognize a right-of-use ("ROU") asset and a lease liability for substantially all leases (other than leases that meet the definition of a short-term lease). The liability will be equal to the present value of lease payments. Treatment in the consolidated statements of income will be similar to the historical treatment of operating and capital leases. The adoption of this standard did not have a material impact on the Company's consolidated balance sheet or consolidated income statement. Disclosures are now required to meet the objective of enabling users of financial statements to assess the amount, timing, and uncertainty of cash flows arising from leases.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Instruments</w:t>
      </w:r>
      <w:r>
        <w:rPr>
          <w:rFonts w:ascii="Arial" w:cs="Arial" w:eastAsia="Arial" w:hAnsi="Arial"/>
          <w:sz w:val="18"/>
          <w:szCs w:val="18"/>
          <w:color w:val="auto"/>
        </w:rPr>
        <w:t>. The standard requires a change in the measurement approach for credit losses on financial assets measured</w:t>
      </w:r>
      <w:r>
        <w:rPr>
          <w:rFonts w:ascii="Arial" w:cs="Arial" w:eastAsia="Arial" w:hAnsi="Arial"/>
          <w:sz w:val="18"/>
          <w:szCs w:val="18"/>
          <w:i w:val="1"/>
          <w:iCs w:val="1"/>
          <w:color w:val="auto"/>
        </w:rPr>
        <w:t xml:space="preserve"> </w:t>
      </w:r>
      <w:r>
        <w:rPr>
          <w:rFonts w:ascii="Arial" w:cs="Arial" w:eastAsia="Arial" w:hAnsi="Arial"/>
          <w:sz w:val="18"/>
          <w:szCs w:val="18"/>
          <w:color w:val="auto"/>
        </w:rPr>
        <w:t>on an amortized cost basis from an incurred loss method to an expected loss method, thereby eliminating the requirement that a credit loss be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considered probable to impact the valuation of a financial asset measured on an amortized cost basis. The standard requires the measurement of expected credit losses to be based on relevant information about past events, including historical experience, current conditions, and a reasonable and supportable forecast that affects the collectability of the related financial asset. It also modifies the impairment model for available-for-sale debt securities and provides a simplified accounting model for purchased financial assets with credit deterioration since their origination. The adoption of this standard will not have a material impact on the Company's consolidated balance sheet or consolidated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25" w:lineRule="exact"/>
        <w:rPr>
          <w:rFonts w:ascii="Arial" w:cs="Arial" w:eastAsia="Arial" w:hAnsi="Arial"/>
          <w:sz w:val="18"/>
          <w:szCs w:val="18"/>
          <w:color w:val="auto"/>
        </w:rPr>
      </w:pPr>
    </w:p>
    <w:p>
      <w:pPr>
        <w:ind w:left="660" w:right="20"/>
        <w:spacing w:after="0" w:line="262" w:lineRule="auto"/>
        <w:rPr>
          <w:rFonts w:ascii="Arial" w:cs="Arial" w:eastAsia="Arial" w:hAnsi="Arial"/>
          <w:sz w:val="18"/>
          <w:szCs w:val="18"/>
          <w:color w:val="auto"/>
        </w:rPr>
      </w:pPr>
      <w:r>
        <w:rPr>
          <w:rFonts w:ascii="Arial" w:cs="Arial" w:eastAsia="Arial" w:hAnsi="Arial"/>
          <w:sz w:val="18"/>
          <w:szCs w:val="18"/>
          <w:color w:val="auto"/>
        </w:rPr>
        <w:t>On October 15, 2018, the Company entered into a Credit Agreement ("Credit Agreement") with PNC as the administrative agent and sole lender.</w:t>
      </w:r>
    </w:p>
    <w:p>
      <w:pPr>
        <w:spacing w:after="0" w:line="196"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 As of December 31, 2019 and 2018, there were no outstanding balances on the Revolver. The Revolver expires on October 15, 2023.</w:t>
      </w:r>
    </w:p>
    <w:p>
      <w:pPr>
        <w:spacing w:after="0" w:line="207" w:lineRule="exact"/>
        <w:rPr>
          <w:rFonts w:ascii="Arial" w:cs="Arial" w:eastAsia="Arial" w:hAnsi="Arial"/>
          <w:sz w:val="18"/>
          <w:szCs w:val="18"/>
          <w:color w:val="auto"/>
        </w:rPr>
      </w:pPr>
    </w:p>
    <w:p>
      <w:pPr>
        <w:ind w:left="660"/>
        <w:spacing w:after="0" w:line="262" w:lineRule="auto"/>
        <w:rPr>
          <w:rFonts w:ascii="Arial" w:cs="Arial" w:eastAsia="Arial" w:hAnsi="Arial"/>
          <w:sz w:val="18"/>
          <w:szCs w:val="18"/>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19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December 31, 2019, the Company was in compliance with its covenants under the Credit Agreement.</w:t>
      </w:r>
    </w:p>
    <w:p>
      <w:pPr>
        <w:spacing w:after="0" w:line="38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44"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basis of assets and liabilities using enacted tax rates expected to be applied to taxable income in years which those temporary differences are expected to be recovered or settled. Deferred income tax expense is measured by the net change in deferred income tax assets and liabilities during the year.</w:t>
      </w:r>
    </w:p>
    <w:p>
      <w:pPr>
        <w:spacing w:after="0" w:line="127"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The Tax Cuts and Jobs Act (the “Act”), a tax reform bill signed into law in 2017, reduced the current federal income tax rate for corporations to 21% from 35%, among other things. The rate reduction was effective as of January 1, 2018, and as written is permanent. The Act caused the Company’s deferred income taxes to be revalued during calendar year 2017, resulting in a reduction to income tax expense of $38.4 million in that period. As changes in tax laws or rates are enacted, deferred tax assets and liabilities are adjusted through income tax expense. The one time transition tax calculation, a separate provision of the Act, was also competed and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INCOME TAXES, continued</w:t>
      </w:r>
    </w:p>
    <w:p>
      <w:pPr>
        <w:spacing w:after="0" w:line="200" w:lineRule="exact"/>
        <w:rPr>
          <w:sz w:val="20"/>
          <w:szCs w:val="20"/>
          <w:color w:val="auto"/>
        </w:rPr>
      </w:pPr>
    </w:p>
    <w:p>
      <w:pPr>
        <w:spacing w:after="0" w:line="376"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The foreign components of income before the provision for income taxes were not material for the year ended December 31, 2019, 2018 and 2017. The components of the provision for income taxes are as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Currently payable: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63"/>
        </w:trPr>
        <w:tc>
          <w:tcPr>
            <w:tcW w:w="5180" w:type="dxa"/>
            <w:vAlign w:val="bottom"/>
          </w:tcPr>
          <w:p>
            <w:pPr>
              <w:ind w:left="3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73,563,685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83,010,387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133,166,194</w:t>
            </w:r>
          </w:p>
        </w:tc>
      </w:tr>
      <w:tr>
        <w:trPr>
          <w:trHeight w:val="277"/>
        </w:trPr>
        <w:tc>
          <w:tcPr>
            <w:tcW w:w="5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3,765,929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3,743,781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3,984,000</w:t>
            </w:r>
          </w:p>
        </w:tc>
      </w:tr>
      <w:tr>
        <w:trPr>
          <w:trHeight w:val="264"/>
        </w:trPr>
        <w:tc>
          <w:tcPr>
            <w:tcW w:w="51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1,776,837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2,440,000</w:t>
            </w:r>
          </w:p>
        </w:tc>
      </w:tr>
      <w:tr>
        <w:trPr>
          <w:trHeight w:val="25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78,797,632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88,531,005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139,590,194</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Deferred income tax (benefit) expense: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5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5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Primarily federal</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(3,066,237)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(4,367,155)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(14,585,412)</w:t>
            </w:r>
          </w:p>
        </w:tc>
      </w:tr>
      <w:tr>
        <w:trPr>
          <w:trHeight w:val="244"/>
        </w:trPr>
        <w:tc>
          <w:tcPr>
            <w:tcW w:w="51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75,731,395</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84,163,850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125,004,782</w:t>
            </w:r>
          </w:p>
        </w:tc>
      </w:tr>
      <w:tr>
        <w:trPr>
          <w:trHeight w:val="20"/>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income tax rates are different from the statutory federal income tax rates for the following reasons: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Statutory federal income tax rate</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State income taxes, net of federal income tax benefit</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Domestic production exclusion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Research tax credit</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Increase in reserve for uncertain tax provisions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Change in tax rate on deferred taxes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Foreign tax credit</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Foreign derived intangible income deduction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Stock compensation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Effective income tax rate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3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1380" w:type="dxa"/>
            <w:vAlign w:val="bottom"/>
          </w:tcPr>
          <w:p>
            <w:pPr>
              <w:jc w:val="right"/>
              <w:ind w:right="15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0.5</w:t>
            </w:r>
          </w:p>
        </w:tc>
      </w:tr>
      <w:tr>
        <w:trPr>
          <w:trHeight w:val="270"/>
        </w:trPr>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(2.8)</w:t>
            </w:r>
          </w:p>
        </w:tc>
      </w:tr>
      <w:tr>
        <w:trPr>
          <w:trHeight w:val="270"/>
        </w:trPr>
        <w:tc>
          <w:tcPr>
            <w:tcW w:w="138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(0.8)</w:t>
            </w:r>
          </w:p>
        </w:tc>
      </w:tr>
      <w:tr>
        <w:trPr>
          <w:trHeight w:val="270"/>
        </w:trPr>
        <w:tc>
          <w:tcPr>
            <w:tcW w:w="1380" w:type="dxa"/>
            <w:vAlign w:val="bottom"/>
          </w:tcPr>
          <w:p>
            <w:pPr>
              <w:jc w:val="right"/>
              <w:ind w:right="15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0.1</w:t>
            </w:r>
          </w:p>
        </w:tc>
      </w:tr>
      <w:tr>
        <w:trPr>
          <w:trHeight w:val="270"/>
        </w:trPr>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(7.2)</w:t>
            </w:r>
          </w:p>
        </w:tc>
      </w:tr>
      <w:tr>
        <w:trPr>
          <w:trHeight w:val="270"/>
        </w:trPr>
        <w:tc>
          <w:tcPr>
            <w:tcW w:w="138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(0.8)</w:t>
            </w:r>
          </w:p>
        </w:tc>
      </w:tr>
      <w:tr>
        <w:trPr>
          <w:trHeight w:val="270"/>
        </w:trPr>
        <w:tc>
          <w:tcPr>
            <w:tcW w:w="1380" w:type="dxa"/>
            <w:vAlign w:val="bottom"/>
          </w:tcPr>
          <w:p>
            <w:pPr>
              <w:jc w:val="right"/>
              <w:ind w:right="9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138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(1.0)</w:t>
            </w:r>
          </w:p>
        </w:tc>
      </w:tr>
      <w:tr>
        <w:trPr>
          <w:trHeight w:val="277"/>
        </w:trPr>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0.5</w:t>
            </w:r>
          </w:p>
        </w:tc>
      </w:tr>
      <w:tr>
        <w:trPr>
          <w:trHeight w:val="250"/>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15.1 %</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23.5 %</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-1911985</wp:posOffset>
            </wp:positionV>
            <wp:extent cx="635444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-1568450</wp:posOffset>
            </wp:positionV>
            <wp:extent cx="635444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-1225550</wp:posOffset>
            </wp:positionV>
            <wp:extent cx="635444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-882650</wp:posOffset>
            </wp:positionV>
            <wp:extent cx="635444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-539750</wp:posOffset>
            </wp:positionV>
            <wp:extent cx="635444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-196850</wp:posOffset>
            </wp:positionV>
            <wp:extent cx="635444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444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720"/>
            <w:col w:w="5140"/>
          </w:cols>
          <w:pgMar w:left="240" w:top="118" w:right="239" w:bottom="1440" w:gutter="0" w:footer="0" w:header="0"/>
          <w:type w:val="continuous"/>
        </w:sectPr>
      </w:pPr>
    </w:p>
    <w:p>
      <w:pPr>
        <w:spacing w:after="0" w:line="231"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The tax effect of temporary differences which give rise to deferred income tax assets and liabilities at December 31, 2019 and 2018, are as follows:</w:t>
      </w: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Assets:</w:t>
      </w:r>
    </w:p>
    <w:p>
      <w:pPr>
        <w:spacing w:after="0" w:line="7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Accruals not currently deductible</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Stock based compensation</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deferred income tax assets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Liabilities:</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Excess tax over book depreciation</w:t>
      </w:r>
    </w:p>
    <w:p>
      <w:pPr>
        <w:spacing w:after="0" w:line="7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deferred income tax liability</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deferred income taxes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126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526"/>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6,478,146</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5,111,242</w:t>
            </w:r>
          </w:p>
        </w:tc>
      </w:tr>
      <w:tr>
        <w:trPr>
          <w:trHeight w:val="270"/>
        </w:trPr>
        <w:tc>
          <w:tcPr>
            <w:tcW w:w="3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9,100,745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9,586,372</w:t>
            </w:r>
          </w:p>
        </w:tc>
      </w:tr>
      <w:tr>
        <w:trPr>
          <w:trHeight w:val="277"/>
        </w:trPr>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66,830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356,039</w:t>
            </w:r>
          </w:p>
        </w:tc>
      </w:tr>
      <w:tr>
        <w:trPr>
          <w:trHeight w:val="243"/>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15,645,721</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15,053,653</w:t>
            </w:r>
          </w:p>
        </w:tc>
      </w:tr>
      <w:tr>
        <w:trPr>
          <w:trHeight w:val="540"/>
        </w:trPr>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(30,725,471)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(39,835,025)</w:t>
            </w:r>
          </w:p>
        </w:tc>
      </w:tr>
      <w:tr>
        <w:trPr>
          <w:trHeight w:val="270"/>
        </w:trPr>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(27,799,640)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(23,341,226)</w:t>
            </w:r>
          </w:p>
        </w:tc>
      </w:tr>
      <w:tr>
        <w:trPr>
          <w:trHeight w:val="270"/>
        </w:trPr>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(6,171,628)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(5,089,042)</w:t>
            </w:r>
          </w:p>
        </w:tc>
      </w:tr>
      <w:tr>
        <w:trPr>
          <w:trHeight w:val="277"/>
        </w:trPr>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(2,403,131)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(1,309,849)</w:t>
            </w:r>
          </w:p>
        </w:tc>
      </w:tr>
      <w:tr>
        <w:trPr>
          <w:trHeight w:val="250"/>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(67,099,870)</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(69,575,142)</w:t>
            </w:r>
          </w:p>
        </w:tc>
      </w:tr>
      <w:tr>
        <w:trPr>
          <w:trHeight w:val="250"/>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(51,454,149)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(54,521,489)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-2091690</wp:posOffset>
            </wp:positionV>
            <wp:extent cx="635444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4445" cy="18034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-1740535</wp:posOffset>
            </wp:positionV>
            <wp:extent cx="635444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-1397000</wp:posOffset>
            </wp:positionV>
            <wp:extent cx="635444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-1054100</wp:posOffset>
            </wp:positionV>
            <wp:extent cx="635444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-711200</wp:posOffset>
            </wp:positionV>
            <wp:extent cx="635444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-368300</wp:posOffset>
            </wp:positionV>
            <wp:extent cx="635444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4100"/>
          </w:cols>
          <w:pgMar w:left="240" w:top="118" w:right="239" w:bottom="1440" w:gutter="0" w:footer="0" w:header="0"/>
          <w:type w:val="continuous"/>
        </w:sectPr>
      </w:pPr>
    </w:p>
    <w:p>
      <w:pPr>
        <w:spacing w:after="0" w:line="15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taxes paid in cash were approximately $74.9 million, $86.9 million and $126.0 million in 2019, 2018 and 2017, respectively.</w:t>
      </w: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18"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INCOME TAXES, continued</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5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4,678,000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4,435,000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3,408,000</w:t>
            </w:r>
          </w:p>
        </w:tc>
      </w:tr>
      <w:tr>
        <w:trPr>
          <w:trHeight w:val="263"/>
        </w:trPr>
        <w:tc>
          <w:tcPr>
            <w:tcW w:w="554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1,695,000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1,677,000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941,000</w:t>
            </w:r>
          </w:p>
        </w:tc>
      </w:tr>
      <w:tr>
        <w:trPr>
          <w:trHeight w:val="27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in prior years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657,000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283,000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289,000</w:t>
            </w:r>
          </w:p>
        </w:tc>
      </w:tr>
      <w:tr>
        <w:trPr>
          <w:trHeight w:val="263"/>
        </w:trPr>
        <w:tc>
          <w:tcPr>
            <w:tcW w:w="5540" w:type="dxa"/>
            <w:vAlign w:val="bottom"/>
          </w:tcPr>
          <w:p>
            <w:pPr>
              <w:ind w:left="20"/>
              <w:spacing w:after="0"/>
              <w:rPr>
                <w:sz w:val="20"/>
                <w:szCs w:val="20"/>
                <w:color w:val="auto"/>
              </w:rPr>
            </w:pPr>
            <w:r>
              <w:rPr>
                <w:rFonts w:ascii="Arial" w:cs="Arial" w:eastAsia="Arial" w:hAnsi="Arial"/>
                <w:sz w:val="18"/>
                <w:szCs w:val="18"/>
                <w:color w:val="auto"/>
              </w:rPr>
              <w:t>Reductions for tax positions in prior years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(63,000)</w:t>
            </w:r>
          </w:p>
        </w:tc>
      </w:tr>
      <w:tr>
        <w:trPr>
          <w:trHeight w:val="27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as a result of completed audit examinations</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Reductions as a result of a lapse of the applicable statute of</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5540" w:type="dxa"/>
            <w:vAlign w:val="bottom"/>
          </w:tcPr>
          <w:p>
            <w:pPr>
              <w:ind w:left="20"/>
              <w:spacing w:after="0"/>
              <w:rPr>
                <w:sz w:val="20"/>
                <w:szCs w:val="20"/>
                <w:color w:val="auto"/>
              </w:rPr>
            </w:pPr>
            <w:r>
              <w:rPr>
                <w:rFonts w:ascii="Arial" w:cs="Arial" w:eastAsia="Arial" w:hAnsi="Arial"/>
                <w:sz w:val="18"/>
                <w:szCs w:val="18"/>
                <w:color w:val="auto"/>
              </w:rPr>
              <w:t>limitations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(140,000)</w:t>
            </w:r>
          </w:p>
        </w:tc>
      </w:tr>
      <w:tr>
        <w:trPr>
          <w:trHeight w:val="25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6,392,000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4,678,000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4,435,000</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recognized, unrecognized tax benefits would affect the effective tax rate.</w:t>
      </w:r>
    </w:p>
    <w:p>
      <w:pPr>
        <w:spacing w:after="0" w:line="14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recognizes interest and penalties related to unrecognized tax benefits through the provision for income taxes. The Company has accrued approximately $574,000, $315,000, and $ 433,000 for interest as of December 31, 2019, 2018, and 2017, respectively. Interest recorded during 2019, 2018 and 2017 was not considered significant.</w:t>
      </w:r>
    </w:p>
    <w:p>
      <w:pPr>
        <w:spacing w:after="0" w:line="12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is also subject to periodic and routine audits in both domestic and foreign tax jurisdictions, and it is reasonably possible that the amounts of unrecognized tax benefits could change as a result of an audit.</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Based on the current audits in process, the payment of taxes as a result of audit settlements, and the completion of tax examinations, the Company does not expect these to have a material impact on the Company’s financial position or results of operations.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For the majority of tax jurisdictions, the Company is no longer subject to U.S. federal, state and local, or non-U.S. income tax examinations by tax authorities for years before 2015.</w:t>
      </w:r>
    </w:p>
    <w:p>
      <w:pPr>
        <w:spacing w:after="0" w:line="30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EMPLOYEE BENEFIT PLAN</w:t>
      </w:r>
    </w:p>
    <w:p>
      <w:pPr>
        <w:spacing w:after="0" w:line="144"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2019, 2018 and 2017 the Company’s contributions were approximately $8.7 million, $8.2 million and $7.7 million, respectively. The increase in each of the years was due to increased employee participation in the plan.</w:t>
      </w:r>
    </w:p>
    <w:p>
      <w:pPr>
        <w:spacing w:after="0" w:line="1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does not provide health care benefits to retired employees.</w:t>
      </w:r>
    </w:p>
    <w:p>
      <w:pPr>
        <w:spacing w:after="0" w:line="225"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The Gentex Corporation Non-Qualified Deferred Compensation Plan (the "Deferred Compensation Plan") is intended to enhance retirement savings among a select group of management or highly compensated employees who contribute significantly to the success of the Company. It is also intended to constitute an unfunded non-qualified deferred compensation plan described in Sections 201(2), 301(a)(3), and 401(a)(1) of the Employee Retirement Income Security Act of 1974, as amended ("ERISA"). Only select management and highly compensated employees, including executive officers, are eligible to participate. The Deferred Compensation Plan is administered by a committee who shall approve designation of any participants and may also remove participants.</w:t>
      </w:r>
    </w:p>
    <w:p>
      <w:pPr>
        <w:spacing w:after="0" w:line="208"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Participants may elect, on a pre-tax basis, to defer receipt of compensation by making an election in accordance with the terms of the Deferred Compensation Plan. Participants are immediately vested in their own deferrals and related earnings. The Company may, but is not required, to match participant deferrals. Participants are generally vested in any such matching contributions 50% after two years but before three years of service and 100% after three years of service. A participant's vested credit balance under the Deferred Compensation Plan will generally be paid on the earliest to occur of: a separation from service; a fixed date or event; a change of control; or a plan termination. A participant can elect whether to receive his or her vested credit balance in a lump sum on the relevant payment date or in installments thereafter.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225"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At December 31, 2019, the Company had two equity incentive plans under which awards are made, which include the Gentex Corporation 2019 Omnibus Incentive Plan ("2019 Omnibus Plan"), and an employee stock purchase plan. Those plans and any material amendments thereto have previously been approved by shareholders.</w:t>
      </w:r>
    </w:p>
    <w:p>
      <w:pPr>
        <w:spacing w:after="0" w:line="201"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8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2019 Omnibus Incentive Plan</w:t>
      </w:r>
    </w:p>
    <w:p>
      <w:pPr>
        <w:spacing w:after="0" w:line="247"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The 2019 Omnibus Plan covers 45,000,000 shares of common stock. The purpose of the 2019 Omnibus Plan is to attract and retain employees, officers, and directors of the Company and its subsidiaries and to motivate and provide such persons incentives and rewards for performance. As of December 31, 2019, 4,919,256 shares (net of shares from canceled/expired options) have been issued under the 2019 Omnibus Plan, which includes stock options (at a set conversion rate), restricted shares, and performance share awards.</w:t>
      </w:r>
    </w:p>
    <w:p>
      <w:pPr>
        <w:spacing w:after="0" w:line="12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Employee Stock Options</w:t>
      </w:r>
    </w:p>
    <w:p>
      <w:pPr>
        <w:spacing w:after="0" w:line="144" w:lineRule="exact"/>
        <w:rPr>
          <w:rFonts w:ascii="Arial" w:cs="Arial" w:eastAsia="Arial" w:hAnsi="Arial"/>
          <w:sz w:val="18"/>
          <w:szCs w:val="18"/>
          <w:color w:val="auto"/>
        </w:rPr>
      </w:pPr>
    </w:p>
    <w:p>
      <w:pPr>
        <w:ind w:left="660"/>
        <w:spacing w:after="0" w:line="262" w:lineRule="auto"/>
        <w:rPr>
          <w:rFonts w:ascii="Arial" w:cs="Arial" w:eastAsia="Arial" w:hAnsi="Arial"/>
          <w:sz w:val="18"/>
          <w:szCs w:val="18"/>
          <w:color w:val="auto"/>
        </w:rPr>
      </w:pPr>
      <w:r>
        <w:rPr>
          <w:rFonts w:ascii="Arial" w:cs="Arial" w:eastAsia="Arial" w:hAnsi="Arial"/>
          <w:sz w:val="18"/>
          <w:szCs w:val="18"/>
          <w:color w:val="auto"/>
        </w:rPr>
        <w:t>The Employee Stock Option Plan allowed the Company to grant up to 24,000,000 shares of common stock under the plan, prior to its replacement by the 2019 Omnibus Plan.</w:t>
      </w:r>
    </w:p>
    <w:p>
      <w:pPr>
        <w:spacing w:after="0" w:line="115"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The Company has granted options on 796,635 shares (net of shares from canceled/expired options) under the 2019 Omnibus Plan and 12,903,592 shares (net of shares from canceled/expired options) under the prior plan through December 31, 2019. Under each of such plans, the option exercise price equals the stock’s market price on date of grant. The options vest after one to five years, and expire after five to ten years.</w:t>
      </w:r>
    </w:p>
    <w:p>
      <w:pPr>
        <w:spacing w:after="0" w:line="204" w:lineRule="exact"/>
        <w:rPr>
          <w:rFonts w:ascii="Arial" w:cs="Arial" w:eastAsia="Arial" w:hAnsi="Arial"/>
          <w:sz w:val="18"/>
          <w:szCs w:val="18"/>
          <w:color w:val="auto"/>
        </w:rPr>
      </w:pPr>
    </w:p>
    <w:p>
      <w:pPr>
        <w:ind w:left="660"/>
        <w:spacing w:after="0" w:line="262" w:lineRule="auto"/>
        <w:rPr>
          <w:rFonts w:ascii="Arial" w:cs="Arial" w:eastAsia="Arial" w:hAnsi="Arial"/>
          <w:sz w:val="18"/>
          <w:szCs w:val="18"/>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3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1"/>
                <w:szCs w:val="21"/>
                <w:color w:val="auto"/>
                <w:vertAlign w:val="superscript"/>
              </w:rPr>
              <w:t>(2)</w:t>
            </w:r>
          </w:p>
        </w:tc>
        <w:tc>
          <w:tcPr>
            <w:tcW w:w="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1"/>
                <w:szCs w:val="21"/>
                <w:color w:val="auto"/>
                <w:vertAlign w:val="superscript"/>
              </w:rPr>
              <w:t>(3)</w:t>
            </w: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 xml:space="preserve">Expected term of options (in years) </w:t>
            </w:r>
            <w:r>
              <w:rPr>
                <w:rFonts w:ascii="Arial" w:cs="Arial" w:eastAsia="Arial" w:hAnsi="Arial"/>
                <w:sz w:val="21"/>
                <w:szCs w:val="21"/>
                <w:color w:val="auto"/>
                <w:vertAlign w:val="superscript"/>
              </w:rPr>
              <w:t>(4)</w:t>
            </w:r>
          </w:p>
        </w:tc>
        <w:tc>
          <w:tcPr>
            <w:tcW w:w="900" w:type="dxa"/>
            <w:vAlign w:val="bottom"/>
          </w:tcPr>
          <w:p>
            <w:pPr>
              <w:spacing w:after="0"/>
              <w:rPr>
                <w:sz w:val="23"/>
                <w:szCs w:val="23"/>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4.2</w:t>
            </w:r>
          </w:p>
        </w:tc>
      </w:tr>
      <w:tr>
        <w:trPr>
          <w:trHeight w:val="27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r>
    </w:tbl>
    <w:p>
      <w:pPr>
        <w:spacing w:after="0" w:line="209" w:lineRule="exact"/>
        <w:rPr>
          <w:sz w:val="20"/>
          <w:szCs w:val="20"/>
          <w:color w:val="auto"/>
        </w:rPr>
      </w:pPr>
    </w:p>
    <w:p>
      <w:pPr>
        <w:ind w:left="960" w:hanging="304"/>
        <w:spacing w:after="0"/>
        <w:tabs>
          <w:tab w:leader="none" w:pos="9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the Company's estimated cash dividend yield over the expected term of option grant.</w:t>
      </w:r>
    </w:p>
    <w:p>
      <w:pPr>
        <w:ind w:left="1460" w:right="20" w:hanging="804"/>
        <w:spacing w:after="0" w:line="258" w:lineRule="auto"/>
        <w:tabs>
          <w:tab w:leader="none" w:pos="812" w:val="left"/>
        </w:tabs>
        <w:numPr>
          <w:ilvl w:val="0"/>
          <w:numId w:val="27"/>
        </w:numPr>
        <w:rPr>
          <w:rFonts w:ascii="Arial" w:cs="Arial" w:eastAsia="Arial" w:hAnsi="Arial"/>
          <w:sz w:val="12"/>
          <w:szCs w:val="12"/>
          <w:color w:val="auto"/>
        </w:rPr>
      </w:pPr>
      <w:r>
        <w:rPr>
          <w:rFonts w:ascii="Arial" w:cs="Arial" w:eastAsia="Arial" w:hAnsi="Arial"/>
          <w:sz w:val="12"/>
          <w:szCs w:val="12"/>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960" w:hanging="304"/>
        <w:spacing w:after="0"/>
        <w:tabs>
          <w:tab w:leader="none" w:pos="9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the U.S. Treasury yield over the expected term of the option grant.</w:t>
      </w:r>
    </w:p>
    <w:p>
      <w:pPr>
        <w:ind w:left="1460" w:right="20" w:hanging="804"/>
        <w:spacing w:after="0" w:line="282" w:lineRule="auto"/>
        <w:tabs>
          <w:tab w:leader="none" w:pos="812"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13"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As of December 31, 2019, there was $6,316,567 of unrecognized compensation cost related to stock option awards which is expected to be recognized over the remaining vesting periods, with a weighted-average period of 1.90 years.</w:t>
      </w:r>
    </w:p>
    <w:p>
      <w:pPr>
        <w:spacing w:after="0" w:line="115"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A summary of the status of the Company’s employee stock option plan at December 31, 2019, 2018 and 2017, and changes during the same periods are presented in the tables below.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5" w:name="page56"/>
    <w:bookmarkEnd w:id="55"/>
    <w:p>
      <w:pPr>
        <w:jc w:val="center"/>
        <w:ind w:right="6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1"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(Continued)</w:t>
      </w:r>
    </w:p>
    <w:p>
      <w:pPr>
        <w:sectPr>
          <w:pgSz w:w="11900" w:h="16838" w:orient="portrait"/>
          <w:cols w:equalWidth="0" w:num="1">
            <w:col w:w="10760"/>
          </w:cols>
          <w:pgMar w:left="90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Outstanding at Beginning of Year</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Exercised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Outstanding at End of Year</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Exercisable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Beginning of Year</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End of Year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Exercisable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Beginning of Year</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End of Year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Exercisable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26035</wp:posOffset>
            </wp:positionV>
            <wp:extent cx="3336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Wtd. Avg.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380" w:type="dxa"/>
            <w:vAlign w:val="bottom"/>
          </w:tcPr>
          <w:p>
            <w:pPr>
              <w:spacing w:after="0"/>
              <w:rPr>
                <w:sz w:val="14"/>
                <w:szCs w:val="14"/>
                <w:color w:val="auto"/>
              </w:rPr>
            </w:pPr>
          </w:p>
        </w:tc>
        <w:tc>
          <w:tcPr>
            <w:tcW w:w="9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99"/>
              </w:rPr>
              <w:t>Wtd. Avg.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3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(000)</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rPr>
              <w:t>Ex. Price</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Contract Life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(000)</w:t>
            </w:r>
          </w:p>
        </w:tc>
        <w:tc>
          <w:tcPr>
            <w:tcW w:w="400" w:type="dxa"/>
            <w:vAlign w:val="bottom"/>
            <w:tcBorders>
              <w:bottom w:val="single" w:sz="8" w:color="auto"/>
            </w:tcBorders>
          </w:tcPr>
          <w:p>
            <w:pPr>
              <w:spacing w:after="0"/>
              <w:rPr>
                <w:sz w:val="17"/>
                <w:szCs w:val="17"/>
                <w:color w:val="auto"/>
              </w:rPr>
            </w:pPr>
          </w:p>
        </w:tc>
      </w:tr>
      <w:tr>
        <w:trPr>
          <w:trHeight w:val="256"/>
        </w:trPr>
        <w:tc>
          <w:tcPr>
            <w:tcW w:w="1560" w:type="dxa"/>
            <w:vAlign w:val="bottom"/>
            <w:gridSpan w:val="4"/>
          </w:tcPr>
          <w:p>
            <w:pPr>
              <w:jc w:val="right"/>
              <w:spacing w:after="0"/>
              <w:rPr>
                <w:sz w:val="20"/>
                <w:szCs w:val="20"/>
                <w:color w:val="auto"/>
              </w:rPr>
            </w:pPr>
            <w:r>
              <w:rPr>
                <w:rFonts w:ascii="Arial" w:cs="Arial" w:eastAsia="Arial" w:hAnsi="Arial"/>
                <w:sz w:val="18"/>
                <w:szCs w:val="18"/>
                <w:color w:val="auto"/>
              </w:rPr>
              <w:t>8,944</w:t>
            </w:r>
          </w:p>
        </w:tc>
        <w:tc>
          <w:tcPr>
            <w:tcW w:w="880" w:type="dxa"/>
            <w:vAlign w:val="bottom"/>
            <w:gridSpan w:val="3"/>
          </w:tcPr>
          <w:p>
            <w:pPr>
              <w:jc w:val="right"/>
              <w:ind w:right="548"/>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0"/>
        </w:trPr>
        <w:tc>
          <w:tcPr>
            <w:tcW w:w="1560" w:type="dxa"/>
            <w:vAlign w:val="bottom"/>
            <w:gridSpan w:val="4"/>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1560" w:type="dxa"/>
            <w:vAlign w:val="bottom"/>
            <w:gridSpan w:val="4"/>
          </w:tcPr>
          <w:p>
            <w:pPr>
              <w:jc w:val="right"/>
              <w:spacing w:after="0"/>
              <w:rPr>
                <w:sz w:val="20"/>
                <w:szCs w:val="20"/>
                <w:color w:val="auto"/>
              </w:rPr>
            </w:pPr>
            <w:r>
              <w:rPr>
                <w:rFonts w:ascii="Arial" w:cs="Arial" w:eastAsia="Arial" w:hAnsi="Arial"/>
                <w:sz w:val="18"/>
                <w:szCs w:val="18"/>
                <w:color w:val="auto"/>
              </w:rPr>
              <w:t>(4,402)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36,294</w:t>
            </w:r>
          </w:p>
        </w:tc>
      </w:tr>
      <w:tr>
        <w:trPr>
          <w:trHeight w:val="277"/>
        </w:trPr>
        <w:tc>
          <w:tcPr>
            <w:tcW w:w="380" w:type="dxa"/>
            <w:vAlign w:val="bottom"/>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(156)</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3"/>
        </w:trPr>
        <w:tc>
          <w:tcPr>
            <w:tcW w:w="1560" w:type="dxa"/>
            <w:vAlign w:val="bottom"/>
            <w:gridSpan w:val="4"/>
          </w:tcPr>
          <w:p>
            <w:pPr>
              <w:jc w:val="right"/>
              <w:spacing w:after="0"/>
              <w:rPr>
                <w:sz w:val="20"/>
                <w:szCs w:val="20"/>
                <w:color w:val="auto"/>
              </w:rPr>
            </w:pPr>
            <w:r>
              <w:rPr>
                <w:rFonts w:ascii="Arial" w:cs="Arial" w:eastAsia="Arial" w:hAnsi="Arial"/>
                <w:sz w:val="18"/>
                <w:szCs w:val="18"/>
                <w:color w:val="auto"/>
              </w:rPr>
              <w:t>5,435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8"/>
              </w:rPr>
              <w:t>3.1 Yrs</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47,170</w:t>
            </w:r>
          </w:p>
        </w:tc>
      </w:tr>
      <w:tr>
        <w:trPr>
          <w:trHeight w:val="270"/>
        </w:trPr>
        <w:tc>
          <w:tcPr>
            <w:tcW w:w="1560" w:type="dxa"/>
            <w:vAlign w:val="bottom"/>
            <w:gridSpan w:val="4"/>
          </w:tcPr>
          <w:p>
            <w:pPr>
              <w:jc w:val="right"/>
              <w:spacing w:after="0"/>
              <w:rPr>
                <w:sz w:val="20"/>
                <w:szCs w:val="20"/>
                <w:color w:val="auto"/>
              </w:rPr>
            </w:pPr>
            <w:r>
              <w:rPr>
                <w:rFonts w:ascii="Arial" w:cs="Arial" w:eastAsia="Arial" w:hAnsi="Arial"/>
                <w:sz w:val="18"/>
                <w:szCs w:val="18"/>
                <w:color w:val="auto"/>
              </w:rPr>
              <w:t>1,859</w:t>
            </w:r>
          </w:p>
        </w:tc>
        <w:tc>
          <w:tcPr>
            <w:tcW w:w="880" w:type="dxa"/>
            <w:vAlign w:val="bottom"/>
            <w:gridSpan w:val="3"/>
          </w:tcPr>
          <w:p>
            <w:pPr>
              <w:jc w:val="right"/>
              <w:ind w:right="548"/>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8"/>
              </w:rPr>
              <w:t>2.2 Yrs</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20,484</w:t>
            </w:r>
          </w:p>
        </w:tc>
      </w:tr>
      <w:tr>
        <w:trPr>
          <w:trHeight w:val="575"/>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75"/>
        </w:trPr>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rPr>
              <w:t>Wtd. Avg.</w:t>
            </w:r>
          </w:p>
        </w:tc>
        <w:tc>
          <w:tcPr>
            <w:tcW w:w="142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1300" w:type="dxa"/>
            <w:vAlign w:val="bottom"/>
            <w:gridSpan w:val="3"/>
          </w:tcPr>
          <w:p>
            <w:pPr>
              <w:ind w:left="3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8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w w:val="99"/>
              </w:rPr>
              <w:t>Wtd. Avg.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c>
          <w:tcPr>
            <w:tcW w:w="13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Value</w:t>
            </w:r>
          </w:p>
        </w:tc>
      </w:tr>
      <w:tr>
        <w:trPr>
          <w:trHeight w:val="196"/>
        </w:trPr>
        <w:tc>
          <w:tcPr>
            <w:tcW w:w="118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Ex. Price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Contract Life</w:t>
            </w:r>
          </w:p>
        </w:tc>
        <w:tc>
          <w:tcPr>
            <w:tcW w:w="1020" w:type="dxa"/>
            <w:vAlign w:val="bottom"/>
            <w:gridSpan w:val="3"/>
          </w:tcPr>
          <w:p>
            <w:pPr>
              <w:jc w:val="center"/>
              <w:ind w:right="239"/>
              <w:spacing w:after="0"/>
              <w:rPr>
                <w:sz w:val="20"/>
                <w:szCs w:val="20"/>
                <w:color w:val="auto"/>
              </w:rPr>
            </w:pPr>
            <w:r>
              <w:rPr>
                <w:rFonts w:ascii="Arial" w:cs="Arial" w:eastAsia="Arial" w:hAnsi="Arial"/>
                <w:sz w:val="14"/>
                <w:szCs w:val="14"/>
                <w:b w:val="1"/>
                <w:bCs w:val="1"/>
                <w:color w:val="auto"/>
              </w:rPr>
              <w:t>(000)</w:t>
            </w:r>
          </w:p>
        </w:tc>
        <w:tc>
          <w:tcPr>
            <w:tcW w:w="400" w:type="dxa"/>
            <w:vAlign w:val="bottom"/>
          </w:tcPr>
          <w:p>
            <w:pPr>
              <w:spacing w:after="0"/>
              <w:rPr>
                <w:sz w:val="17"/>
                <w:szCs w:val="17"/>
                <w:color w:val="auto"/>
              </w:rPr>
            </w:pPr>
          </w:p>
        </w:tc>
      </w:tr>
      <w:tr>
        <w:trPr>
          <w:trHeight w:val="256"/>
        </w:trPr>
        <w:tc>
          <w:tcPr>
            <w:tcW w:w="1180" w:type="dxa"/>
            <w:vAlign w:val="bottom"/>
            <w:tcBorders>
              <w:top w:val="single" w:sz="8" w:color="auto"/>
            </w:tcBorders>
            <w:gridSpan w:val="2"/>
          </w:tcPr>
          <w:p>
            <w:pPr>
              <w:jc w:val="right"/>
              <w:ind w:right="2"/>
              <w:spacing w:after="0"/>
              <w:rPr>
                <w:sz w:val="20"/>
                <w:szCs w:val="20"/>
                <w:color w:val="auto"/>
              </w:rPr>
            </w:pPr>
            <w:r>
              <w:rPr>
                <w:rFonts w:ascii="Arial" w:cs="Arial" w:eastAsia="Arial" w:hAnsi="Arial"/>
                <w:sz w:val="18"/>
                <w:szCs w:val="18"/>
                <w:color w:val="auto"/>
              </w:rPr>
              <w:t>11,837</w:t>
            </w:r>
          </w:p>
        </w:tc>
        <w:tc>
          <w:tcPr>
            <w:tcW w:w="120" w:type="dxa"/>
            <w:vAlign w:val="bottom"/>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3"/>
          </w:tcPr>
          <w:p>
            <w:pPr>
              <w:jc w:val="center"/>
              <w:ind w:left="553"/>
              <w:spacing w:after="0"/>
              <w:rPr>
                <w:sz w:val="20"/>
                <w:szCs w:val="20"/>
                <w:color w:val="auto"/>
              </w:rPr>
            </w:pPr>
            <w:r>
              <w:rPr>
                <w:rFonts w:ascii="Arial" w:cs="Arial" w:eastAsia="Arial" w:hAnsi="Arial"/>
                <w:sz w:val="18"/>
                <w:szCs w:val="18"/>
                <w:color w:val="auto"/>
                <w:w w:val="99"/>
              </w:rPr>
              <w:t>16</w:t>
            </w: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r>
      <w:tr>
        <w:trPr>
          <w:trHeight w:val="270"/>
        </w:trPr>
        <w:tc>
          <w:tcPr>
            <w:tcW w:w="1180" w:type="dxa"/>
            <w:vAlign w:val="bottom"/>
            <w:gridSpan w:val="2"/>
          </w:tcPr>
          <w:p>
            <w:pPr>
              <w:jc w:val="right"/>
              <w:ind w:right="2"/>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3"/>
          </w:tcPr>
          <w:p>
            <w:pPr>
              <w:jc w:val="center"/>
              <w:ind w:left="553"/>
              <w:spacing w:after="0"/>
              <w:rPr>
                <w:sz w:val="20"/>
                <w:szCs w:val="20"/>
                <w:color w:val="auto"/>
              </w:rPr>
            </w:pPr>
            <w:r>
              <w:rPr>
                <w:rFonts w:ascii="Arial" w:cs="Arial" w:eastAsia="Arial" w:hAnsi="Arial"/>
                <w:sz w:val="18"/>
                <w:szCs w:val="18"/>
                <w:color w:val="auto"/>
                <w:w w:val="99"/>
              </w:rPr>
              <w:t>22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(4,278)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3"/>
          </w:tcPr>
          <w:p>
            <w:pPr>
              <w:jc w:val="center"/>
              <w:ind w:left="553"/>
              <w:spacing w:after="0"/>
              <w:rPr>
                <w:sz w:val="20"/>
                <w:szCs w:val="20"/>
                <w:color w:val="auto"/>
              </w:rPr>
            </w:pPr>
            <w:r>
              <w:rPr>
                <w:rFonts w:ascii="Arial" w:cs="Arial" w:eastAsia="Arial" w:hAnsi="Arial"/>
                <w:sz w:val="18"/>
                <w:szCs w:val="18"/>
                <w:color w:val="auto"/>
                <w:w w:val="99"/>
              </w:rPr>
              <w:t>15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38,097</w:t>
            </w:r>
          </w:p>
        </w:tc>
        <w:tc>
          <w:tcPr>
            <w:tcW w:w="4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-2366010</wp:posOffset>
            </wp:positionV>
            <wp:extent cx="635444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4445" cy="18034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-2014855</wp:posOffset>
            </wp:positionV>
            <wp:extent cx="635444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-1671320</wp:posOffset>
            </wp:positionV>
            <wp:extent cx="635444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-513715</wp:posOffset>
            </wp:positionV>
            <wp:extent cx="633730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37300" cy="18034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-162560</wp:posOffset>
            </wp:positionV>
            <wp:extent cx="633730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spacing w:after="0" w:line="33" w:lineRule="exact"/>
        <w:rPr>
          <w:sz w:val="20"/>
          <w:szCs w:val="20"/>
          <w:color w:val="auto"/>
        </w:rPr>
      </w:pPr>
    </w:p>
    <w:p>
      <w:pPr>
        <w:ind w:left="2220" w:hanging="1490"/>
        <w:spacing w:after="0"/>
        <w:tabs>
          <w:tab w:leader="none" w:pos="2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14605</wp:posOffset>
            </wp:positionV>
            <wp:extent cx="633730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8,944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2.8 Yrs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24,881</w:t>
            </w:r>
          </w:p>
        </w:tc>
      </w:tr>
      <w:tr>
        <w:trPr>
          <w:trHeight w:val="270"/>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4,101</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1.7 Yrs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16,162</w:t>
            </w:r>
          </w:p>
        </w:tc>
      </w:tr>
      <w:tr>
        <w:trPr>
          <w:trHeight w:val="737"/>
        </w:trPr>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Wtd. Avg.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6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1200" w:type="dxa"/>
            <w:vAlign w:val="bottom"/>
          </w:tcPr>
          <w:p>
            <w:pPr>
              <w:jc w:val="right"/>
              <w:ind w:right="2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15"/>
              <w:spacing w:after="0"/>
              <w:rPr>
                <w:sz w:val="20"/>
                <w:szCs w:val="20"/>
                <w:color w:val="auto"/>
              </w:rPr>
            </w:pPr>
            <w:r>
              <w:rPr>
                <w:rFonts w:ascii="Arial" w:cs="Arial" w:eastAsia="Arial" w:hAnsi="Arial"/>
                <w:sz w:val="14"/>
                <w:szCs w:val="14"/>
                <w:b w:val="1"/>
                <w:bCs w:val="1"/>
                <w:color w:val="auto"/>
              </w:rPr>
              <w:t>Wtd. Avg.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00"/>
              <w:spacing w:after="0"/>
              <w:rPr>
                <w:sz w:val="20"/>
                <w:szCs w:val="20"/>
                <w:color w:val="auto"/>
              </w:rPr>
            </w:pPr>
            <w:r>
              <w:rPr>
                <w:rFonts w:ascii="Arial" w:cs="Arial" w:eastAsia="Arial" w:hAnsi="Arial"/>
                <w:sz w:val="14"/>
                <w:szCs w:val="14"/>
                <w:b w:val="1"/>
                <w:bCs w:val="1"/>
                <w:color w:val="auto"/>
              </w:rPr>
              <w:t>Value</w:t>
            </w:r>
          </w:p>
        </w:tc>
      </w:tr>
      <w:tr>
        <w:trPr>
          <w:trHeight w:val="196"/>
        </w:trPr>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Ex. Price</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 Life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(000)</w:t>
            </w:r>
          </w:p>
        </w:tc>
      </w:tr>
      <w:tr>
        <w:trPr>
          <w:trHeight w:val="256"/>
        </w:trPr>
        <w:tc>
          <w:tcPr>
            <w:tcW w:w="1200" w:type="dxa"/>
            <w:vAlign w:val="bottom"/>
          </w:tcPr>
          <w:p>
            <w:pPr>
              <w:jc w:val="right"/>
              <w:ind w:right="15"/>
              <w:spacing w:after="0"/>
              <w:rPr>
                <w:sz w:val="20"/>
                <w:szCs w:val="20"/>
                <w:color w:val="auto"/>
              </w:rPr>
            </w:pPr>
            <w:r>
              <w:rPr>
                <w:rFonts w:ascii="Arial" w:cs="Arial" w:eastAsia="Arial" w:hAnsi="Arial"/>
                <w:sz w:val="18"/>
                <w:szCs w:val="18"/>
                <w:color w:val="auto"/>
              </w:rPr>
              <w:t>14,252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1200" w:type="dxa"/>
            <w:vAlign w:val="bottom"/>
          </w:tcPr>
          <w:p>
            <w:pPr>
              <w:jc w:val="right"/>
              <w:ind w:right="15"/>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20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25,156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-513715</wp:posOffset>
            </wp:positionV>
            <wp:extent cx="635444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54445" cy="18034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-162560</wp:posOffset>
            </wp:positionV>
            <wp:extent cx="635444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33" w:lineRule="exact"/>
        <w:rPr>
          <w:sz w:val="20"/>
          <w:szCs w:val="20"/>
          <w:color w:val="auto"/>
        </w:rPr>
      </w:pPr>
    </w:p>
    <w:p>
      <w:pPr>
        <w:ind w:left="2340" w:hanging="1502"/>
        <w:spacing w:after="0"/>
        <w:tabs>
          <w:tab w:leader="none" w:pos="2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14605</wp:posOffset>
            </wp:positionV>
            <wp:extent cx="635444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43" w:lineRule="exact"/>
        <w:rPr>
          <w:sz w:val="20"/>
          <w:szCs w:val="20"/>
          <w:color w:val="auto"/>
        </w:rPr>
      </w:pPr>
    </w:p>
    <w:tbl>
      <w:tblPr>
        <w:tblLayout w:type="fixed"/>
        <w:tblInd w:w="640" w:type="dxa"/>
        <w:tblCellMar>
          <w:top w:w="0" w:type="dxa"/>
          <w:left w:w="0" w:type="dxa"/>
          <w:bottom w:w="0" w:type="dxa"/>
          <w:right w:w="0" w:type="dxa"/>
        </w:tblCellMar>
      </w:tblPr>
      <w:tr>
        <w:trPr>
          <w:trHeight w:val="217"/>
        </w:trPr>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11,837</w:t>
            </w:r>
          </w:p>
        </w:tc>
        <w:tc>
          <w:tcPr>
            <w:tcW w:w="62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1040" w:type="dxa"/>
            <w:vAlign w:val="bottom"/>
          </w:tcPr>
          <w:p>
            <w:pPr>
              <w:jc w:val="center"/>
              <w:spacing w:after="0"/>
              <w:rPr>
                <w:sz w:val="20"/>
                <w:szCs w:val="20"/>
                <w:color w:val="auto"/>
              </w:rPr>
            </w:pPr>
            <w:r>
              <w:rPr>
                <w:rFonts w:ascii="Arial" w:cs="Arial" w:eastAsia="Arial" w:hAnsi="Arial"/>
                <w:sz w:val="18"/>
                <w:szCs w:val="18"/>
                <w:color w:val="auto"/>
              </w:rPr>
              <w:t>2.7 Yrs</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58,202</w:t>
            </w:r>
          </w:p>
        </w:tc>
      </w:tr>
      <w:tr>
        <w:trPr>
          <w:trHeight w:val="270"/>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5,297</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2 Yrs</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32,152</w:t>
            </w:r>
          </w:p>
        </w:tc>
      </w:tr>
    </w:tbl>
    <w:p>
      <w:pPr>
        <w:spacing w:after="0" w:line="200" w:lineRule="exact"/>
        <w:rPr>
          <w:sz w:val="20"/>
          <w:szCs w:val="20"/>
          <w:color w:val="auto"/>
        </w:rPr>
      </w:pPr>
    </w:p>
    <w:p>
      <w:pPr>
        <w:sectPr>
          <w:pgSz w:w="11900" w:h="16838" w:orient="portrait"/>
          <w:cols w:equalWidth="0" w:num="2">
            <w:col w:w="4020" w:space="720"/>
            <w:col w:w="6020"/>
          </w:cols>
          <w:pgMar w:left="900" w:top="118" w:right="239" w:bottom="1440" w:gutter="0" w:footer="0" w:header="0"/>
          <w:type w:val="continuous"/>
        </w:sectPr>
      </w:pP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 summary of the status of the Company’s non-vested employee stock option activity for the years ended December 31, 2019, 2018, and 2017, are presented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40" w:type="dxa"/>
            <w:vAlign w:val="bottom"/>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7"/>
                <w:szCs w:val="17"/>
                <w:color w:val="auto"/>
              </w:rPr>
            </w:pPr>
          </w:p>
        </w:tc>
      </w:tr>
      <w:tr>
        <w:trPr>
          <w:trHeight w:val="175"/>
        </w:trPr>
        <w:tc>
          <w:tcPr>
            <w:tcW w:w="3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Wtd. Avg</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Wtd. Avg</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rPr>
              <w:t>Wtd. Avg</w:t>
            </w:r>
          </w:p>
        </w:tc>
      </w:tr>
      <w:tr>
        <w:trPr>
          <w:trHeight w:val="162"/>
        </w:trPr>
        <w:tc>
          <w:tcPr>
            <w:tcW w:w="3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rPr>
              <w:t>Grant</w:t>
            </w:r>
          </w:p>
        </w:tc>
      </w:tr>
      <w:tr>
        <w:trPr>
          <w:trHeight w:val="162"/>
        </w:trPr>
        <w:tc>
          <w:tcPr>
            <w:tcW w:w="384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Date</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Date</w:t>
            </w:r>
          </w:p>
        </w:tc>
      </w:tr>
      <w:tr>
        <w:trPr>
          <w:trHeight w:val="196"/>
        </w:trPr>
        <w:tc>
          <w:tcPr>
            <w:tcW w:w="3840" w:type="dxa"/>
            <w:vAlign w:val="bottom"/>
          </w:tcPr>
          <w:p>
            <w:pPr>
              <w:spacing w:after="0"/>
              <w:rPr>
                <w:sz w:val="17"/>
                <w:szCs w:val="17"/>
                <w:color w:val="auto"/>
              </w:rPr>
            </w:pPr>
          </w:p>
        </w:tc>
        <w:tc>
          <w:tcPr>
            <w:tcW w:w="880" w:type="dxa"/>
            <w:vAlign w:val="bottom"/>
          </w:tcPr>
          <w:p>
            <w:pPr>
              <w:jc w:val="right"/>
              <w:ind w:right="19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right"/>
              <w:ind w:right="17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Pr>
          <w:p>
            <w:pPr>
              <w:jc w:val="right"/>
              <w:ind w:right="23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Stock Options at Beginning of Year</w:t>
            </w: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4,842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r>
      <w:tr>
        <w:trPr>
          <w:trHeight w:val="263"/>
        </w:trPr>
        <w:tc>
          <w:tcPr>
            <w:tcW w:w="3840" w:type="dxa"/>
            <w:vAlign w:val="bottom"/>
          </w:tcPr>
          <w:p>
            <w:pPr>
              <w:ind w:left="20"/>
              <w:spacing w:after="0"/>
              <w:rPr>
                <w:sz w:val="20"/>
                <w:szCs w:val="20"/>
                <w:color w:val="auto"/>
              </w:rPr>
            </w:pPr>
            <w:r>
              <w:rPr>
                <w:rFonts w:ascii="Arial" w:cs="Arial" w:eastAsia="Arial" w:hAnsi="Arial"/>
                <w:sz w:val="16"/>
                <w:szCs w:val="16"/>
                <w:color w:val="auto"/>
              </w:rPr>
              <w:t>Granted</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4</w:t>
            </w:r>
          </w:p>
        </w:tc>
      </w:tr>
      <w:tr>
        <w:trPr>
          <w:trHeight w:val="27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r>
      <w:tr>
        <w:trPr>
          <w:trHeight w:val="264"/>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w:t>
            </w:r>
          </w:p>
        </w:tc>
      </w:tr>
      <w:tr>
        <w:trPr>
          <w:trHeight w:val="25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Stock Options at End of Year</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Shares</w:t>
      </w:r>
    </w:p>
    <w:p>
      <w:pPr>
        <w:sectPr>
          <w:pgSz w:w="11900" w:h="16838" w:orient="portrait"/>
          <w:cols w:equalWidth="0" w:num="1">
            <w:col w:w="10760"/>
          </w:cols>
          <w:pgMar w:left="900" w:top="118" w:right="239" w:bottom="1440" w:gutter="0" w:footer="0" w:header="0"/>
          <w:type w:val="continuous"/>
        </w:sectPr>
      </w:pP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760"/>
          </w:cols>
          <w:pgMar w:left="900" w:top="118" w:right="239" w:bottom="1440" w:gutter="0" w:footer="0" w:header="0"/>
          <w:type w:val="continuous"/>
        </w:sectPr>
      </w:pPr>
    </w:p>
    <w:bookmarkStart w:id="56" w:name="page57"/>
    <w:bookmarkEnd w:id="56"/>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Second Restricted Stock Plan provided for a maximum number of shares that may be subject to awards of 9,000,000 shares, prior to its replacement by the 2019 Omnibus Plan.</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Restricted shares awarded under either that plan or the 2019 Omnibus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issued 854,633 shares under the 2019 Omnibus Plan and 5,762,672 shares under the prior plan as of December 31, 2019, and has 3,315,482 shares outstanding under such plans.</w:t>
      </w:r>
    </w:p>
    <w:p>
      <w:pPr>
        <w:spacing w:after="0" w:line="328"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1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7"/>
                <w:szCs w:val="17"/>
                <w:color w:val="auto"/>
              </w:rPr>
            </w:pPr>
          </w:p>
        </w:tc>
      </w:tr>
      <w:tr>
        <w:trPr>
          <w:trHeight w:val="175"/>
        </w:trPr>
        <w:tc>
          <w:tcPr>
            <w:tcW w:w="1640" w:type="dxa"/>
            <w:vAlign w:val="bottom"/>
          </w:tcPr>
          <w:p>
            <w:pPr>
              <w:spacing w:after="0"/>
              <w:rPr>
                <w:sz w:val="15"/>
                <w:szCs w:val="15"/>
                <w:color w:val="auto"/>
              </w:rPr>
            </w:pP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Market Price at</w:t>
            </w: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Market Price at</w:t>
            </w: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Market Price at</w:t>
            </w:r>
          </w:p>
        </w:tc>
      </w:tr>
      <w:tr>
        <w:trPr>
          <w:trHeight w:val="202"/>
        </w:trPr>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Vesting Period</w:t>
            </w:r>
            <w:r>
              <w:rPr>
                <w:rFonts w:ascii="Arial" w:cs="Arial" w:eastAsia="Arial" w:hAnsi="Arial"/>
                <w:sz w:val="17"/>
                <w:szCs w:val="17"/>
                <w:b w:val="1"/>
                <w:bCs w:val="1"/>
                <w:color w:val="auto"/>
                <w:vertAlign w:val="superscript"/>
              </w:rPr>
              <w:t>(1)</w:t>
            </w: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Granted</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Vesting Date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Granted</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Vesting Date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Granted</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Vesting Date</w:t>
            </w:r>
          </w:p>
        </w:tc>
      </w:tr>
      <w:tr>
        <w:trPr>
          <w:trHeight w:val="250"/>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 Year</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39,627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1640" w:type="dxa"/>
            <w:vAlign w:val="bottom"/>
          </w:tcPr>
          <w:p>
            <w:pPr>
              <w:ind w:left="20"/>
              <w:spacing w:after="0"/>
              <w:rPr>
                <w:sz w:val="20"/>
                <w:szCs w:val="20"/>
                <w:color w:val="auto"/>
              </w:rPr>
            </w:pPr>
            <w:r>
              <w:rPr>
                <w:rFonts w:ascii="Arial" w:cs="Arial" w:eastAsia="Arial" w:hAnsi="Arial"/>
                <w:sz w:val="18"/>
                <w:szCs w:val="18"/>
                <w:color w:val="auto"/>
              </w:rPr>
              <w:t>3 Years</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64,718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Years</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773,698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- 28.98</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762,749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- 23.14</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628,015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- 21.33</w:t>
            </w:r>
          </w:p>
        </w:tc>
      </w:tr>
      <w:tr>
        <w:trPr>
          <w:trHeight w:val="264"/>
        </w:trPr>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5 Years</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254,988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- 28.98</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279,420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- 23.14</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228,630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- 21.33</w:t>
            </w:r>
          </w:p>
        </w:tc>
      </w:tr>
      <w:tr>
        <w:trPr>
          <w:trHeight w:val="257"/>
        </w:trPr>
        <w:tc>
          <w:tcPr>
            <w:tcW w:w="16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1,133,031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- 28.98</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1,042,169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- 23.14</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856,645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- 21.33</w:t>
            </w:r>
          </w:p>
        </w:tc>
      </w:tr>
    </w:tbl>
    <w:p>
      <w:pPr>
        <w:spacing w:after="0" w:line="8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 Each of these awards cliff vest after the restriction period with no additional restrictions.</w:t>
      </w:r>
    </w:p>
    <w:p>
      <w:pPr>
        <w:spacing w:after="0" w:line="3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there was unearned stock-based compensation of $47,139,370 associated with these restricted stock grants. The unearned stock-based compensation related to these grants is being amortized to compensation expense over the applicable restriction periods. Amortization expense of restricted stock for the years ended December 31, 2019, 2018 and 2017 was $13,770,917, $8,841,985, and $5,353,339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Shares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 As of December 31, 2019, the Company had unearned stock-based compensation of $2,224,328 associated with these performance share grants. The unearned stock-based compensation related to these grants is being amortized to compensation expense over the applicable performance periods. Amortization expense from performance share grants for the year ended December 31, 2019 was $897,136. No amortization expense for performance share grants was incurred in 2018 or 2017, as no such awards were issued or outstanding.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2013, the Gentex Corporation Employee Stock Purchase Plan covering 2,000,000 shares of common stock was approved by the shareholders, replacing a prior plan. Under such plan, the Company sells shares at 85% of the stock’s market price at the date of purchase. Under ASC 718, the 15% discounted value is recognized as compensation expense. The following table summarizes shares sold to employees under the 2013 Plan in the years ended December 31, 2019, 2018 and 2017:</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Cumulative Shares</w:t>
            </w:r>
          </w:p>
        </w:tc>
        <w:tc>
          <w:tcPr>
            <w:tcW w:w="160" w:type="dxa"/>
            <w:vAlign w:val="bottom"/>
          </w:tcPr>
          <w:p>
            <w:pPr>
              <w:spacing w:after="0"/>
              <w:rPr>
                <w:sz w:val="14"/>
                <w:szCs w:val="14"/>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rPr>
              <w:t>Average Fair</w:t>
            </w:r>
          </w:p>
        </w:tc>
      </w:tr>
      <w:tr>
        <w:trPr>
          <w:trHeight w:val="19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w:t>
            </w: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4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Issued in 2019</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9"/>
              </w:rPr>
              <w:t>Value 2019</w:t>
            </w:r>
          </w:p>
        </w:tc>
      </w:tr>
      <w:tr>
        <w:trPr>
          <w:trHeight w:val="25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Employee Stock Purchase Plan</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173,013</w:t>
            </w:r>
          </w:p>
        </w:tc>
        <w:tc>
          <w:tcPr>
            <w:tcW w:w="2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177,846</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175,479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21.40</w:t>
            </w:r>
          </w:p>
        </w:tc>
      </w:tr>
      <w:tr>
        <w:trPr>
          <w:trHeight w:val="648"/>
        </w:trPr>
        <w:tc>
          <w:tcPr>
            <w:tcW w:w="4100" w:type="dxa"/>
            <w:vAlign w:val="bottom"/>
          </w:tcPr>
          <w:p>
            <w:pPr>
              <w:spacing w:after="0"/>
              <w:rPr>
                <w:sz w:val="24"/>
                <w:szCs w:val="24"/>
                <w:color w:val="auto"/>
              </w:rPr>
            </w:pPr>
          </w:p>
        </w:tc>
        <w:tc>
          <w:tcPr>
            <w:tcW w:w="1020" w:type="dxa"/>
            <w:vAlign w:val="bottom"/>
          </w:tcPr>
          <w:p>
            <w:pPr>
              <w:jc w:val="right"/>
              <w:ind w:right="256"/>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760"/>
          </w:cols>
          <w:pgMar w:left="900" w:top="11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87"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44"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matters that constitute material pending legal proceedings that will have a material adverse effect on the financial position, future results of operations, or cash flows of the Company.</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126" w:lineRule="exact"/>
        <w:rPr>
          <w:rFonts w:ascii="Arial" w:cs="Arial" w:eastAsia="Arial" w:hAnsi="Arial"/>
          <w:sz w:val="18"/>
          <w:szCs w:val="18"/>
          <w:color w:val="auto"/>
        </w:rPr>
      </w:pPr>
    </w:p>
    <w:p>
      <w:pPr>
        <w:jc w:val="both"/>
        <w:ind w:left="6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requires that a public enterprise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decision-makers in deciding how to allocate resources and in assessing performance.</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6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6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569,939,756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583,672,971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567,492,812</w:t>
            </w:r>
          </w:p>
        </w:tc>
        <w:tc>
          <w:tcPr>
            <w:tcW w:w="0" w:type="dxa"/>
            <w:vAlign w:val="bottom"/>
          </w:tcPr>
          <w:p>
            <w:pPr>
              <w:spacing w:after="0"/>
              <w:rPr>
                <w:sz w:val="1"/>
                <w:szCs w:val="1"/>
                <w:color w:val="auto"/>
              </w:rPr>
            </w:pPr>
          </w:p>
        </w:tc>
      </w:tr>
      <w:tr>
        <w:trPr>
          <w:trHeight w:val="260"/>
        </w:trPr>
        <w:tc>
          <w:tcPr>
            <w:tcW w:w="4660" w:type="dxa"/>
            <w:vAlign w:val="bottom"/>
          </w:tcPr>
          <w:p>
            <w:pPr>
              <w:ind w:left="700"/>
              <w:spacing w:after="0"/>
              <w:rPr>
                <w:sz w:val="20"/>
                <w:szCs w:val="20"/>
                <w:color w:val="auto"/>
              </w:rPr>
            </w:pPr>
            <w:r>
              <w:rPr>
                <w:rFonts w:ascii="Arial" w:cs="Arial" w:eastAsia="Arial" w:hAnsi="Arial"/>
                <w:sz w:val="16"/>
                <w:szCs w:val="16"/>
                <w:color w:val="auto"/>
              </w:rPr>
              <w:t>Germany</w:t>
            </w: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296,276,971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333,002,878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351,123,204</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Japan</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225,577,146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209,311,790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185,261,067</w:t>
            </w:r>
          </w:p>
        </w:tc>
        <w:tc>
          <w:tcPr>
            <w:tcW w:w="0" w:type="dxa"/>
            <w:vAlign w:val="bottom"/>
          </w:tcPr>
          <w:p>
            <w:pPr>
              <w:spacing w:after="0"/>
              <w:rPr>
                <w:sz w:val="1"/>
                <w:szCs w:val="1"/>
                <w:color w:val="auto"/>
              </w:rPr>
            </w:pPr>
          </w:p>
        </w:tc>
      </w:tr>
      <w:tr>
        <w:trPr>
          <w:trHeight w:val="260"/>
        </w:trPr>
        <w:tc>
          <w:tcPr>
            <w:tcW w:w="4660" w:type="dxa"/>
            <w:vAlign w:val="bottom"/>
          </w:tcPr>
          <w:p>
            <w:pPr>
              <w:ind w:left="700"/>
              <w:spacing w:after="0"/>
              <w:rPr>
                <w:sz w:val="20"/>
                <w:szCs w:val="20"/>
                <w:color w:val="auto"/>
              </w:rPr>
            </w:pPr>
            <w:r>
              <w:rPr>
                <w:rFonts w:ascii="Arial" w:cs="Arial" w:eastAsia="Arial" w:hAnsi="Arial"/>
                <w:sz w:val="16"/>
                <w:szCs w:val="16"/>
                <w:color w:val="auto"/>
              </w:rPr>
              <w:t>Mexico</w:t>
            </w: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160,967,900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106,111,515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93,603,796</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Other Countries</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557,775,114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559,099,142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560,646,589</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48,360,519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42,865,401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36,745,110</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1,858,897,406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1,834,063,697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1,794,872,578</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Income (Loss) from Operations:</w:t>
            </w: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473,546,112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495,471,799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512,895,699</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14,991,492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12,653,748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10,462,653</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488,537,604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508,125,547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523,358,352</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Assets:</w:t>
            </w: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1,463,030,286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1,449,910,935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1,472,061,650</w:t>
            </w:r>
          </w:p>
        </w:tc>
        <w:tc>
          <w:tcPr>
            <w:tcW w:w="0" w:type="dxa"/>
            <w:vAlign w:val="bottom"/>
          </w:tcPr>
          <w:p>
            <w:pPr>
              <w:spacing w:after="0"/>
              <w:rPr>
                <w:sz w:val="1"/>
                <w:szCs w:val="1"/>
                <w:color w:val="auto"/>
              </w:rPr>
            </w:pPr>
          </w:p>
        </w:tc>
      </w:tr>
      <w:tr>
        <w:trPr>
          <w:trHeight w:val="260"/>
        </w:trPr>
        <w:tc>
          <w:tcPr>
            <w:tcW w:w="4660" w:type="dxa"/>
            <w:vAlign w:val="bottom"/>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16,000,669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14,333,098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9,576,514</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689,772,238</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621,190,035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870,415,748</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2,168,803,193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2,085,434,068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2,352,053,912</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&amp; Amortization:</w:t>
            </w: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6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4660" w:type="dxa"/>
            <w:vAlign w:val="bottom"/>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97,520,972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97,279,052</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95,378,100</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481,861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422,844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300,935</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6,700,141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4,484,918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3,891,873</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104,702,974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102,186,814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99,570,908</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Capital Expenditures:</w:t>
            </w: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63,537,512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84,337,455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82,703,576</w:t>
            </w:r>
          </w:p>
        </w:tc>
        <w:tc>
          <w:tcPr>
            <w:tcW w:w="0" w:type="dxa"/>
            <w:vAlign w:val="bottom"/>
          </w:tcPr>
          <w:p>
            <w:pPr>
              <w:spacing w:after="0"/>
              <w:rPr>
                <w:sz w:val="1"/>
                <w:szCs w:val="1"/>
                <w:color w:val="auto"/>
              </w:rPr>
            </w:pPr>
          </w:p>
        </w:tc>
      </w:tr>
      <w:tr>
        <w:trPr>
          <w:trHeight w:val="260"/>
        </w:trPr>
        <w:tc>
          <w:tcPr>
            <w:tcW w:w="4660" w:type="dxa"/>
            <w:vAlign w:val="bottom"/>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1,704,045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1,447,494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170,357</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19,338,698</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205,621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21,166,986</w:t>
            </w:r>
          </w:p>
        </w:tc>
        <w:tc>
          <w:tcPr>
            <w:tcW w:w="0" w:type="dxa"/>
            <w:vAlign w:val="bottom"/>
          </w:tcPr>
          <w:p>
            <w:pPr>
              <w:spacing w:after="0"/>
              <w:rPr>
                <w:sz w:val="1"/>
                <w:szCs w:val="1"/>
                <w:color w:val="auto"/>
              </w:rPr>
            </w:pPr>
          </w:p>
        </w:tc>
      </w:tr>
      <w:tr>
        <w:trPr>
          <w:trHeight w:val="230"/>
        </w:trPr>
        <w:tc>
          <w:tcPr>
            <w:tcW w:w="4660" w:type="dxa"/>
            <w:vAlign w:val="bottom"/>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84,580,255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85,990,570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104,040,919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Other includes Dimmable Aircraft Windows and Fire Protection Products. Major product line revenues included within these segments are as follows: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r>
      <w:tr>
        <w:trPr>
          <w:trHeight w:val="210"/>
        </w:trPr>
        <w:tc>
          <w:tcPr>
            <w:tcW w:w="4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Automotive Products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60"/>
        </w:trPr>
        <w:tc>
          <w:tcPr>
            <w:tcW w:w="46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60"/>
        </w:trPr>
        <w:tc>
          <w:tcPr>
            <w:tcW w:w="4640" w:type="dxa"/>
            <w:vAlign w:val="bottom"/>
          </w:tcPr>
          <w:p>
            <w:pPr>
              <w:ind w:left="380"/>
              <w:spacing w:after="0"/>
              <w:rPr>
                <w:sz w:val="20"/>
                <w:szCs w:val="20"/>
                <w:color w:val="auto"/>
              </w:rPr>
            </w:pPr>
            <w:r>
              <w:rPr>
                <w:rFonts w:ascii="Arial" w:cs="Arial" w:eastAsia="Arial" w:hAnsi="Arial"/>
                <w:sz w:val="16"/>
                <w:szCs w:val="16"/>
                <w:color w:val="auto"/>
              </w:rPr>
              <w:t>Automotive Mirrors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1,638,600,272</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1,598,589,777</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1,573,222,820</w:t>
            </w:r>
          </w:p>
        </w:tc>
      </w:tr>
      <w:tr>
        <w:trPr>
          <w:trHeight w:val="280"/>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HomeLink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Modules*</w:t>
            </w: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171,936,615</w:t>
            </w: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192,608,519</w:t>
            </w: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184,904,648</w:t>
            </w:r>
          </w:p>
        </w:tc>
      </w:tr>
      <w:tr>
        <w:trPr>
          <w:trHeight w:val="217"/>
        </w:trPr>
        <w:tc>
          <w:tcPr>
            <w:tcW w:w="4640" w:type="dxa"/>
            <w:vAlign w:val="bottom"/>
          </w:tcPr>
          <w:p>
            <w:pPr>
              <w:ind w:left="160"/>
              <w:spacing w:after="0"/>
              <w:rPr>
                <w:sz w:val="20"/>
                <w:szCs w:val="20"/>
                <w:color w:val="auto"/>
              </w:rPr>
            </w:pPr>
            <w:r>
              <w:rPr>
                <w:rFonts w:ascii="Arial" w:cs="Arial" w:eastAsia="Arial" w:hAnsi="Arial"/>
                <w:sz w:val="16"/>
                <w:szCs w:val="16"/>
                <w:color w:val="auto"/>
              </w:rPr>
              <w:t>Total Automotive Products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1,810,536,887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1,791,198,296</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1,758,127,468</w:t>
            </w:r>
          </w:p>
        </w:tc>
      </w:tr>
      <w:tr>
        <w:trPr>
          <w:trHeight w:val="47"/>
        </w:trPr>
        <w:tc>
          <w:tcPr>
            <w:tcW w:w="4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24"/>
        </w:trPr>
        <w:tc>
          <w:tcPr>
            <w:tcW w:w="4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24"/>
        </w:trPr>
        <w:tc>
          <w:tcPr>
            <w:tcW w:w="4640" w:type="dxa"/>
            <w:vAlign w:val="bottom"/>
          </w:tcPr>
          <w:p>
            <w:pPr>
              <w:ind w:left="160"/>
              <w:spacing w:after="0"/>
              <w:rPr>
                <w:sz w:val="20"/>
                <w:szCs w:val="20"/>
                <w:color w:val="auto"/>
              </w:rPr>
            </w:pPr>
            <w:r>
              <w:rPr>
                <w:rFonts w:ascii="Arial" w:cs="Arial" w:eastAsia="Arial" w:hAnsi="Arial"/>
                <w:sz w:val="16"/>
                <w:szCs w:val="16"/>
                <w:color w:val="auto"/>
              </w:rPr>
              <w:t>Other Products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48,360,519</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42,865,401</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36,745,110</w:t>
            </w:r>
          </w:p>
        </w:tc>
      </w:tr>
      <w:tr>
        <w:trPr>
          <w:trHeight w:val="47"/>
        </w:trPr>
        <w:tc>
          <w:tcPr>
            <w:tcW w:w="4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24"/>
        </w:trPr>
        <w:tc>
          <w:tcPr>
            <w:tcW w:w="464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r>
      <w:tr>
        <w:trPr>
          <w:trHeight w:val="217"/>
        </w:trPr>
        <w:tc>
          <w:tcPr>
            <w:tcW w:w="46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1,858,897,406</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1,834,063,697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1,794,872,578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12700</wp:posOffset>
            </wp:positionV>
            <wp:extent cx="34048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4870" cy="26035"/>
                    </a:xfrm>
                    <a:prstGeom prst="rect">
                      <a:avLst/>
                    </a:prstGeom>
                    <a:noFill/>
                  </pic:spPr>
                </pic:pic>
              </a:graphicData>
            </a:graphic>
          </wp:anchor>
        </w:drawing>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*Excludes HomeLink</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revenue integrated into automotive mirrors.</w:t>
      </w:r>
    </w:p>
    <w:p>
      <w:pPr>
        <w:spacing w:after="0" w:line="15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Corporate assets are principally cash and cash equivalents, investments, deferred income taxes and corporate fixed assets. Depreciation &amp; Amortization on corporate fixed assets are allocated as appropriate to the Automotive and Other segments when reviewing operating results. Substantially all long-lived assets are located in the U.S.</w:t>
      </w:r>
    </w:p>
    <w:p>
      <w:pPr>
        <w:spacing w:after="0" w:line="12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Automotive Products revenues in the “Other countries” category are sales to customer automotive manufacturing plants in Korea, Mexico, Canada, Hungary, China, and the United Kingdom as well as other foreign automotive customers. Most of the Company’s non-U.S. sales are invoiced and paid in U.S. dollars. During the years ended December 31, 2019, 2018 and 2017, approximately 7%, 8% and 8% of the Company’s net sales were invoiced and paid in foreign currencies, respectively.</w:t>
      </w:r>
    </w:p>
    <w:p>
      <w:pPr>
        <w:spacing w:after="0" w:line="12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 2019, the Company had three automotive customers (including direct sales to OEM customers and sales through their Tier 1 suppliers), which individually accounted for 10% or more of net sales as follows:</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198"/>
        </w:trPr>
        <w:tc>
          <w:tcPr>
            <w:tcW w:w="1700" w:type="dxa"/>
            <w:vAlign w:val="bottom"/>
            <w:shd w:val="clear" w:color="auto" w:fill="CCEEFF"/>
          </w:tcPr>
          <w:p>
            <w:pPr>
              <w:spacing w:after="0"/>
              <w:rPr>
                <w:sz w:val="17"/>
                <w:szCs w:val="17"/>
                <w:color w:val="auto"/>
              </w:rPr>
            </w:pPr>
          </w:p>
        </w:tc>
        <w:tc>
          <w:tcPr>
            <w:tcW w:w="2600" w:type="dxa"/>
            <w:vAlign w:val="bottom"/>
            <w:shd w:val="clear" w:color="auto" w:fill="CCEEFF"/>
          </w:tcPr>
          <w:p>
            <w:pPr>
              <w:jc w:val="right"/>
              <w:ind w:right="214"/>
              <w:spacing w:after="0"/>
              <w:rPr>
                <w:sz w:val="20"/>
                <w:szCs w:val="20"/>
                <w:color w:val="auto"/>
              </w:rPr>
            </w:pPr>
            <w:r>
              <w:rPr>
                <w:rFonts w:ascii="Arial" w:cs="Arial" w:eastAsia="Arial" w:hAnsi="Arial"/>
                <w:sz w:val="16"/>
                <w:szCs w:val="16"/>
                <w:b w:val="1"/>
                <w:bCs w:val="1"/>
                <w:color w:val="auto"/>
              </w:rPr>
              <w:t>Toyota Motor</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6"/>
                <w:szCs w:val="16"/>
                <w:b w:val="1"/>
                <w:bCs w:val="1"/>
                <w:color w:val="auto"/>
              </w:rPr>
              <w:t>Volkswagen</w:t>
            </w:r>
          </w:p>
        </w:tc>
        <w:tc>
          <w:tcPr>
            <w:tcW w:w="1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6"/>
                <w:szCs w:val="16"/>
                <w:b w:val="1"/>
                <w:bCs w:val="1"/>
                <w:color w:val="auto"/>
              </w:rPr>
              <w:t>Ford Motor</w:t>
            </w:r>
          </w:p>
        </w:tc>
      </w:tr>
      <w:tr>
        <w:trPr>
          <w:trHeight w:val="234"/>
        </w:trPr>
        <w:tc>
          <w:tcPr>
            <w:tcW w:w="1700" w:type="dxa"/>
            <w:vAlign w:val="bottom"/>
            <w:shd w:val="clear" w:color="auto" w:fill="CCEEFF"/>
          </w:tcPr>
          <w:p>
            <w:pPr>
              <w:spacing w:after="0"/>
              <w:rPr>
                <w:sz w:val="20"/>
                <w:szCs w:val="20"/>
                <w:color w:val="auto"/>
              </w:rPr>
            </w:pPr>
          </w:p>
        </w:tc>
        <w:tc>
          <w:tcPr>
            <w:tcW w:w="2600" w:type="dxa"/>
            <w:vAlign w:val="bottom"/>
            <w:shd w:val="clear" w:color="auto" w:fill="CCEEFF"/>
          </w:tcPr>
          <w:p>
            <w:pPr>
              <w:jc w:val="right"/>
              <w:ind w:right="354"/>
              <w:spacing w:after="0"/>
              <w:rPr>
                <w:sz w:val="20"/>
                <w:szCs w:val="20"/>
                <w:color w:val="auto"/>
              </w:rPr>
            </w:pPr>
            <w:r>
              <w:rPr>
                <w:rFonts w:ascii="Arial" w:cs="Arial" w:eastAsia="Arial" w:hAnsi="Arial"/>
                <w:sz w:val="16"/>
                <w:szCs w:val="16"/>
                <w:b w:val="1"/>
                <w:bCs w:val="1"/>
                <w:color w:val="auto"/>
              </w:rPr>
              <w:t>Company</w:t>
            </w:r>
          </w:p>
        </w:tc>
        <w:tc>
          <w:tcPr>
            <w:tcW w:w="1400" w:type="dxa"/>
            <w:vAlign w:val="bottom"/>
            <w:shd w:val="clear" w:color="auto" w:fill="CCEEFF"/>
          </w:tcPr>
          <w:p>
            <w:pPr>
              <w:jc w:val="right"/>
              <w:ind w:right="434"/>
              <w:spacing w:after="0"/>
              <w:rPr>
                <w:sz w:val="20"/>
                <w:szCs w:val="20"/>
                <w:color w:val="auto"/>
              </w:rPr>
            </w:pPr>
            <w:r>
              <w:rPr>
                <w:rFonts w:ascii="Arial" w:cs="Arial" w:eastAsia="Arial" w:hAnsi="Arial"/>
                <w:sz w:val="16"/>
                <w:szCs w:val="16"/>
                <w:b w:val="1"/>
                <w:bCs w:val="1"/>
                <w:color w:val="auto"/>
              </w:rPr>
              <w:t>Group</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6"/>
                <w:szCs w:val="16"/>
                <w:b w:val="1"/>
                <w:bCs w:val="1"/>
                <w:color w:val="auto"/>
              </w:rPr>
              <w:t>General Motors</w:t>
            </w:r>
          </w:p>
        </w:tc>
        <w:tc>
          <w:tcPr>
            <w:tcW w:w="1500" w:type="dxa"/>
            <w:vAlign w:val="bottom"/>
            <w:shd w:val="clear" w:color="auto" w:fill="CCEEFF"/>
          </w:tcPr>
          <w:p>
            <w:pPr>
              <w:jc w:val="right"/>
              <w:ind w:right="172"/>
              <w:spacing w:after="0"/>
              <w:rPr>
                <w:sz w:val="20"/>
                <w:szCs w:val="20"/>
                <w:color w:val="auto"/>
              </w:rPr>
            </w:pPr>
            <w:r>
              <w:rPr>
                <w:rFonts w:ascii="Arial" w:cs="Arial" w:eastAsia="Arial" w:hAnsi="Arial"/>
                <w:sz w:val="16"/>
                <w:szCs w:val="16"/>
                <w:b w:val="1"/>
                <w:bCs w:val="1"/>
                <w:color w:val="auto"/>
              </w:rPr>
              <w:t>Daimler Group</w:t>
            </w:r>
          </w:p>
        </w:tc>
        <w:tc>
          <w:tcPr>
            <w:tcW w:w="1280" w:type="dxa"/>
            <w:vAlign w:val="bottom"/>
            <w:shd w:val="clear" w:color="auto" w:fill="CCEEFF"/>
          </w:tcPr>
          <w:p>
            <w:pPr>
              <w:jc w:val="right"/>
              <w:ind w:right="194"/>
              <w:spacing w:after="0"/>
              <w:rPr>
                <w:sz w:val="20"/>
                <w:szCs w:val="20"/>
                <w:color w:val="auto"/>
              </w:rPr>
            </w:pPr>
            <w:r>
              <w:rPr>
                <w:rFonts w:ascii="Arial" w:cs="Arial" w:eastAsia="Arial" w:hAnsi="Arial"/>
                <w:sz w:val="16"/>
                <w:szCs w:val="16"/>
                <w:b w:val="1"/>
                <w:bCs w:val="1"/>
                <w:color w:val="auto"/>
              </w:rPr>
              <w:t>Company</w:t>
            </w:r>
          </w:p>
        </w:tc>
      </w:tr>
      <w:tr>
        <w:trPr>
          <w:trHeight w:val="263"/>
        </w:trPr>
        <w:tc>
          <w:tcPr>
            <w:tcW w:w="1700" w:type="dxa"/>
            <w:vAlign w:val="bottom"/>
          </w:tcPr>
          <w:p>
            <w:pPr>
              <w:jc w:val="right"/>
              <w:ind w:right="1190"/>
              <w:spacing w:after="0"/>
              <w:rPr>
                <w:sz w:val="20"/>
                <w:szCs w:val="20"/>
                <w:color w:val="auto"/>
              </w:rPr>
            </w:pPr>
            <w:r>
              <w:rPr>
                <w:rFonts w:ascii="Arial" w:cs="Arial" w:eastAsia="Arial" w:hAnsi="Arial"/>
                <w:sz w:val="18"/>
                <w:szCs w:val="18"/>
                <w:color w:val="auto"/>
                <w:w w:val="99"/>
              </w:rPr>
              <w:t>2019</w:t>
            </w:r>
          </w:p>
        </w:tc>
        <w:tc>
          <w:tcPr>
            <w:tcW w:w="2600" w:type="dxa"/>
            <w:vAlign w:val="bottom"/>
          </w:tcPr>
          <w:p>
            <w:pPr>
              <w:jc w:val="right"/>
              <w:ind w:right="94"/>
              <w:spacing w:after="0"/>
              <w:rPr>
                <w:sz w:val="20"/>
                <w:szCs w:val="20"/>
                <w:color w:val="auto"/>
              </w:rPr>
            </w:pPr>
            <w:r>
              <w:rPr>
                <w:rFonts w:ascii="Arial" w:cs="Arial" w:eastAsia="Arial" w:hAnsi="Arial"/>
                <w:sz w:val="18"/>
                <w:szCs w:val="18"/>
                <w:color w:val="auto"/>
              </w:rPr>
              <w:t>13%</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7"/>
        </w:trPr>
        <w:tc>
          <w:tcPr>
            <w:tcW w:w="17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2018</w:t>
            </w:r>
          </w:p>
        </w:tc>
        <w:tc>
          <w:tcPr>
            <w:tcW w:w="2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57"/>
        </w:trPr>
        <w:tc>
          <w:tcPr>
            <w:tcW w:w="1700" w:type="dxa"/>
            <w:vAlign w:val="bottom"/>
          </w:tcPr>
          <w:p>
            <w:pPr>
              <w:jc w:val="right"/>
              <w:ind w:right="1190"/>
              <w:spacing w:after="0"/>
              <w:rPr>
                <w:sz w:val="20"/>
                <w:szCs w:val="20"/>
                <w:color w:val="auto"/>
              </w:rPr>
            </w:pPr>
            <w:r>
              <w:rPr>
                <w:rFonts w:ascii="Arial" w:cs="Arial" w:eastAsia="Arial" w:hAnsi="Arial"/>
                <w:sz w:val="18"/>
                <w:szCs w:val="18"/>
                <w:color w:val="auto"/>
                <w:w w:val="99"/>
              </w:rPr>
              <w:t>2017</w:t>
            </w:r>
          </w:p>
        </w:tc>
        <w:tc>
          <w:tcPr>
            <w:tcW w:w="2600" w:type="dxa"/>
            <w:vAlign w:val="bottom"/>
          </w:tcPr>
          <w:p>
            <w:pPr>
              <w:jc w:val="right"/>
              <w:ind w:right="94"/>
              <w:spacing w:after="0"/>
              <w:rPr>
                <w:sz w:val="20"/>
                <w:szCs w:val="20"/>
                <w:color w:val="auto"/>
              </w:rPr>
            </w:pPr>
            <w:r>
              <w:rPr>
                <w:rFonts w:ascii="Arial" w:cs="Arial" w:eastAsia="Arial" w:hAnsi="Arial"/>
                <w:sz w:val="18"/>
                <w:szCs w:val="18"/>
                <w:color w:val="auto"/>
              </w:rPr>
              <w:t>12%</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 - Less than 10 percent.</w:t>
      </w:r>
    </w:p>
    <w:p>
      <w:pPr>
        <w:spacing w:after="0" w:line="23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QUARTERLY FINANCIAL INFORMATION (UNAUDITED)</w:t>
      </w:r>
    </w:p>
    <w:p>
      <w:pPr>
        <w:spacing w:after="0" w:line="225"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The following table sets forth selected financial information for all of the quarters during the years ended December 31, 2019 and 2018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210820</wp:posOffset>
            </wp:positionV>
            <wp:extent cx="5419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394" w:lineRule="exact"/>
        <w:rPr>
          <w:sz w:val="20"/>
          <w:szCs w:val="20"/>
          <w:color w:val="auto"/>
        </w:rPr>
      </w:pPr>
    </w:p>
    <w:tbl>
      <w:tblPr>
        <w:tblLayout w:type="fixed"/>
        <w:tblInd w:w="1780" w:type="dxa"/>
        <w:tblCellMar>
          <w:top w:w="0" w:type="dxa"/>
          <w:left w:w="0" w:type="dxa"/>
          <w:bottom w:w="0" w:type="dxa"/>
          <w:right w:w="0" w:type="dxa"/>
        </w:tblCellMar>
      </w:tblPr>
      <w:tr>
        <w:trPr>
          <w:trHeight w:val="196"/>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First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5"/>
          </w:tcPr>
          <w:p>
            <w:pPr>
              <w:ind w:left="400"/>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468,589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465,420</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468,711</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454,981</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477,761</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460,253</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443,836</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453,409</w:t>
            </w:r>
          </w:p>
        </w:tc>
        <w:tc>
          <w:tcPr>
            <w:tcW w:w="0" w:type="dxa"/>
            <w:vAlign w:val="bottom"/>
          </w:tcPr>
          <w:p>
            <w:pPr>
              <w:spacing w:after="0"/>
              <w:rPr>
                <w:sz w:val="1"/>
                <w:szCs w:val="1"/>
                <w:color w:val="auto"/>
              </w:rPr>
            </w:pPr>
          </w:p>
        </w:tc>
      </w:tr>
      <w:tr>
        <w:trPr>
          <w:trHeight w:val="66"/>
        </w:trPr>
        <w:tc>
          <w:tcPr>
            <w:tcW w:w="178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78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169,645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172,628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176,538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172,804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180,321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172,990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161,805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172,044</w:t>
            </w:r>
          </w:p>
        </w:tc>
        <w:tc>
          <w:tcPr>
            <w:tcW w:w="0" w:type="dxa"/>
            <w:vAlign w:val="bottom"/>
          </w:tcPr>
          <w:p>
            <w:pPr>
              <w:spacing w:after="0"/>
              <w:rPr>
                <w:sz w:val="1"/>
                <w:szCs w:val="1"/>
                <w:color w:val="auto"/>
              </w:rPr>
            </w:pPr>
          </w:p>
        </w:tc>
      </w:tr>
      <w:tr>
        <w:trPr>
          <w:trHeight w:val="60"/>
        </w:trPr>
        <w:tc>
          <w:tcPr>
            <w:tcW w:w="1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121,596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127,905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126,683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110,901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125,499</w:t>
            </w:r>
          </w:p>
        </w:tc>
        <w:tc>
          <w:tcPr>
            <w:tcW w:w="0" w:type="dxa"/>
            <w:vAlign w:val="bottom"/>
          </w:tcPr>
          <w:p>
            <w:pPr>
              <w:spacing w:after="0"/>
              <w:rPr>
                <w:sz w:val="1"/>
                <w:szCs w:val="1"/>
                <w:color w:val="auto"/>
              </w:rPr>
            </w:pPr>
          </w:p>
        </w:tc>
      </w:tr>
      <w:tr>
        <w:trPr>
          <w:trHeight w:val="66"/>
        </w:trPr>
        <w:tc>
          <w:tcPr>
            <w:tcW w:w="17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7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104,280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111,249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108,959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109,024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111,898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111,336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99,547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106,275</w:t>
            </w:r>
          </w:p>
        </w:tc>
        <w:tc>
          <w:tcPr>
            <w:tcW w:w="0" w:type="dxa"/>
            <w:vAlign w:val="bottom"/>
          </w:tcPr>
          <w:p>
            <w:pPr>
              <w:spacing w:after="0"/>
              <w:rPr>
                <w:sz w:val="1"/>
                <w:szCs w:val="1"/>
                <w:color w:val="auto"/>
              </w:rPr>
            </w:pPr>
          </w:p>
        </w:tc>
      </w:tr>
      <w:tr>
        <w:trPr>
          <w:trHeight w:val="60"/>
        </w:trPr>
        <w:tc>
          <w:tcPr>
            <w:tcW w:w="1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Share</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(Basic)</w:t>
            </w:r>
            <w:r>
              <w:rPr>
                <w:rFonts w:ascii="Arial" w:cs="Arial" w:eastAsia="Arial" w:hAnsi="Arial"/>
                <w:sz w:val="17"/>
                <w:szCs w:val="17"/>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Earnings Per Share</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80" w:type="dxa"/>
            <w:vAlign w:val="bottom"/>
          </w:tcPr>
          <w:p>
            <w:pPr>
              <w:ind w:left="20"/>
              <w:spacing w:after="0"/>
              <w:rPr>
                <w:sz w:val="20"/>
                <w:szCs w:val="20"/>
                <w:color w:val="auto"/>
              </w:rPr>
            </w:pPr>
            <w:r>
              <w:rPr>
                <w:rFonts w:ascii="Arial" w:cs="Arial" w:eastAsia="Arial" w:hAnsi="Arial"/>
                <w:sz w:val="14"/>
                <w:szCs w:val="14"/>
                <w:color w:val="auto"/>
              </w:rPr>
              <w:t>(Diluted)</w:t>
            </w:r>
            <w:r>
              <w:rPr>
                <w:rFonts w:ascii="Arial" w:cs="Arial" w:eastAsia="Arial" w:hAnsi="Arial"/>
                <w:sz w:val="17"/>
                <w:szCs w:val="17"/>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-12065</wp:posOffset>
            </wp:positionV>
            <wp:extent cx="5419725" cy="325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19725" cy="325755"/>
                    </a:xfrm>
                    <a:prstGeom prst="rect">
                      <a:avLst/>
                    </a:prstGeom>
                    <a:noFill/>
                  </pic:spPr>
                </pic:pic>
              </a:graphicData>
            </a:graphic>
          </wp:anchor>
        </w:drawing>
      </w:r>
    </w:p>
    <w:p>
      <w:pPr>
        <w:ind w:left="1800" w:right="1340"/>
        <w:spacing w:after="0" w:line="237"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Basic and diluted earnings per share are computed independently for each quarter presented. Therefore the sum of quarterly basic and diluted</w:t>
      </w:r>
      <w:r>
        <w:rPr>
          <w:rFonts w:ascii="Arial" w:cs="Arial" w:eastAsia="Arial" w:hAnsi="Arial"/>
          <w:sz w:val="9"/>
          <w:szCs w:val="9"/>
          <w:color w:val="auto"/>
        </w:rPr>
        <w:t xml:space="preserve"> </w:t>
      </w:r>
      <w:r>
        <w:rPr>
          <w:rFonts w:ascii="Arial" w:cs="Arial" w:eastAsia="Arial" w:hAnsi="Arial"/>
          <w:sz w:val="14"/>
          <w:szCs w:val="14"/>
          <w:color w:val="auto"/>
        </w:rPr>
        <w:t>per share information may not equal annual basis and diluted earnings per share.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118" w:right="23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2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foreign currency translation adjustments, and unrealized movement in derivative financial instruments designated as hedges.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For the Twelve Months ended December 31,</w:t>
            </w:r>
          </w:p>
        </w:tc>
      </w:tr>
      <w:tr>
        <w:trPr>
          <w:trHeight w:val="276"/>
        </w:trPr>
        <w:tc>
          <w:tcPr>
            <w:tcW w:w="48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0"/>
        </w:trPr>
        <w:tc>
          <w:tcPr>
            <w:tcW w:w="4840" w:type="dxa"/>
            <w:vAlign w:val="bottom"/>
          </w:tcPr>
          <w:p>
            <w:pPr>
              <w:ind w:left="260"/>
              <w:spacing w:after="0"/>
              <w:rPr>
                <w:sz w:val="20"/>
                <w:szCs w:val="20"/>
                <w:color w:val="auto"/>
              </w:rPr>
            </w:pPr>
            <w:r>
              <w:rPr>
                <w:rFonts w:ascii="Arial" w:cs="Arial" w:eastAsia="Arial" w:hAnsi="Arial"/>
                <w:sz w:val="16"/>
                <w:szCs w:val="16"/>
                <w:color w:val="auto"/>
              </w:rPr>
              <w:t>Balance at beginning of period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(1,674,887)</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645,030</w:t>
            </w:r>
          </w:p>
        </w:tc>
        <w:tc>
          <w:tcPr>
            <w:tcW w:w="14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(2,862,999)</w:t>
            </w:r>
          </w:p>
        </w:tc>
      </w:tr>
      <w:tr>
        <w:trPr>
          <w:trHeight w:val="273"/>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(loss) income before reclassifications</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(709,702)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(2,319,917)</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3,508,029</w:t>
            </w:r>
          </w:p>
        </w:tc>
      </w:tr>
      <w:tr>
        <w:trPr>
          <w:trHeight w:val="250"/>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current-period change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(709,702)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(2,319,917)</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3,508,029</w:t>
            </w:r>
          </w:p>
        </w:tc>
      </w:tr>
      <w:tr>
        <w:trPr>
          <w:trHeight w:val="257"/>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(2,384,589)</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(1,674,887)</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645,030</w:t>
            </w:r>
          </w:p>
        </w:tc>
      </w:tr>
      <w:tr>
        <w:trPr>
          <w:trHeight w:val="254"/>
        </w:trPr>
        <w:tc>
          <w:tcPr>
            <w:tcW w:w="4840" w:type="dxa"/>
            <w:vAlign w:val="bottom"/>
          </w:tcPr>
          <w:p>
            <w:pPr>
              <w:ind w:left="20"/>
              <w:spacing w:after="0"/>
              <w:rPr>
                <w:sz w:val="20"/>
                <w:szCs w:val="20"/>
                <w:color w:val="auto"/>
              </w:rPr>
            </w:pPr>
            <w:r>
              <w:rPr>
                <w:rFonts w:ascii="Arial" w:cs="Arial" w:eastAsia="Arial" w:hAnsi="Arial"/>
                <w:sz w:val="16"/>
                <w:szCs w:val="16"/>
                <w:color w:val="auto"/>
              </w:rPr>
              <w:t>Unrealized gains (losses) on available-for-sale securities: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Balance at beginning of period</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6,626,379</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2,788,975</w:t>
            </w:r>
          </w:p>
        </w:tc>
      </w:tr>
      <w:tr>
        <w:trPr>
          <w:trHeight w:val="260"/>
        </w:trPr>
        <w:tc>
          <w:tcPr>
            <w:tcW w:w="4840" w:type="dxa"/>
            <w:vAlign w:val="bottom"/>
          </w:tcPr>
          <w:p>
            <w:pPr>
              <w:ind w:left="260"/>
              <w:spacing w:after="0"/>
              <w:rPr>
                <w:sz w:val="20"/>
                <w:szCs w:val="20"/>
                <w:color w:val="auto"/>
              </w:rPr>
            </w:pPr>
            <w:r>
              <w:rPr>
                <w:rFonts w:ascii="Arial" w:cs="Arial" w:eastAsia="Arial" w:hAnsi="Arial"/>
                <w:sz w:val="16"/>
                <w:szCs w:val="16"/>
                <w:color w:val="auto"/>
              </w:rPr>
              <w:t>ASU 2016-01 adoption impact</w:t>
            </w:r>
          </w:p>
        </w:tc>
        <w:tc>
          <w:tcPr>
            <w:tcW w:w="22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(6,642,727)</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income before reclassifications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1,403,521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1,675,823</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4,444,360</w:t>
            </w:r>
          </w:p>
        </w:tc>
      </w:tr>
      <w:tr>
        <w:trPr>
          <w:trHeight w:val="218"/>
        </w:trPr>
        <w:tc>
          <w:tcPr>
            <w:tcW w:w="484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 comprehensive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8"/>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income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(382,584)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(1,584,926)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(606,956)</w:t>
            </w:r>
          </w:p>
        </w:tc>
      </w:tr>
      <w:tr>
        <w:trPr>
          <w:trHeight w:val="250"/>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current-period change</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1,020,937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(6,551,830)</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3,837,404</w:t>
            </w:r>
          </w:p>
        </w:tc>
      </w:tr>
      <w:tr>
        <w:trPr>
          <w:trHeight w:val="250"/>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1,095,486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74,549</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6,626,379</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gains (losses) on derivatives: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0"/>
        </w:trPr>
        <w:tc>
          <w:tcPr>
            <w:tcW w:w="4840" w:type="dxa"/>
            <w:vAlign w:val="bottom"/>
          </w:tcPr>
          <w:p>
            <w:pPr>
              <w:ind w:left="260"/>
              <w:spacing w:after="0"/>
              <w:rPr>
                <w:sz w:val="20"/>
                <w:szCs w:val="20"/>
                <w:color w:val="auto"/>
              </w:rPr>
            </w:pPr>
            <w:r>
              <w:rPr>
                <w:rFonts w:ascii="Arial" w:cs="Arial" w:eastAsia="Arial" w:hAnsi="Arial"/>
                <w:sz w:val="16"/>
                <w:szCs w:val="16"/>
                <w:color w:val="auto"/>
              </w:rPr>
              <w:t>Balance at beginning of period</w:t>
            </w:r>
          </w:p>
        </w:tc>
        <w:tc>
          <w:tcPr>
            <w:tcW w:w="22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(78,026)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(1,197,281)</w:t>
            </w:r>
          </w:p>
        </w:tc>
      </w:tr>
      <w:tr>
        <w:trPr>
          <w:trHeight w:val="280"/>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income before reclassifications</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175,308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248,042</w:t>
            </w:r>
          </w:p>
        </w:tc>
      </w:tr>
      <w:tr>
        <w:trPr>
          <w:trHeight w:val="218"/>
        </w:trPr>
        <w:tc>
          <w:tcPr>
            <w:tcW w:w="484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 comprehensive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8"/>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income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(97,282)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871,213</w:t>
            </w:r>
          </w:p>
        </w:tc>
      </w:tr>
      <w:tr>
        <w:trPr>
          <w:trHeight w:val="250"/>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current-period change</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78,026</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1,119,255</w:t>
            </w:r>
          </w:p>
        </w:tc>
      </w:tr>
      <w:tr>
        <w:trPr>
          <w:trHeight w:val="237"/>
        </w:trPr>
        <w:tc>
          <w:tcPr>
            <w:tcW w:w="4840" w:type="dxa"/>
            <w:vAlign w:val="bottom"/>
          </w:tcPr>
          <w:p>
            <w:pPr>
              <w:ind w:left="260"/>
              <w:spacing w:after="0"/>
              <w:rPr>
                <w:sz w:val="20"/>
                <w:szCs w:val="20"/>
                <w:color w:val="auto"/>
              </w:rPr>
            </w:pPr>
            <w:r>
              <w:rPr>
                <w:rFonts w:ascii="Arial" w:cs="Arial" w:eastAsia="Arial" w:hAnsi="Arial"/>
                <w:sz w:val="16"/>
                <w:szCs w:val="16"/>
                <w:color w:val="auto"/>
              </w:rPr>
              <w:t>Balance at end of period</w:t>
            </w: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(78,026)</w:t>
            </w:r>
          </w:p>
        </w:tc>
      </w:tr>
      <w:tr>
        <w:trPr>
          <w:trHeight w:val="189"/>
        </w:trPr>
        <w:tc>
          <w:tcPr>
            <w:tcW w:w="48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r>
      <w:tr>
        <w:trPr>
          <w:trHeight w:val="254"/>
        </w:trPr>
        <w:tc>
          <w:tcPr>
            <w:tcW w:w="4840" w:type="dxa"/>
            <w:vAlign w:val="bottom"/>
          </w:tcPr>
          <w:p>
            <w:pPr>
              <w:ind w:left="20"/>
              <w:spacing w:after="0"/>
              <w:rPr>
                <w:sz w:val="20"/>
                <w:szCs w:val="20"/>
                <w:color w:val="auto"/>
              </w:rPr>
            </w:pPr>
            <w:r>
              <w:rPr>
                <w:rFonts w:ascii="Arial" w:cs="Arial" w:eastAsia="Arial" w:hAnsi="Arial"/>
                <w:sz w:val="16"/>
                <w:szCs w:val="16"/>
                <w:color w:val="auto"/>
              </w:rPr>
              <w:t>Accumulated other comprehensive (loss) income, end of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(1,289,103)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(1,600,338)</w:t>
            </w:r>
          </w:p>
        </w:tc>
        <w:tc>
          <w:tcPr>
            <w:tcW w:w="14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7,193,383</w:t>
            </w: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amounts are shown net of tax. Amounts in parentheses indicate debits.</w:t>
      </w:r>
    </w:p>
    <w:p>
      <w:pPr>
        <w:spacing w:after="0" w:line="225" w:lineRule="exact"/>
        <w:rPr>
          <w:sz w:val="20"/>
          <w:szCs w:val="20"/>
          <w:color w:val="auto"/>
        </w:rPr>
      </w:pPr>
    </w:p>
    <w:p>
      <w:pPr>
        <w:ind w:left="420" w:right="20"/>
        <w:spacing w:after="0" w:line="262" w:lineRule="auto"/>
        <w:rPr>
          <w:sz w:val="20"/>
          <w:szCs w:val="20"/>
          <w:color w:val="auto"/>
        </w:rPr>
      </w:pPr>
      <w:r>
        <w:rPr>
          <w:rFonts w:ascii="Arial" w:cs="Arial" w:eastAsia="Arial" w:hAnsi="Arial"/>
          <w:sz w:val="18"/>
          <w:szCs w:val="18"/>
          <w:color w:val="auto"/>
        </w:rPr>
        <w:t>The following table presents details of reclassifications out of other comprehensive income for the twelve months ended December 31, 2019, 2018 and 2017.</w:t>
      </w:r>
    </w:p>
    <w:p>
      <w:pPr>
        <w:spacing w:after="0" w:line="130"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20" w:type="dxa"/>
            <w:vAlign w:val="bottom"/>
          </w:tcPr>
          <w:p>
            <w:pPr>
              <w:jc w:val="center"/>
              <w:ind w:left="21"/>
              <w:spacing w:after="0"/>
              <w:rPr>
                <w:sz w:val="20"/>
                <w:szCs w:val="20"/>
                <w:color w:val="auto"/>
              </w:rPr>
            </w:pPr>
            <w:r>
              <w:rPr>
                <w:rFonts w:ascii="Arial" w:cs="Arial" w:eastAsia="Arial" w:hAnsi="Arial"/>
                <w:sz w:val="14"/>
                <w:szCs w:val="14"/>
                <w:b w:val="1"/>
                <w:bCs w:val="1"/>
                <w:color w:val="auto"/>
              </w:rPr>
              <w:t>Affected Line item in the</w:t>
            </w:r>
          </w:p>
        </w:tc>
      </w:tr>
      <w:tr>
        <w:trPr>
          <w:trHeight w:val="162"/>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Details about Accumulated 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20" w:type="dxa"/>
            <w:vAlign w:val="bottom"/>
          </w:tcPr>
          <w:p>
            <w:pPr>
              <w:jc w:val="center"/>
              <w:ind w:left="21"/>
              <w:spacing w:after="0"/>
              <w:rPr>
                <w:sz w:val="20"/>
                <w:szCs w:val="20"/>
                <w:color w:val="auto"/>
              </w:rPr>
            </w:pPr>
            <w:r>
              <w:rPr>
                <w:rFonts w:ascii="Arial" w:cs="Arial" w:eastAsia="Arial" w:hAnsi="Arial"/>
                <w:sz w:val="14"/>
                <w:szCs w:val="14"/>
                <w:b w:val="1"/>
                <w:bCs w:val="1"/>
                <w:color w:val="auto"/>
              </w:rPr>
              <w:t>Statement of Consolidated</w:t>
            </w:r>
          </w:p>
        </w:tc>
      </w:tr>
      <w:tr>
        <w:trPr>
          <w:trHeight w:val="196"/>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Comprehensive Income Components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tcPr>
          <w:p>
            <w:pPr>
              <w:jc w:val="center"/>
              <w:ind w:left="21"/>
              <w:spacing w:after="0"/>
              <w:rPr>
                <w:sz w:val="20"/>
                <w:szCs w:val="20"/>
                <w:color w:val="auto"/>
              </w:rPr>
            </w:pPr>
            <w:r>
              <w:rPr>
                <w:rFonts w:ascii="Arial" w:cs="Arial" w:eastAsia="Arial" w:hAnsi="Arial"/>
                <w:sz w:val="14"/>
                <w:szCs w:val="14"/>
                <w:b w:val="1"/>
                <w:bCs w:val="1"/>
                <w:color w:val="auto"/>
              </w:rPr>
              <w:t>Income</w:t>
            </w:r>
          </w:p>
        </w:tc>
      </w:tr>
      <w:tr>
        <w:trPr>
          <w:trHeight w:val="258"/>
        </w:trPr>
        <w:tc>
          <w:tcPr>
            <w:tcW w:w="2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460" w:type="dxa"/>
            <w:vAlign w:val="bottom"/>
            <w:tcBorders>
              <w:top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For the Twelve Months ended December 31,</w:t>
            </w:r>
          </w:p>
        </w:tc>
        <w:tc>
          <w:tcPr>
            <w:tcW w:w="2220" w:type="dxa"/>
            <w:vAlign w:val="bottom"/>
            <w:tcBorders>
              <w:top w:val="single" w:sz="8" w:color="auto"/>
            </w:tcBorders>
          </w:tcPr>
          <w:p>
            <w:pPr>
              <w:spacing w:after="0"/>
              <w:rPr>
                <w:sz w:val="22"/>
                <w:szCs w:val="22"/>
                <w:color w:val="auto"/>
              </w:rPr>
            </w:pPr>
          </w:p>
        </w:tc>
      </w:tr>
      <w:tr>
        <w:trPr>
          <w:trHeight w:val="276"/>
        </w:trPr>
        <w:tc>
          <w:tcPr>
            <w:tcW w:w="2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2220" w:type="dxa"/>
            <w:vAlign w:val="bottom"/>
            <w:tcBorders>
              <w:bottom w:val="single" w:sz="8" w:color="CCEEFF"/>
            </w:tcBorders>
          </w:tcPr>
          <w:p>
            <w:pPr>
              <w:spacing w:after="0"/>
              <w:rPr>
                <w:sz w:val="24"/>
                <w:szCs w:val="24"/>
                <w:color w:val="auto"/>
              </w:rPr>
            </w:pPr>
          </w:p>
        </w:tc>
      </w:tr>
      <w:tr>
        <w:trPr>
          <w:trHeight w:val="204"/>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gains on available-for-sale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r>
        <w:trPr>
          <w:trHeight w:val="214"/>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debt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18"/>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ind w:left="140"/>
              <w:spacing w:after="0"/>
              <w:rPr>
                <w:sz w:val="20"/>
                <w:szCs w:val="20"/>
                <w:color w:val="auto"/>
              </w:rPr>
            </w:pPr>
            <w:r>
              <w:rPr>
                <w:rFonts w:ascii="Arial" w:cs="Arial" w:eastAsia="Arial" w:hAnsi="Arial"/>
                <w:sz w:val="16"/>
                <w:szCs w:val="16"/>
                <w:color w:val="auto"/>
              </w:rPr>
              <w:t>Other income (expense),</w:t>
            </w:r>
          </w:p>
        </w:tc>
      </w:tr>
      <w:tr>
        <w:trPr>
          <w:trHeight w:val="204"/>
        </w:trPr>
        <w:tc>
          <w:tcPr>
            <w:tcW w:w="2940" w:type="dxa"/>
            <w:vAlign w:val="bottom"/>
            <w:gridSpan w:val="2"/>
          </w:tcPr>
          <w:p>
            <w:pPr>
              <w:ind w:left="260"/>
              <w:spacing w:after="0"/>
              <w:rPr>
                <w:sz w:val="20"/>
                <w:szCs w:val="20"/>
                <w:color w:val="auto"/>
              </w:rPr>
            </w:pPr>
            <w:r>
              <w:rPr>
                <w:rFonts w:ascii="Arial" w:cs="Arial" w:eastAsia="Arial" w:hAnsi="Arial"/>
                <w:sz w:val="16"/>
                <w:szCs w:val="16"/>
                <w:color w:val="auto"/>
              </w:rPr>
              <w:t>Realized gain on sale of securities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484,283</w:t>
            </w:r>
          </w:p>
        </w:tc>
        <w:tc>
          <w:tcPr>
            <w:tcW w:w="14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2,006,235</w:t>
            </w:r>
          </w:p>
        </w:tc>
        <w:tc>
          <w:tcPr>
            <w:tcW w:w="12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933,778</w:t>
            </w:r>
          </w:p>
        </w:tc>
        <w:tc>
          <w:tcPr>
            <w:tcW w:w="2220" w:type="dxa"/>
            <w:vAlign w:val="bottom"/>
          </w:tcPr>
          <w:p>
            <w:pPr>
              <w:ind w:left="140"/>
              <w:spacing w:after="0"/>
              <w:rPr>
                <w:sz w:val="20"/>
                <w:szCs w:val="20"/>
                <w:color w:val="auto"/>
              </w:rPr>
            </w:pPr>
            <w:r>
              <w:rPr>
                <w:rFonts w:ascii="Arial" w:cs="Arial" w:eastAsia="Arial" w:hAnsi="Arial"/>
                <w:sz w:val="16"/>
                <w:szCs w:val="16"/>
                <w:color w:val="auto"/>
              </w:rPr>
              <w:t>net</w:t>
            </w:r>
          </w:p>
        </w:tc>
      </w:tr>
      <w:tr>
        <w:trPr>
          <w:trHeight w:val="273"/>
        </w:trPr>
        <w:tc>
          <w:tcPr>
            <w:tcW w:w="2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(101,699)</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(421,309)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(326,822)</w:t>
            </w:r>
          </w:p>
        </w:tc>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r>
      <w:tr>
        <w:trPr>
          <w:trHeight w:val="250"/>
        </w:trPr>
        <w:tc>
          <w:tcPr>
            <w:tcW w:w="2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reclassifications for the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382,584</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1,584,926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606,956</w:t>
            </w:r>
          </w:p>
        </w:tc>
        <w:tc>
          <w:tcPr>
            <w:tcW w:w="2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of tax</w:t>
            </w:r>
          </w:p>
        </w:tc>
      </w:tr>
      <w:tr>
        <w:trPr>
          <w:trHeight w:val="189"/>
        </w:trPr>
        <w:tc>
          <w:tcPr>
            <w:tcW w:w="2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r>
      <w:tr>
        <w:trPr>
          <w:trHeight w:val="218"/>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Unrealized gains (losses) 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04"/>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derivatives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28"/>
        </w:trPr>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w:t>
            </w:r>
          </w:p>
        </w:tc>
      </w:tr>
      <w:tr>
        <w:trPr>
          <w:trHeight w:val="214"/>
        </w:trPr>
        <w:tc>
          <w:tcPr>
            <w:tcW w:w="2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Realized loss on interest rate swap</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(1,340,329)</w:t>
            </w:r>
          </w:p>
        </w:tc>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w:t>
            </w:r>
          </w:p>
        </w:tc>
      </w:tr>
      <w:tr>
        <w:trPr>
          <w:trHeight w:val="264"/>
        </w:trPr>
        <w:tc>
          <w:tcPr>
            <w:tcW w:w="294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469,116</w:t>
            </w:r>
          </w:p>
        </w:tc>
        <w:tc>
          <w:tcPr>
            <w:tcW w:w="2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Income Taxes</w:t>
            </w:r>
          </w:p>
        </w:tc>
      </w:tr>
      <w:tr>
        <w:trPr>
          <w:trHeight w:val="264"/>
        </w:trPr>
        <w:tc>
          <w:tcPr>
            <w:tcW w:w="2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97,282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(871,213)</w:t>
            </w:r>
          </w:p>
        </w:tc>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189"/>
        </w:trPr>
        <w:tc>
          <w:tcPr>
            <w:tcW w:w="2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r>
      <w:tr>
        <w:trPr>
          <w:trHeight w:val="247"/>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reclassifications for the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382,584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1,682,208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(264,257)</w:t>
            </w:r>
          </w:p>
        </w:tc>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233"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118" w:right="239" w:bottom="233"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223" w:lineRule="exact"/>
        <w:rPr>
          <w:sz w:val="20"/>
          <w:szCs w:val="20"/>
          <w:color w:val="auto"/>
        </w:rPr>
      </w:pPr>
    </w:p>
    <w:p>
      <w:pPr>
        <w:jc w:val="both"/>
        <w:ind w:left="660" w:right="20"/>
        <w:spacing w:after="0" w:line="233" w:lineRule="auto"/>
        <w:rPr>
          <w:sz w:val="20"/>
          <w:szCs w:val="20"/>
          <w:color w:val="auto"/>
        </w:rPr>
      </w:pPr>
      <w:r>
        <w:rPr>
          <w:rFonts w:ascii="Arial" w:cs="Arial" w:eastAsia="Arial" w:hAnsi="Arial"/>
          <w:sz w:val="18"/>
          <w:szCs w:val="18"/>
          <w:color w:val="auto"/>
        </w:rPr>
        <w:t>The Company recorded Goodwill of $307.4 million related to the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acquisition, which occurred in September 2013. The carrying value of Goodwill as of both December 31, 2019 and December 31, 2018 was $307.4 million as set forth in the table below.</w:t>
      </w:r>
    </w:p>
    <w:p>
      <w:pPr>
        <w:spacing w:after="0" w:line="200" w:lineRule="exact"/>
        <w:rPr>
          <w:sz w:val="20"/>
          <w:szCs w:val="20"/>
          <w:color w:val="auto"/>
        </w:rPr>
      </w:pPr>
    </w:p>
    <w:p>
      <w:pPr>
        <w:spacing w:after="0" w:line="219" w:lineRule="exact"/>
        <w:rPr>
          <w:sz w:val="20"/>
          <w:szCs w:val="20"/>
          <w:color w:val="auto"/>
        </w:rPr>
      </w:pPr>
    </w:p>
    <w:tbl>
      <w:tblPr>
        <w:tblLayout w:type="fixed"/>
        <w:tblInd w:w="1800" w:type="dxa"/>
        <w:tblCellMar>
          <w:top w:w="0" w:type="dxa"/>
          <w:left w:w="0" w:type="dxa"/>
          <w:bottom w:w="0" w:type="dxa"/>
          <w:right w:w="0" w:type="dxa"/>
        </w:tblCellMar>
      </w:tblPr>
      <w:tr>
        <w:trPr>
          <w:trHeight w:val="196"/>
        </w:trPr>
        <w:tc>
          <w:tcPr>
            <w:tcW w:w="7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Carrying Amount</w:t>
            </w:r>
          </w:p>
        </w:tc>
      </w:tr>
      <w:tr>
        <w:trPr>
          <w:trHeight w:val="256"/>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r>
      <w:tr>
        <w:trPr>
          <w:trHeight w:val="250"/>
        </w:trPr>
        <w:tc>
          <w:tcPr>
            <w:tcW w:w="712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Divestitures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120" w:type="dxa"/>
            <w:vAlign w:val="bottom"/>
          </w:tcPr>
          <w:p>
            <w:pPr>
              <w:ind w:left="40"/>
              <w:spacing w:after="0"/>
              <w:rPr>
                <w:sz w:val="20"/>
                <w:szCs w:val="20"/>
                <w:color w:val="auto"/>
              </w:rPr>
            </w:pPr>
            <w:r>
              <w:rPr>
                <w:rFonts w:ascii="Arial" w:cs="Arial" w:eastAsia="Arial" w:hAnsi="Arial"/>
                <w:sz w:val="18"/>
                <w:szCs w:val="18"/>
                <w:color w:val="auto"/>
              </w:rPr>
              <w:t>Impairments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2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307,365,845</w:t>
            </w:r>
          </w:p>
        </w:tc>
      </w:tr>
      <w:tr>
        <w:trPr>
          <w:trHeight w:val="20"/>
        </w:trPr>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Company reviews goodwill for impairment during the fourth quarter on an annual basis or more frequently if events or changes in circumstances indicate that goodwill might be impaired. The Company has not recognized any impairment of goodwill in the current or prior periods. The Company continuously monitors for events and circumstances that could negatively impact the key assumptions in determining fair value thus resulting in the need for interim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that negatively impacted the key assumptions were noted in 2019.</w:t>
      </w:r>
    </w:p>
    <w:p>
      <w:pPr>
        <w:spacing w:after="0" w:line="207"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The Intangible Assets and related change in carrying values are set forth in the table below as of December 31, 2019 and December 31, 2018.</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w:t>
      </w:r>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96"/>
        </w:trPr>
        <w:tc>
          <w:tcPr>
            <w:tcW w:w="396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Gross</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Assumed Useful Life</w:t>
            </w:r>
          </w:p>
        </w:tc>
      </w:tr>
      <w:tr>
        <w:trPr>
          <w:trHeight w:val="25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Trade Names and Trademarks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52,000,000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r>
      <w:tr>
        <w:trPr>
          <w:trHeight w:val="257"/>
        </w:trPr>
        <w:tc>
          <w:tcPr>
            <w:tcW w:w="3960" w:type="dxa"/>
            <w:vAlign w:val="bottom"/>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18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(93,750,000)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8"/>
              <w:spacing w:after="0"/>
              <w:rPr>
                <w:sz w:val="20"/>
                <w:szCs w:val="20"/>
                <w:color w:val="auto"/>
              </w:rPr>
            </w:pPr>
            <w:r>
              <w:rPr>
                <w:rFonts w:ascii="Arial" w:cs="Arial" w:eastAsia="Arial" w:hAnsi="Arial"/>
                <w:sz w:val="18"/>
                <w:szCs w:val="18"/>
                <w:color w:val="auto"/>
              </w:rPr>
              <w:t>86,250,000</w:t>
            </w:r>
          </w:p>
        </w:tc>
        <w:tc>
          <w:tcPr>
            <w:tcW w:w="1500" w:type="dxa"/>
            <w:vAlign w:val="bottom"/>
          </w:tcPr>
          <w:p>
            <w:pPr>
              <w:jc w:val="center"/>
              <w:spacing w:after="0"/>
              <w:rPr>
                <w:sz w:val="20"/>
                <w:szCs w:val="20"/>
                <w:color w:val="auto"/>
              </w:rPr>
            </w:pPr>
            <w:r>
              <w:rPr>
                <w:rFonts w:ascii="Arial" w:cs="Arial" w:eastAsia="Arial" w:hAnsi="Arial"/>
                <w:sz w:val="18"/>
                <w:szCs w:val="18"/>
                <w:color w:val="auto"/>
              </w:rPr>
              <w:t>12 years</w:t>
            </w:r>
          </w:p>
        </w:tc>
      </w:tr>
      <w:tr>
        <w:trPr>
          <w:trHeight w:val="25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Customer Platforms</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(26,875,000)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16,125,000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 years</w:t>
            </w:r>
          </w:p>
        </w:tc>
      </w:tr>
      <w:tr>
        <w:trPr>
          <w:trHeight w:val="25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Exclusive Licensing Agreement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96,000,000</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96,000,000</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Indefinite</w:t>
            </w:r>
          </w:p>
        </w:tc>
      </w:tr>
      <w:tr>
        <w:trPr>
          <w:trHeight w:val="257"/>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identifiable intangible assets</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371,000,000</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(120,625,000)</w:t>
            </w:r>
          </w:p>
        </w:tc>
        <w:tc>
          <w:tcPr>
            <w:tcW w:w="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250,375,000</w:t>
            </w:r>
          </w:p>
        </w:tc>
        <w:tc>
          <w:tcPr>
            <w:tcW w:w="1500" w:type="dxa"/>
            <w:vAlign w:val="bottom"/>
            <w:shd w:val="clear" w:color="auto" w:fill="CCEEFF"/>
          </w:tcPr>
          <w:p>
            <w:pPr>
              <w:spacing w:after="0"/>
              <w:rPr>
                <w:sz w:val="22"/>
                <w:szCs w:val="22"/>
                <w:color w:val="auto"/>
              </w:rPr>
            </w:pPr>
          </w:p>
        </w:tc>
      </w:tr>
      <w:tr>
        <w:trPr>
          <w:trHeight w:val="918"/>
        </w:trPr>
        <w:tc>
          <w:tcPr>
            <w:tcW w:w="3960" w:type="dxa"/>
            <w:vAlign w:val="bottom"/>
          </w:tcPr>
          <w:p>
            <w:pPr>
              <w:spacing w:after="0"/>
              <w:rPr>
                <w:sz w:val="20"/>
                <w:szCs w:val="20"/>
                <w:color w:val="auto"/>
              </w:rPr>
            </w:pPr>
            <w:r>
              <w:rPr>
                <w:rFonts w:ascii="Arial" w:cs="Arial" w:eastAsia="Arial" w:hAnsi="Arial"/>
                <w:sz w:val="18"/>
                <w:szCs w:val="18"/>
                <w:color w:val="auto"/>
              </w:rPr>
              <w:t>As of December 31, 2018: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27"/>
        </w:trPr>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39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Other Intangible Assets</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Gross</w:t>
            </w:r>
          </w:p>
        </w:tc>
        <w:tc>
          <w:tcPr>
            <w:tcW w:w="124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Assumed Useful Life</w:t>
            </w:r>
          </w:p>
        </w:tc>
      </w:tr>
      <w:tr>
        <w:trPr>
          <w:trHeight w:val="25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Trade Names and Trademarks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  $</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rPr>
              <w:t>Indefinite</w:t>
            </w:r>
          </w:p>
        </w:tc>
      </w:tr>
      <w:tr>
        <w:trPr>
          <w:trHeight w:val="257"/>
        </w:trPr>
        <w:tc>
          <w:tcPr>
            <w:tcW w:w="3960" w:type="dxa"/>
            <w:vAlign w:val="bottom"/>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180,000,000</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(78,750,000)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101,250,000</w:t>
            </w:r>
          </w:p>
        </w:tc>
        <w:tc>
          <w:tcPr>
            <w:tcW w:w="300" w:type="dxa"/>
            <w:vAlign w:val="bottom"/>
          </w:tcPr>
          <w:p>
            <w:pPr>
              <w:spacing w:after="0"/>
              <w:rPr>
                <w:sz w:val="22"/>
                <w:szCs w:val="22"/>
                <w:color w:val="auto"/>
              </w:rPr>
            </w:pPr>
          </w:p>
        </w:tc>
        <w:tc>
          <w:tcPr>
            <w:tcW w:w="1500" w:type="dxa"/>
            <w:vAlign w:val="bottom"/>
          </w:tcPr>
          <w:p>
            <w:pPr>
              <w:jc w:val="center"/>
              <w:ind w:right="192"/>
              <w:spacing w:after="0"/>
              <w:rPr>
                <w:sz w:val="20"/>
                <w:szCs w:val="20"/>
                <w:color w:val="auto"/>
              </w:rPr>
            </w:pPr>
            <w:r>
              <w:rPr>
                <w:rFonts w:ascii="Arial" w:cs="Arial" w:eastAsia="Arial" w:hAnsi="Arial"/>
                <w:sz w:val="18"/>
                <w:szCs w:val="18"/>
                <w:color w:val="auto"/>
              </w:rPr>
              <w:t>12 years</w:t>
            </w:r>
          </w:p>
        </w:tc>
      </w:tr>
      <w:tr>
        <w:trPr>
          <w:trHeight w:val="25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Customer Platforms</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43,000,000</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(22,575,000)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20,425,000</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rPr>
              <w:t>10 years</w:t>
            </w:r>
          </w:p>
        </w:tc>
      </w:tr>
      <w:tr>
        <w:trPr>
          <w:trHeight w:val="25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Exclusive Licensing Agreement</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96,000,000</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96,000,000</w:t>
            </w:r>
          </w:p>
        </w:tc>
        <w:tc>
          <w:tcPr>
            <w:tcW w:w="30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jc w:val="center"/>
              <w:ind w:right="192"/>
              <w:spacing w:after="0"/>
              <w:rPr>
                <w:sz w:val="20"/>
                <w:szCs w:val="20"/>
                <w:color w:val="auto"/>
              </w:rPr>
            </w:pPr>
            <w:r>
              <w:rPr>
                <w:rFonts w:ascii="Arial" w:cs="Arial" w:eastAsia="Arial" w:hAnsi="Arial"/>
                <w:sz w:val="18"/>
                <w:szCs w:val="18"/>
                <w:color w:val="auto"/>
              </w:rPr>
              <w:t>Indefinite</w:t>
            </w:r>
          </w:p>
        </w:tc>
      </w:tr>
      <w:tr>
        <w:trPr>
          <w:trHeight w:val="257"/>
        </w:trPr>
        <w:tc>
          <w:tcPr>
            <w:tcW w:w="3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identifiable intangible assets</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371,000,000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(101,325,000)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269,675,000</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118" w:right="23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23"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SEGMENT REPORTING, continued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Accumulated amortization on patents and intangible assets was approximately $143.1 million and $122.3 million at December 31, 2019 and 2018, respectively. Amortization expense on patents and other intangible assets was approximately $22.4 million, $22.5 million, and $22.5 million in calendar years 2019, 2018 and 2017, respectively. At December 31, 2019, patents had a weighted average amortized life of 10 years.</w:t>
      </w:r>
    </w:p>
    <w:p>
      <w:pPr>
        <w:spacing w:after="0" w:line="204"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Excluding the impact of any future acquisitions, the Company anticipates amortization expense including patents and other intangible assets for each of the years ended December 31, 2020 and 2021 to be approximately $22 million annually, approximately $21 million for the year ended December 31, 2022, approximately $19 million for the year ended December 31, 2023, and approximately $16 million for the year ended December 31, 2024.</w:t>
      </w:r>
    </w:p>
    <w:p>
      <w:pPr>
        <w:spacing w:after="0" w:line="204" w:lineRule="exact"/>
        <w:rPr>
          <w:sz w:val="20"/>
          <w:szCs w:val="20"/>
          <w:color w:val="auto"/>
        </w:rPr>
      </w:pPr>
    </w:p>
    <w:p>
      <w:pPr>
        <w:ind w:left="1300" w:hanging="563"/>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REVENUE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shows the Company’s Automotive and Other Products revenue disaggregated by geographical location for Automotive Products for the twelve month periods ended December 31, 2019, 2018, and 2017:</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8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For the Twelve Months ended December 31,</w:t>
            </w:r>
          </w:p>
        </w:tc>
        <w:tc>
          <w:tcPr>
            <w:tcW w:w="1300" w:type="dxa"/>
            <w:vAlign w:val="bottom"/>
            <w:shd w:val="clear" w:color="auto" w:fill="CCEEFF"/>
          </w:tcPr>
          <w:p>
            <w:pPr>
              <w:spacing w:after="0"/>
              <w:rPr>
                <w:sz w:val="23"/>
                <w:szCs w:val="23"/>
                <w:color w:val="auto"/>
              </w:rPr>
            </w:pPr>
          </w:p>
        </w:tc>
      </w:tr>
      <w:tr>
        <w:trPr>
          <w:trHeight w:val="264"/>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0"/>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Automotive Products</w:t>
            </w:r>
          </w:p>
        </w:tc>
        <w:tc>
          <w:tcPr>
            <w:tcW w:w="4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3"/>
        </w:trPr>
        <w:tc>
          <w:tcPr>
            <w:tcW w:w="4900" w:type="dxa"/>
            <w:vAlign w:val="bottom"/>
          </w:tcPr>
          <w:p>
            <w:pPr>
              <w:ind w:left="180"/>
              <w:spacing w:after="0"/>
              <w:rPr>
                <w:sz w:val="20"/>
                <w:szCs w:val="20"/>
                <w:color w:val="auto"/>
              </w:rPr>
            </w:pPr>
            <w:r>
              <w:rPr>
                <w:rFonts w:ascii="Arial" w:cs="Arial" w:eastAsia="Arial" w:hAnsi="Arial"/>
                <w:sz w:val="18"/>
                <w:szCs w:val="18"/>
                <w:color w:val="auto"/>
              </w:rPr>
              <w:t>U.S.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569,939,756</w:t>
            </w:r>
          </w:p>
        </w:tc>
        <w:tc>
          <w:tcPr>
            <w:tcW w:w="34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583,672,971</w:t>
            </w:r>
          </w:p>
        </w:tc>
        <w:tc>
          <w:tcPr>
            <w:tcW w:w="340" w:type="dxa"/>
            <w:vAlign w:val="bottom"/>
          </w:tcPr>
          <w:p>
            <w:pPr>
              <w:spacing w:after="0"/>
              <w:rPr>
                <w:sz w:val="22"/>
                <w:szCs w:val="22"/>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567,492,812</w:t>
            </w:r>
          </w:p>
        </w:tc>
      </w:tr>
      <w:tr>
        <w:trPr>
          <w:trHeight w:val="277"/>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4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296,276,971</w:t>
            </w: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333,002,878</w:t>
            </w: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351,123,204</w:t>
            </w:r>
          </w:p>
        </w:tc>
      </w:tr>
      <w:tr>
        <w:trPr>
          <w:trHeight w:val="263"/>
        </w:trPr>
        <w:tc>
          <w:tcPr>
            <w:tcW w:w="4900" w:type="dxa"/>
            <w:vAlign w:val="bottom"/>
          </w:tcPr>
          <w:p>
            <w:pPr>
              <w:ind w:left="180"/>
              <w:spacing w:after="0"/>
              <w:rPr>
                <w:sz w:val="20"/>
                <w:szCs w:val="20"/>
                <w:color w:val="auto"/>
              </w:rPr>
            </w:pPr>
            <w:r>
              <w:rPr>
                <w:rFonts w:ascii="Arial" w:cs="Arial" w:eastAsia="Arial" w:hAnsi="Arial"/>
                <w:sz w:val="18"/>
                <w:szCs w:val="18"/>
                <w:color w:val="auto"/>
              </w:rPr>
              <w:t>Japan</w:t>
            </w:r>
          </w:p>
        </w:tc>
        <w:tc>
          <w:tcPr>
            <w:tcW w:w="40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225,577,146</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209,311,790</w:t>
            </w: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185,261,067</w:t>
            </w:r>
          </w:p>
        </w:tc>
      </w:tr>
      <w:tr>
        <w:trPr>
          <w:trHeight w:val="277"/>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Mexico</w:t>
            </w:r>
          </w:p>
        </w:tc>
        <w:tc>
          <w:tcPr>
            <w:tcW w:w="4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160,967,900</w:t>
            </w: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106,111,515</w:t>
            </w: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93,603,796</w:t>
            </w:r>
          </w:p>
        </w:tc>
      </w:tr>
      <w:tr>
        <w:trPr>
          <w:trHeight w:val="264"/>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557,775,114</w:t>
            </w:r>
          </w:p>
        </w:tc>
        <w:tc>
          <w:tcPr>
            <w:tcW w:w="3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559,099,142</w:t>
            </w:r>
          </w:p>
        </w:tc>
        <w:tc>
          <w:tcPr>
            <w:tcW w:w="3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560,646,589</w:t>
            </w:r>
          </w:p>
        </w:tc>
      </w:tr>
      <w:tr>
        <w:trPr>
          <w:trHeight w:val="257"/>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Automotive Products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1,810,536,887</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1,791,198,296</w:t>
            </w:r>
          </w:p>
        </w:tc>
        <w:tc>
          <w:tcPr>
            <w:tcW w:w="3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1,758,127,468</w:t>
            </w:r>
          </w:p>
        </w:tc>
      </w:tr>
      <w:tr>
        <w:trPr>
          <w:trHeight w:val="264"/>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Other Products (U.S.)</w:t>
            </w: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48,360,519</w:t>
            </w:r>
          </w:p>
        </w:tc>
        <w:tc>
          <w:tcPr>
            <w:tcW w:w="3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42,865,401</w:t>
            </w:r>
          </w:p>
        </w:tc>
        <w:tc>
          <w:tcPr>
            <w:tcW w:w="3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36,745,110</w:t>
            </w:r>
          </w:p>
        </w:tc>
      </w:tr>
      <w:tr>
        <w:trPr>
          <w:trHeight w:val="257"/>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1,858,897,406</w:t>
            </w: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1,834,063,697</w:t>
            </w:r>
          </w:p>
        </w:tc>
        <w:tc>
          <w:tcPr>
            <w:tcW w:w="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1,794,872,578</w:t>
            </w:r>
          </w:p>
        </w:tc>
      </w:tr>
      <w:tr>
        <w:trPr>
          <w:trHeight w:val="20"/>
        </w:trPr>
        <w:tc>
          <w:tcPr>
            <w:tcW w:w="4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118"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Automotive and Other revenue by major source for the twelve month periods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3773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59"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For the Twelve Months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Revenue</w:t>
            </w:r>
          </w:p>
        </w:tc>
        <w:tc>
          <w:tcPr>
            <w:tcW w:w="7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2018</w:t>
            </w: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Automotive Segment</w:t>
            </w:r>
          </w:p>
        </w:tc>
        <w:tc>
          <w:tcPr>
            <w:tcW w:w="7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Automotive Mirrors &amp; Electronics</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1,638,600,272</w:t>
            </w:r>
          </w:p>
        </w:tc>
        <w:tc>
          <w:tcPr>
            <w:tcW w:w="460" w:type="dxa"/>
            <w:vAlign w:val="bottom"/>
          </w:tcPr>
          <w:p>
            <w:pPr>
              <w:spacing w:after="0"/>
              <w:rPr>
                <w:sz w:val="22"/>
                <w:szCs w:val="22"/>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1,598,589,777</w:t>
            </w: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HomeLink Modules*</w:t>
            </w:r>
          </w:p>
        </w:tc>
        <w:tc>
          <w:tcPr>
            <w:tcW w:w="700" w:type="dxa"/>
            <w:vAlign w:val="bottom"/>
            <w:tcBorders>
              <w:bottom w:val="single" w:sz="8" w:color="auto"/>
            </w:tcBorders>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171,936,615</w:t>
            </w:r>
          </w:p>
        </w:tc>
        <w:tc>
          <w:tcPr>
            <w:tcW w:w="46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192,608,519</w:t>
            </w:r>
          </w:p>
        </w:tc>
      </w:tr>
      <w:tr>
        <w:trPr>
          <w:trHeight w:val="24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Automotive Products</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1,810,536,887</w:t>
            </w:r>
          </w:p>
        </w:tc>
        <w:tc>
          <w:tcPr>
            <w:tcW w:w="4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1,791,198,296</w:t>
            </w:r>
          </w:p>
        </w:tc>
      </w:tr>
      <w:tr>
        <w:trPr>
          <w:trHeight w:val="324"/>
        </w:trPr>
        <w:tc>
          <w:tcPr>
            <w:tcW w:w="5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Other Segment</w:t>
            </w:r>
          </w:p>
        </w:tc>
        <w:tc>
          <w:tcPr>
            <w:tcW w:w="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Fire Protection Products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23,740,261</w:t>
            </w:r>
          </w:p>
        </w:tc>
        <w:tc>
          <w:tcPr>
            <w:tcW w:w="4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22,109,784</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Windows Products</w:t>
            </w:r>
          </w:p>
        </w:tc>
        <w:tc>
          <w:tcPr>
            <w:tcW w:w="7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24,620,258</w:t>
            </w:r>
          </w:p>
        </w:tc>
        <w:tc>
          <w:tcPr>
            <w:tcW w:w="46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20,755,617</w:t>
            </w:r>
          </w:p>
        </w:tc>
      </w:tr>
      <w:tr>
        <w:trPr>
          <w:trHeight w:val="25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Other</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48,360,519</w:t>
            </w:r>
          </w:p>
        </w:tc>
        <w:tc>
          <w:tcPr>
            <w:tcW w:w="46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42,865,401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3773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3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*Excludes HomeLink revenue related to HomeLink modules integrated into automotive mirrors.</w:t>
      </w:r>
    </w:p>
    <w:p>
      <w:pPr>
        <w:spacing w:after="0" w:line="200" w:lineRule="exact"/>
        <w:rPr>
          <w:sz w:val="20"/>
          <w:szCs w:val="20"/>
          <w:color w:val="auto"/>
        </w:rPr>
      </w:pPr>
    </w:p>
    <w:p>
      <w:pPr>
        <w:spacing w:after="0" w:line="2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is recognized when obligations under the terms of a contract with the customer are satisfied. Such recognition generally occurs with the transfer of control of the products at a point in time. The Company's automotive OEM contracts generally include Long Term Supply Agreements ("LTSA") entered into in the ordinary course of business and Purchase Orders ("PO") whereby the LTSA sometimes stipulates 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generate revenue from arrangements with multiple deliverables. Revenue is measured as the amount of consideration the Company expects to receive in exchange for transferring goods excluding revenue amounts that are transferred to third parties, such as sales, value add, and other taxes the Company collects concurrently with revenue-producing activities. The Company does not incur any incremental cost to obtain contracts. Costs are incurred to fulfill contracts with the OEM. However, such costs are accounted for under ASC 340-10, and are not treated as fulfillment costs under ASC 340-40.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Automotive Products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Rearview Mirrors and Electronics</w:t>
      </w:r>
    </w:p>
    <w:p>
      <w:pPr>
        <w:spacing w:after="0" w:line="2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1"/>
          <w:szCs w:val="21"/>
          <w:color w:val="auto"/>
          <w:vertAlign w:val="superscript"/>
        </w:rPr>
        <w:t>®</w:t>
      </w:r>
      <w:r>
        <w:rPr>
          <w:rFonts w:ascii="Arial" w:cs="Arial" w:eastAsia="Arial" w:hAnsi="Arial"/>
          <w:sz w:val="18"/>
          <w:szCs w:val="18"/>
          <w:color w:val="auto"/>
        </w:rPr>
        <w:t>, lighting assist and driver assist forward safety camera systems, various lighting systems, various telematics systems,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ships exterior non-automatic-dimming rearview mirrors with similar electronic features as what is available in its automatic-dimming applications. The Company manufactures other automotive electronics products both inside and outside of the rearview mirror through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applications in the vehicle including the rearview mirror, interior visor, overhead console, or center console.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majority of automotive products, transfer of control and revenue recognition occurs when the Company ships the product from the manufacturing facility to the customer. The Company generally receives payment equal to the price that applies at the time of invoice for most automotive product sales.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Payment terms on automotive part sales to customers range from 15 days to 90 days. Estimated revenue is adjusted at the earlier of when the most likely amount of consideration expected to be received changes or when the consideration becomes fixed.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HomeLink</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Modules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manufactures and sells HomeLink® Modules individually, as well as in combination with the automotive mirrors and other advanced features, as described above. For the majority of automotive products, transfer of control and revenue recognition occurs when the Company ships the product from the manufacturing facility to the customer.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Dimmable Aircraft Windows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supplies variable dimmable windows for the passenger compartment on the Boeing 787 Dreamliner Series of Aircraft. For dimmable aircraft windows, transfer of control and revenue recognition occurs when the Company ships the product from the manufacturing facility to the customer. Payment terms on dimmable aircraft window sales range from 30 days to 45 days.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Fire Protection Products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manufactures photoelectric smoke detectors and alarms, visual signaling alarms, electrochemical 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 Payment terms on fire protection part sales to customers range from 30 days to 75 days.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60" w:type="dxa"/>
            <w:vAlign w:val="bottom"/>
            <w:gridSpan w:val="13"/>
          </w:tcPr>
          <w:p>
            <w:pPr>
              <w:spacing w:after="0"/>
              <w:rPr>
                <w:sz w:val="20"/>
                <w:szCs w:val="20"/>
                <w:color w:val="auto"/>
              </w:rPr>
            </w:pPr>
            <w:r>
              <w:rPr>
                <w:rFonts w:ascii="Arial" w:cs="Arial" w:eastAsia="Arial" w:hAnsi="Arial"/>
                <w:sz w:val="18"/>
                <w:szCs w:val="18"/>
                <w:b w:val="1"/>
                <w:bCs w:val="1"/>
                <w:color w:val="auto"/>
              </w:rPr>
              <w:t>EXHIBIT INDEX</w:t>
            </w:r>
          </w:p>
        </w:tc>
      </w:tr>
      <w:tr>
        <w:trPr>
          <w:trHeight w:val="528"/>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24"/>
                <w:szCs w:val="24"/>
                <w:color w:val="auto"/>
              </w:rPr>
            </w:pPr>
          </w:p>
        </w:tc>
        <w:tc>
          <w:tcPr>
            <w:tcW w:w="364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Borders>
              <w:top w:val="single" w:sz="8" w:color="auto"/>
            </w:tcBorders>
            <w:gridSpan w:val="3"/>
          </w:tcPr>
          <w:p>
            <w:pPr>
              <w:spacing w:after="0"/>
              <w:rPr>
                <w:sz w:val="24"/>
                <w:szCs w:val="24"/>
                <w:color w:val="auto"/>
              </w:rPr>
            </w:pPr>
          </w:p>
        </w:tc>
        <w:tc>
          <w:tcPr>
            <w:tcW w:w="5060" w:type="dxa"/>
            <w:vAlign w:val="bottom"/>
            <w:gridSpan w:val="10"/>
          </w:tcPr>
          <w:p>
            <w:pPr>
              <w:spacing w:after="0"/>
              <w:rPr>
                <w:sz w:val="24"/>
                <w:szCs w:val="24"/>
                <w:color w:val="auto"/>
              </w:rPr>
            </w:pPr>
          </w:p>
        </w:tc>
      </w:tr>
      <w:tr>
        <w:trPr>
          <w:trHeight w:val="324"/>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00" w:type="dxa"/>
            <w:vAlign w:val="bottom"/>
            <w:tcBorders>
              <w:top w:val="single" w:sz="8" w:color="auto"/>
            </w:tcBorders>
            <w:gridSpan w:val="20"/>
          </w:tcPr>
          <w:p>
            <w:pPr>
              <w:spacing w:after="0"/>
              <w:rPr>
                <w:rFonts w:ascii="Arial" w:cs="Arial" w:eastAsia="Arial" w:hAnsi="Arial"/>
                <w:sz w:val="18"/>
                <w:szCs w:val="18"/>
                <w:color w:val="0000FF"/>
              </w:rPr>
            </w:pPr>
            <w:hyperlink r:id="rId47">
              <w:r>
                <w:rPr>
                  <w:rFonts w:ascii="Arial" w:cs="Arial" w:eastAsia="Arial" w:hAnsi="Arial"/>
                  <w:sz w:val="18"/>
                  <w:szCs w:val="18"/>
                  <w:color w:val="0000FF"/>
                </w:rPr>
                <w:t>Registrant's Restated Articles of Incorporation, adopted on August 20, 2004, were filed as Exhibit 3(a) to Registrant's Report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20"/>
          </w:tcPr>
          <w:p>
            <w:pPr>
              <w:spacing w:after="0" w:line="182" w:lineRule="exact"/>
              <w:rPr>
                <w:rFonts w:ascii="Arial" w:cs="Arial" w:eastAsia="Arial" w:hAnsi="Arial"/>
                <w:sz w:val="18"/>
                <w:szCs w:val="18"/>
                <w:color w:val="0000FF"/>
              </w:rPr>
            </w:pPr>
            <w:hyperlink r:id="rId48">
              <w:r>
                <w:rPr>
                  <w:rFonts w:ascii="Arial" w:cs="Arial" w:eastAsia="Arial" w:hAnsi="Arial"/>
                  <w:sz w:val="18"/>
                  <w:szCs w:val="18"/>
                  <w:color w:val="0000FF"/>
                </w:rPr>
                <w:t>on Form 10-Q dated November 2, 2004, and an Amendment to the Registrant's Restated Articles of Incorporation, adopted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20"/>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as of May 18, 2012, was filed as Exhibit 3.1(i) to the Registrant's Form 8-K dated May 22, 2012, and the same are hereby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incorporated by reference, together with an Amendment to the Registrant's Restated Articles of Incorporation adopted as of</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May 15, 2014 which was included in the Registrant's Proxy statement which was filed with the Commission March 31, 2014</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2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and the same is hereby incorporated by reference.</w:t>
              </w:r>
            </w:hyperlink>
          </w:p>
        </w:tc>
        <w:tc>
          <w:tcPr>
            <w:tcW w:w="5980" w:type="dxa"/>
            <w:vAlign w:val="bottom"/>
            <w:gridSpan w:val="11"/>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0"/>
          </w:tcPr>
          <w:p>
            <w:pPr>
              <w:spacing w:after="0"/>
              <w:rPr>
                <w:rFonts w:ascii="Arial" w:cs="Arial" w:eastAsia="Arial" w:hAnsi="Arial"/>
                <w:sz w:val="18"/>
                <w:szCs w:val="18"/>
                <w:color w:val="0000FF"/>
              </w:rPr>
            </w:pPr>
            <w:hyperlink r:id="rId50">
              <w:r>
                <w:rPr>
                  <w:rFonts w:ascii="Arial" w:cs="Arial" w:eastAsia="Arial" w:hAnsi="Arial"/>
                  <w:sz w:val="18"/>
                  <w:szCs w:val="18"/>
                  <w:color w:val="0000FF"/>
                </w:rPr>
                <w:t>Registrant’s Bylaws as amended and restated February 27, 2003, was filed as Exhibit 3(b)(1) to Registrant’s report on Form</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20"/>
          </w:tcPr>
          <w:p>
            <w:pPr>
              <w:spacing w:after="0" w:line="182" w:lineRule="exact"/>
              <w:rPr>
                <w:rFonts w:ascii="Arial" w:cs="Arial" w:eastAsia="Arial" w:hAnsi="Arial"/>
                <w:sz w:val="18"/>
                <w:szCs w:val="18"/>
                <w:color w:val="0000FF"/>
              </w:rPr>
            </w:pPr>
            <w:hyperlink r:id="rId51">
              <w:r>
                <w:rPr>
                  <w:rFonts w:ascii="Arial" w:cs="Arial" w:eastAsia="Arial" w:hAnsi="Arial"/>
                  <w:sz w:val="18"/>
                  <w:szCs w:val="18"/>
                  <w:color w:val="0000FF"/>
                </w:rPr>
                <w:t>10-Q dated May 5, 2003, and an Amendment to Registrant’s Bylaws adopted as of February 16, 2012 was filed as Exhibit</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16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3(b)</w:t>
              </w:r>
              <w:r>
                <w:rPr>
                  <w:rFonts w:ascii="Arial" w:cs="Arial" w:eastAsia="Arial" w:hAnsi="Arial"/>
                  <w:sz w:val="18"/>
                  <w:szCs w:val="18"/>
                  <w:u w:val="single" w:color="auto"/>
                  <w:color w:val="0000FF"/>
                  <w:w w:val="99"/>
                </w:rPr>
                <w:t>(ii)</w:t>
              </w:r>
              <w:r>
                <w:rPr>
                  <w:rFonts w:ascii="Arial" w:cs="Arial" w:eastAsia="Arial" w:hAnsi="Arial"/>
                  <w:sz w:val="18"/>
                  <w:szCs w:val="18"/>
                  <w:color w:val="0000FF"/>
                  <w:w w:val="99"/>
                </w:rPr>
                <w:t xml:space="preserve"> to Registrant’s Form 8-K dated February 21, 2012 and the same is hereby incorporated herein by reference.</w:t>
              </w:r>
            </w:hyperlink>
          </w:p>
        </w:tc>
        <w:tc>
          <w:tcPr>
            <w:tcW w:w="800" w:type="dxa"/>
            <w:vAlign w:val="bottom"/>
            <w:tcBorders>
              <w:top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rPr>
            </w:pPr>
            <w:hyperlink r:id="rId47">
              <w:r>
                <w:rPr>
                  <w:rFonts w:ascii="Arial" w:cs="Arial" w:eastAsia="Arial" w:hAnsi="Arial"/>
                  <w:sz w:val="18"/>
                  <w:szCs w:val="18"/>
                  <w:color w:val="0000FF"/>
                </w:rPr>
                <w:t>A specimen form of certificate for the Registrant’s common stock, par value $.06 per share, was filed as part of a Registration</w:t>
              </w:r>
            </w:hyperlink>
          </w:p>
        </w:tc>
        <w:tc>
          <w:tcPr>
            <w:tcW w:w="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47">
              <w:r>
                <w:rPr>
                  <w:rFonts w:ascii="Arial" w:cs="Arial" w:eastAsia="Arial" w:hAnsi="Arial"/>
                  <w:sz w:val="18"/>
                  <w:szCs w:val="18"/>
                  <w:color w:val="0000FF"/>
                </w:rPr>
                <w:t>Statement (Registration Number 2-74226C) as Exhibit 3(a), as amended by Amendment No. 3 to such Registration</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20"/>
          </w:tcPr>
          <w:p>
            <w:pPr>
              <w:spacing w:after="0" w:line="182" w:lineRule="exact"/>
              <w:rPr>
                <w:rFonts w:ascii="Arial" w:cs="Arial" w:eastAsia="Arial" w:hAnsi="Arial"/>
                <w:sz w:val="18"/>
                <w:szCs w:val="18"/>
                <w:color w:val="0000FF"/>
              </w:rPr>
            </w:pPr>
            <w:hyperlink r:id="rId47">
              <w:r>
                <w:rPr>
                  <w:rFonts w:ascii="Arial" w:cs="Arial" w:eastAsia="Arial" w:hAnsi="Arial"/>
                  <w:sz w:val="18"/>
                  <w:szCs w:val="18"/>
                  <w:color w:val="0000FF"/>
                </w:rPr>
                <w:t>Statement, and the same is hereby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Description of Registrant's Securities Registered Pursuant to Section 12 of the Securities Exchange Act of 1934, as</w:t>
              </w:r>
            </w:hyperlink>
          </w:p>
        </w:tc>
        <w:tc>
          <w:tcPr>
            <w:tcW w:w="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tcPr>
          <w:p>
            <w:pPr>
              <w:spacing w:after="0" w:line="182" w:lineRule="exact"/>
              <w:rPr>
                <w:rFonts w:ascii="Arial" w:cs="Arial" w:eastAsia="Arial" w:hAnsi="Arial"/>
                <w:sz w:val="18"/>
                <w:szCs w:val="18"/>
                <w:color w:val="0000FF"/>
                <w:w w:val="97"/>
              </w:rPr>
            </w:pPr>
            <w:hyperlink w:anchor="page67">
              <w:r>
                <w:rPr>
                  <w:rFonts w:ascii="Arial" w:cs="Arial" w:eastAsia="Arial" w:hAnsi="Arial"/>
                  <w:sz w:val="18"/>
                  <w:szCs w:val="18"/>
                  <w:color w:val="0000FF"/>
                  <w:w w:val="97"/>
                </w:rPr>
                <w:t>amended.</w:t>
              </w:r>
            </w:hyperlink>
          </w:p>
        </w:tc>
        <w:tc>
          <w:tcPr>
            <w:tcW w:w="9200" w:type="dxa"/>
            <w:vAlign w:val="bottom"/>
            <w:gridSpan w:val="19"/>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rPr>
            </w:pPr>
            <w:hyperlink r:id="rId52">
              <w:r>
                <w:rPr>
                  <w:rFonts w:ascii="Arial" w:cs="Arial" w:eastAsia="Arial" w:hAnsi="Arial"/>
                  <w:sz w:val="18"/>
                  <w:szCs w:val="18"/>
                  <w:color w:val="0000FF"/>
                </w:rPr>
                <w:t>Gentex Corporation Second Restricted Stock Plan was filed as Exhibit 10(b)(2) to Registrant’s Report on Form 10-Q dated</w:t>
              </w:r>
            </w:hyperlink>
          </w:p>
        </w:tc>
        <w:tc>
          <w:tcPr>
            <w:tcW w:w="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April 27, 2001, and the same is hereby incorporated herein by reference.</w:t>
              </w:r>
            </w:hyperlink>
          </w:p>
        </w:tc>
        <w:tc>
          <w:tcPr>
            <w:tcW w:w="4220" w:type="dxa"/>
            <w:vAlign w:val="bottom"/>
            <w:gridSpan w:val="7"/>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rPr>
            </w:pPr>
            <w:hyperlink r:id="rId53">
              <w:r>
                <w:rPr>
                  <w:rFonts w:ascii="Arial" w:cs="Arial" w:eastAsia="Arial" w:hAnsi="Arial"/>
                  <w:sz w:val="18"/>
                  <w:szCs w:val="18"/>
                  <w:color w:val="0000FF"/>
                </w:rPr>
                <w:t>First Amendment to the Gentex Corporation Second Restricted Stock Plan was filed as Exhibit 10(b)(5) to the Registrant’s</w:t>
              </w:r>
            </w:hyperlink>
          </w:p>
        </w:tc>
        <w:tc>
          <w:tcPr>
            <w:tcW w:w="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Report on Form 10-Q dated August 4, 2008, and the same is hereby incorporated herein by reference.</w:t>
              </w:r>
            </w:hyperlink>
          </w:p>
        </w:tc>
        <w:tc>
          <w:tcPr>
            <w:tcW w:w="1860" w:type="dxa"/>
            <w:vAlign w:val="bottom"/>
            <w:gridSpan w:val="4"/>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0"/>
          </w:tcPr>
          <w:p>
            <w:pPr>
              <w:spacing w:after="0"/>
              <w:rPr>
                <w:rFonts w:ascii="Arial" w:cs="Arial" w:eastAsia="Arial" w:hAnsi="Arial"/>
                <w:sz w:val="18"/>
                <w:szCs w:val="18"/>
                <w:color w:val="0000FF"/>
              </w:rPr>
            </w:pPr>
            <w:hyperlink r:id="rId54">
              <w:r>
                <w:rPr>
                  <w:rFonts w:ascii="Arial" w:cs="Arial" w:eastAsia="Arial" w:hAnsi="Arial"/>
                  <w:sz w:val="18"/>
                  <w:szCs w:val="18"/>
                  <w:color w:val="0000FF"/>
                </w:rPr>
                <w:t>Gentex Corporation 2012 Amended and Restated Non-Employee Director Stock Option Plan (effective February 16, 2012</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1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54">
              <w:r>
                <w:rPr>
                  <w:rFonts w:ascii="Arial" w:cs="Arial" w:eastAsia="Arial" w:hAnsi="Arial"/>
                  <w:sz w:val="18"/>
                  <w:szCs w:val="18"/>
                  <w:color w:val="0000FF"/>
                </w:rPr>
                <w:t>and approved by the shareholders on May 17, 2012), was filed as Exhibit 10(b)(10) to Registrant's Report on Form 10-Q</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dated August 2, 2012, and the same is incorporated herein by reference.</w:t>
              </w:r>
            </w:hyperlink>
          </w:p>
        </w:tc>
        <w:tc>
          <w:tcPr>
            <w:tcW w:w="4220" w:type="dxa"/>
            <w:vAlign w:val="bottom"/>
            <w:gridSpan w:val="7"/>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0"/>
          </w:tcPr>
          <w:p>
            <w:pPr>
              <w:spacing w:after="0"/>
              <w:rPr>
                <w:rFonts w:ascii="Arial" w:cs="Arial" w:eastAsia="Arial" w:hAnsi="Arial"/>
                <w:sz w:val="18"/>
                <w:szCs w:val="18"/>
                <w:color w:val="0000FF"/>
              </w:rPr>
            </w:pPr>
            <w:hyperlink r:id="rId55">
              <w:r>
                <w:rPr>
                  <w:rFonts w:ascii="Arial" w:cs="Arial" w:eastAsia="Arial" w:hAnsi="Arial"/>
                  <w:sz w:val="18"/>
                  <w:szCs w:val="18"/>
                  <w:color w:val="0000FF"/>
                </w:rPr>
                <w:t>Specimen form of Grant Agreement for the Gentex Corporation 2012 Amended and Restated Non-Employee Director Stock</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438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Option Plan, was filed as Exhibit 10(b)(11) to Registrant's Report on Form 10-Q dated August 2, 2012, and the same is</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20"/>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rPr>
            </w:pPr>
            <w:hyperlink r:id="rId56">
              <w:r>
                <w:rPr>
                  <w:rFonts w:ascii="Arial" w:cs="Arial" w:eastAsia="Arial" w:hAnsi="Arial"/>
                  <w:sz w:val="18"/>
                  <w:szCs w:val="18"/>
                  <w:color w:val="0000FF"/>
                </w:rPr>
                <w:t>2013 Gentex Corporation Employee Stock Purchase Plan was included in Registrant's Proxy Statement filed with the</w:t>
              </w:r>
            </w:hyperlink>
          </w:p>
        </w:tc>
        <w:tc>
          <w:tcPr>
            <w:tcW w:w="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8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Commission on April 5, 2013, and is incorporated herein by reference.</w:t>
              </w:r>
            </w:hyperlink>
          </w:p>
        </w:tc>
        <w:tc>
          <w:tcPr>
            <w:tcW w:w="4420" w:type="dxa"/>
            <w:vAlign w:val="bottom"/>
            <w:gridSpan w:val="8"/>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rPr>
            </w:pPr>
            <w:hyperlink r:id="rId57">
              <w:r>
                <w:rPr>
                  <w:rFonts w:ascii="Arial" w:cs="Arial" w:eastAsia="Arial" w:hAnsi="Arial"/>
                  <w:sz w:val="18"/>
                  <w:szCs w:val="18"/>
                  <w:color w:val="0000FF"/>
                </w:rPr>
                <w:t>The form of Indemnity Agreement between Registrant and each of the Registrant’s directors and certain officers was filed as</w:t>
              </w:r>
            </w:hyperlink>
          </w:p>
        </w:tc>
        <w:tc>
          <w:tcPr>
            <w:tcW w:w="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Exhibit 10(e) to Registrant’s Report on Form 10-Q dated October 31, 2002, and the same is hereby incorporated herein by</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57">
              <w:r>
                <w:rPr>
                  <w:rFonts w:ascii="Arial" w:cs="Arial" w:eastAsia="Arial" w:hAnsi="Arial"/>
                  <w:sz w:val="18"/>
                  <w:szCs w:val="18"/>
                  <w:color w:val="0000FF"/>
                  <w:w w:val="98"/>
                </w:rPr>
                <w:t>reference.</w:t>
              </w:r>
            </w:hyperlink>
          </w:p>
        </w:tc>
        <w:tc>
          <w:tcPr>
            <w:tcW w:w="9180" w:type="dxa"/>
            <w:vAlign w:val="bottom"/>
            <w:gridSpan w:val="18"/>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rPr>
            </w:pPr>
            <w:hyperlink r:id="rId49">
              <w:r>
                <w:rPr>
                  <w:rFonts w:ascii="Arial" w:cs="Arial" w:eastAsia="Arial" w:hAnsi="Arial"/>
                  <w:sz w:val="18"/>
                  <w:szCs w:val="18"/>
                  <w:color w:val="0000FF"/>
                </w:rPr>
                <w:t>Gentex Corporation Employee Stock Option Plan (as amended and restated, effective February 20, 2014) was included in</w:t>
              </w:r>
            </w:hyperlink>
          </w:p>
        </w:tc>
        <w:tc>
          <w:tcPr>
            <w:tcW w:w="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20"/>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Registrant's Proxy Statement filed with the Commission on March 31, 2014, and the same is hereby incorporated herein by</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reference.</w:t>
              </w:r>
            </w:hyperlink>
          </w:p>
        </w:tc>
        <w:tc>
          <w:tcPr>
            <w:tcW w:w="40" w:type="dxa"/>
            <w:vAlign w:val="bottom"/>
            <w:gridSpan w:val="2"/>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6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0"/>
          </w:tcPr>
          <w:p>
            <w:pPr>
              <w:spacing w:after="0"/>
              <w:rPr>
                <w:rFonts w:ascii="Arial" w:cs="Arial" w:eastAsia="Arial" w:hAnsi="Arial"/>
                <w:sz w:val="18"/>
                <w:szCs w:val="18"/>
                <w:color w:val="0000FF"/>
              </w:rPr>
            </w:pPr>
            <w:hyperlink r:id="rId58">
              <w:r>
                <w:rPr>
                  <w:rFonts w:ascii="Arial" w:cs="Arial" w:eastAsia="Arial" w:hAnsi="Arial"/>
                  <w:sz w:val="18"/>
                  <w:szCs w:val="18"/>
                  <w:color w:val="0000FF"/>
                </w:rPr>
                <w:t>Specimen form of Grant Agreement for the Gentex Corporation Employee Stock Option Plan (as amended and restated,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4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effective February 10, 2014 was filed as exhibit 10.3 to Registrant's Report on Form 10-Q filed August 7, 2014, and the same</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20"/>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is hereby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6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0"/>
          </w:tcPr>
          <w:p>
            <w:pPr>
              <w:spacing w:after="0"/>
              <w:rPr>
                <w:rFonts w:ascii="Arial" w:cs="Arial" w:eastAsia="Arial" w:hAnsi="Arial"/>
                <w:sz w:val="18"/>
                <w:szCs w:val="18"/>
                <w:color w:val="0000FF"/>
              </w:rPr>
            </w:pPr>
            <w:hyperlink r:id="rId49">
              <w:r>
                <w:rPr>
                  <w:rFonts w:ascii="Arial" w:cs="Arial" w:eastAsia="Arial" w:hAnsi="Arial"/>
                  <w:sz w:val="18"/>
                  <w:szCs w:val="18"/>
                  <w:color w:val="0000FF"/>
                </w:rPr>
                <w:t>Amendment to the Gentex Corporation 2012 Amended and Restated Non-Employee Director Stock Option Plan (effective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4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February 16, 2012) was included in the Registrant's Proxy Statement filed with the Commission on March 31, 2014, and the</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same is hereby incorporated herein by reference.</w:t>
              </w:r>
            </w:hyperlink>
          </w:p>
        </w:tc>
        <w:tc>
          <w:tcPr>
            <w:tcW w:w="6080" w:type="dxa"/>
            <w:vAlign w:val="bottom"/>
            <w:gridSpan w:val="12"/>
          </w:tcPr>
          <w:p>
            <w:pPr>
              <w:spacing w:after="0"/>
              <w:rPr>
                <w:sz w:val="15"/>
                <w:szCs w:val="15"/>
                <w:color w:val="auto"/>
              </w:rPr>
            </w:pPr>
          </w:p>
        </w:tc>
      </w:tr>
      <w:tr>
        <w:trPr>
          <w:trHeight w:val="399"/>
        </w:trPr>
        <w:tc>
          <w:tcPr>
            <w:tcW w:w="126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0"/>
          </w:tcPr>
          <w:p>
            <w:pPr>
              <w:spacing w:after="0"/>
              <w:rPr>
                <w:rFonts w:ascii="Arial" w:cs="Arial" w:eastAsia="Arial" w:hAnsi="Arial"/>
                <w:sz w:val="18"/>
                <w:szCs w:val="18"/>
                <w:color w:val="0000FF"/>
              </w:rPr>
            </w:pPr>
            <w:hyperlink r:id="rId59">
              <w:r>
                <w:rPr>
                  <w:rFonts w:ascii="Arial" w:cs="Arial" w:eastAsia="Arial" w:hAnsi="Arial"/>
                  <w:sz w:val="18"/>
                  <w:szCs w:val="18"/>
                  <w:color w:val="0000FF"/>
                </w:rPr>
                <w:t>Specimen form of Grant Agreement for the Gentex Corporation 2012 Amended and Restated Non-Employee Director Stock</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72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Option Plan, as amended was filed as exhibit 10.5 to Registrant's Report on Form 10-Q filed August 7, 2014, and the same is</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20"/>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hereby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7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6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0"/>
          </w:tcPr>
          <w:p>
            <w:pPr>
              <w:spacing w:after="0"/>
              <w:rPr>
                <w:rFonts w:ascii="Arial" w:cs="Arial" w:eastAsia="Arial" w:hAnsi="Arial"/>
                <w:sz w:val="18"/>
                <w:szCs w:val="18"/>
                <w:color w:val="0000FF"/>
              </w:rPr>
            </w:pPr>
            <w:hyperlink r:id="rId60">
              <w:r>
                <w:rPr>
                  <w:rFonts w:ascii="Arial" w:cs="Arial" w:eastAsia="Arial" w:hAnsi="Arial"/>
                  <w:sz w:val="18"/>
                  <w:szCs w:val="18"/>
                  <w:color w:val="0000FF"/>
                </w:rPr>
                <w:t>Second amendment to the Gentex Corporation Second Restricted Stock Plan (as amended on February 8, 2008) was</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360" w:type="dxa"/>
            <w:vAlign w:val="bottom"/>
            <w:gridSpan w:val="1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included in the Registrant's proxy Statement filed with the Commission on April 2, 2015, and the same is hereby incorporated</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60">
              <w:r>
                <w:rPr>
                  <w:rFonts w:ascii="Arial" w:cs="Arial" w:eastAsia="Arial" w:hAnsi="Arial"/>
                  <w:sz w:val="18"/>
                  <w:szCs w:val="18"/>
                  <w:color w:val="0000FF"/>
                  <w:w w:val="98"/>
                </w:rPr>
                <w:t>herein by reference.</w:t>
              </w:r>
            </w:hyperlink>
          </w:p>
        </w:tc>
        <w:tc>
          <w:tcPr>
            <w:tcW w:w="8400" w:type="dxa"/>
            <w:vAlign w:val="bottom"/>
            <w:gridSpan w:val="17"/>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540" w:right="2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540" w:right="239" w:bottom="1440" w:gutter="0" w:footer="0" w:header="0"/>
          <w:type w:val="continuous"/>
        </w:sectPr>
      </w:pPr>
    </w:p>
    <w:bookmarkStart w:id="65" w:name="page66"/>
    <w:bookmarkEnd w:id="65"/>
    <w:tbl>
      <w:tblPr>
        <w:tblLayout w:type="fixed"/>
        <w:tblInd w:w="5" w:type="dxa"/>
        <w:tblCellMar>
          <w:top w:w="0" w:type="dxa"/>
          <w:left w:w="0" w:type="dxa"/>
          <w:bottom w:w="0" w:type="dxa"/>
          <w:right w:w="0" w:type="dxa"/>
        </w:tblCellMar>
      </w:tblPr>
      <w:tr>
        <w:trPr>
          <w:trHeight w:val="207"/>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95"/>
              </w:rPr>
              <w:t>*10.12</w:t>
            </w:r>
          </w:p>
        </w:tc>
        <w:tc>
          <w:tcPr>
            <w:tcW w:w="9980" w:type="dxa"/>
            <w:vAlign w:val="bottom"/>
            <w:gridSpan w:val="14"/>
          </w:tcPr>
          <w:p>
            <w:pPr>
              <w:spacing w:after="0"/>
              <w:rPr>
                <w:rFonts w:ascii="Arial" w:cs="Arial" w:eastAsia="Arial" w:hAnsi="Arial"/>
                <w:sz w:val="18"/>
                <w:szCs w:val="18"/>
                <w:color w:val="0000FF"/>
              </w:rPr>
            </w:pPr>
            <w:hyperlink r:id="rId60">
              <w:r>
                <w:rPr>
                  <w:rFonts w:ascii="Arial" w:cs="Arial" w:eastAsia="Arial" w:hAnsi="Arial"/>
                  <w:sz w:val="18"/>
                  <w:szCs w:val="18"/>
                  <w:color w:val="0000FF"/>
                </w:rPr>
                <w:t>Amendment to the Gentex Corporation 2013 Employee Stock Purchase Plan (effective February 14, 2013) was included in</w:t>
              </w:r>
            </w:hyperlink>
          </w:p>
        </w:tc>
      </w:tr>
      <w:tr>
        <w:trPr>
          <w:trHeight w:val="183"/>
        </w:trPr>
        <w:tc>
          <w:tcPr>
            <w:tcW w:w="1380" w:type="dxa"/>
            <w:vAlign w:val="bottom"/>
          </w:tcPr>
          <w:p>
            <w:pPr>
              <w:spacing w:after="0"/>
              <w:rPr>
                <w:sz w:val="15"/>
                <w:szCs w:val="15"/>
                <w:color w:val="auto"/>
              </w:rPr>
            </w:pPr>
          </w:p>
        </w:tc>
        <w:tc>
          <w:tcPr>
            <w:tcW w:w="99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the Registrant's Proxy Statement filed with the Commission on April 2, 2015, and is hereby incorporated herein by reference.</w:t>
              </w:r>
            </w:hyperlink>
          </w:p>
        </w:tc>
        <w:tc>
          <w:tcPr>
            <w:tcW w:w="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95"/>
              </w:rPr>
              <w:t>*10.13</w:t>
            </w:r>
          </w:p>
        </w:tc>
        <w:tc>
          <w:tcPr>
            <w:tcW w:w="9980" w:type="dxa"/>
            <w:vAlign w:val="bottom"/>
            <w:tcBorders>
              <w:bottom w:val="single" w:sz="8" w:color="0000FF"/>
            </w:tcBorders>
            <w:gridSpan w:val="14"/>
          </w:tcPr>
          <w:p>
            <w:pPr>
              <w:spacing w:after="0"/>
              <w:rPr>
                <w:rFonts w:ascii="Arial" w:cs="Arial" w:eastAsia="Arial" w:hAnsi="Arial"/>
                <w:sz w:val="18"/>
                <w:szCs w:val="18"/>
                <w:color w:val="0000FF"/>
              </w:rPr>
            </w:pPr>
            <w:hyperlink r:id="rId61">
              <w:r>
                <w:rPr>
                  <w:rFonts w:ascii="Arial" w:cs="Arial" w:eastAsia="Arial" w:hAnsi="Arial"/>
                  <w:sz w:val="18"/>
                  <w:szCs w:val="18"/>
                  <w:color w:val="0000FF"/>
                </w:rPr>
                <w:t>Gentex Corporation Amended and Restated Annual Incentive Performance-Based Bonus Plan (as amended on February 15,</w:t>
              </w:r>
            </w:hyperlink>
          </w:p>
        </w:tc>
      </w:tr>
      <w:tr>
        <w:trPr>
          <w:trHeight w:val="183"/>
        </w:trPr>
        <w:tc>
          <w:tcPr>
            <w:tcW w:w="1380" w:type="dxa"/>
            <w:vAlign w:val="bottom"/>
          </w:tcPr>
          <w:p>
            <w:pPr>
              <w:spacing w:after="0"/>
              <w:rPr>
                <w:sz w:val="15"/>
                <w:szCs w:val="15"/>
                <w:color w:val="auto"/>
              </w:rPr>
            </w:pPr>
          </w:p>
        </w:tc>
        <w:tc>
          <w:tcPr>
            <w:tcW w:w="9980" w:type="dxa"/>
            <w:vAlign w:val="bottom"/>
            <w:gridSpan w:val="14"/>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2018) filed as an exhibit to Registrant's Report on Form 10-K dated February 21, 2018.</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95"/>
              </w:rPr>
              <w:t>*10.14</w:t>
            </w:r>
          </w:p>
        </w:tc>
        <w:tc>
          <w:tcPr>
            <w:tcW w:w="9980" w:type="dxa"/>
            <w:vAlign w:val="bottom"/>
            <w:tcBorders>
              <w:bottom w:val="single" w:sz="8" w:color="0000FF"/>
            </w:tcBorders>
            <w:gridSpan w:val="14"/>
          </w:tcPr>
          <w:p>
            <w:pPr>
              <w:spacing w:after="0"/>
              <w:rPr>
                <w:rFonts w:ascii="Arial" w:cs="Arial" w:eastAsia="Arial" w:hAnsi="Arial"/>
                <w:sz w:val="18"/>
                <w:szCs w:val="18"/>
                <w:color w:val="0000FF"/>
              </w:rPr>
            </w:pPr>
            <w:hyperlink r:id="rId62">
              <w:r>
                <w:rPr>
                  <w:rFonts w:ascii="Arial" w:cs="Arial" w:eastAsia="Arial" w:hAnsi="Arial"/>
                  <w:sz w:val="18"/>
                  <w:szCs w:val="18"/>
                  <w:color w:val="0000FF"/>
                </w:rPr>
                <w:t>Retirement from Service Agreement between Gentex Corporation and Fred Bauer filed as exhibit to Registrant's Report on</w:t>
              </w:r>
            </w:hyperlink>
          </w:p>
        </w:tc>
      </w:tr>
      <w:tr>
        <w:trPr>
          <w:trHeight w:val="183"/>
        </w:trPr>
        <w:tc>
          <w:tcPr>
            <w:tcW w:w="1380" w:type="dxa"/>
            <w:vAlign w:val="bottom"/>
          </w:tcPr>
          <w:p>
            <w:pPr>
              <w:spacing w:after="0"/>
              <w:rPr>
                <w:sz w:val="15"/>
                <w:szCs w:val="15"/>
                <w:color w:val="auto"/>
              </w:rPr>
            </w:pPr>
          </w:p>
        </w:tc>
        <w:tc>
          <w:tcPr>
            <w:tcW w:w="292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Form 10-K dated February 21, 2018.</w:t>
              </w:r>
            </w:hyperlink>
          </w:p>
        </w:tc>
        <w:tc>
          <w:tcPr>
            <w:tcW w:w="7060" w:type="dxa"/>
            <w:vAlign w:val="bottom"/>
            <w:gridSpan w:val="10"/>
          </w:tcPr>
          <w:p>
            <w:pPr>
              <w:spacing w:after="0"/>
              <w:rPr>
                <w:sz w:val="15"/>
                <w:szCs w:val="15"/>
                <w:color w:val="auto"/>
              </w:rPr>
            </w:pPr>
          </w:p>
        </w:tc>
      </w:tr>
      <w:tr>
        <w:trPr>
          <w:trHeight w:val="358"/>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95"/>
              </w:rPr>
              <w:t>*10.15</w:t>
            </w:r>
          </w:p>
        </w:tc>
        <w:tc>
          <w:tcPr>
            <w:tcW w:w="9980" w:type="dxa"/>
            <w:vAlign w:val="bottom"/>
            <w:tcBorders>
              <w:bottom w:val="single" w:sz="8" w:color="0000FF"/>
            </w:tcBorders>
            <w:gridSpan w:val="14"/>
          </w:tcPr>
          <w:p>
            <w:pPr>
              <w:spacing w:after="0"/>
              <w:rPr>
                <w:rFonts w:ascii="Arial" w:cs="Arial" w:eastAsia="Arial" w:hAnsi="Arial"/>
                <w:sz w:val="18"/>
                <w:szCs w:val="18"/>
                <w:color w:val="0000FF"/>
              </w:rPr>
            </w:pPr>
            <w:hyperlink r:id="rId63">
              <w:r>
                <w:rPr>
                  <w:rFonts w:ascii="Arial" w:cs="Arial" w:eastAsia="Arial" w:hAnsi="Arial"/>
                  <w:sz w:val="18"/>
                  <w:szCs w:val="18"/>
                  <w:color w:val="0000FF"/>
                </w:rPr>
                <w:t>Employment Agreement between Gentex Corporation and Fred Bauer filed as exhibit to Registrant's Report on Form 10-K</w:t>
              </w:r>
            </w:hyperlink>
          </w:p>
        </w:tc>
      </w:tr>
      <w:tr>
        <w:trPr>
          <w:trHeight w:val="183"/>
        </w:trPr>
        <w:tc>
          <w:tcPr>
            <w:tcW w:w="1380" w:type="dxa"/>
            <w:vAlign w:val="bottom"/>
          </w:tcPr>
          <w:p>
            <w:pPr>
              <w:spacing w:after="0"/>
              <w:rPr>
                <w:sz w:val="15"/>
                <w:szCs w:val="15"/>
                <w:color w:val="auto"/>
              </w:rPr>
            </w:pPr>
          </w:p>
        </w:tc>
        <w:tc>
          <w:tcPr>
            <w:tcW w:w="202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63">
              <w:r>
                <w:rPr>
                  <w:rFonts w:ascii="Arial" w:cs="Arial" w:eastAsia="Arial" w:hAnsi="Arial"/>
                  <w:sz w:val="18"/>
                  <w:szCs w:val="18"/>
                  <w:color w:val="0000FF"/>
                  <w:w w:val="98"/>
                </w:rPr>
                <w:t>dated February 21, 2018.</w:t>
              </w:r>
            </w:hyperlink>
          </w:p>
        </w:tc>
        <w:tc>
          <w:tcPr>
            <w:tcW w:w="7960" w:type="dxa"/>
            <w:vAlign w:val="bottom"/>
            <w:gridSpan w:val="12"/>
          </w:tcPr>
          <w:p>
            <w:pPr>
              <w:spacing w:after="0"/>
              <w:rPr>
                <w:sz w:val="15"/>
                <w:szCs w:val="15"/>
                <w:color w:val="auto"/>
              </w:rPr>
            </w:pPr>
          </w:p>
        </w:tc>
      </w:tr>
      <w:tr>
        <w:trPr>
          <w:trHeight w:val="358"/>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95"/>
              </w:rPr>
              <w:t>*10.16</w:t>
            </w:r>
          </w:p>
        </w:tc>
        <w:tc>
          <w:tcPr>
            <w:tcW w:w="9980" w:type="dxa"/>
            <w:vAlign w:val="bottom"/>
            <w:tcBorders>
              <w:bottom w:val="single" w:sz="8" w:color="0000FF"/>
            </w:tcBorders>
            <w:gridSpan w:val="14"/>
          </w:tcPr>
          <w:p>
            <w:pPr>
              <w:spacing w:after="0"/>
              <w:rPr>
                <w:rFonts w:ascii="Arial" w:cs="Arial" w:eastAsia="Arial" w:hAnsi="Arial"/>
                <w:sz w:val="18"/>
                <w:szCs w:val="18"/>
                <w:color w:val="0000FF"/>
              </w:rPr>
            </w:pPr>
            <w:hyperlink r:id="rId64">
              <w:r>
                <w:rPr>
                  <w:rFonts w:ascii="Arial" w:cs="Arial" w:eastAsia="Arial" w:hAnsi="Arial"/>
                  <w:sz w:val="18"/>
                  <w:szCs w:val="18"/>
                  <w:color w:val="0000FF"/>
                </w:rPr>
                <w:t>Stock Redemption Agreement between Gentex Corporation and Fred Bauer filed as exhibit to Registrant's Report on Form</w:t>
              </w:r>
            </w:hyperlink>
          </w:p>
        </w:tc>
      </w:tr>
      <w:tr>
        <w:trPr>
          <w:trHeight w:val="183"/>
        </w:trPr>
        <w:tc>
          <w:tcPr>
            <w:tcW w:w="1380" w:type="dxa"/>
            <w:vAlign w:val="bottom"/>
          </w:tcPr>
          <w:p>
            <w:pPr>
              <w:spacing w:after="0"/>
              <w:rPr>
                <w:sz w:val="15"/>
                <w:szCs w:val="15"/>
                <w:color w:val="auto"/>
              </w:rPr>
            </w:pPr>
          </w:p>
        </w:tc>
        <w:tc>
          <w:tcPr>
            <w:tcW w:w="9980" w:type="dxa"/>
            <w:vAlign w:val="bottom"/>
            <w:gridSpan w:val="14"/>
          </w:tcPr>
          <w:p>
            <w:pPr>
              <w:spacing w:after="0" w:line="182" w:lineRule="exact"/>
              <w:rPr>
                <w:rFonts w:ascii="Arial" w:cs="Arial" w:eastAsia="Arial" w:hAnsi="Arial"/>
                <w:sz w:val="18"/>
                <w:szCs w:val="18"/>
                <w:color w:val="0000FF"/>
              </w:rPr>
            </w:pPr>
            <w:hyperlink r:id="rId64">
              <w:r>
                <w:rPr>
                  <w:rFonts w:ascii="Arial" w:cs="Arial" w:eastAsia="Arial" w:hAnsi="Arial"/>
                  <w:sz w:val="18"/>
                  <w:szCs w:val="18"/>
                  <w:color w:val="0000FF"/>
                </w:rPr>
                <w:t>10-K dated February 21, 2018.</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95"/>
              </w:rPr>
              <w:t>*10.17</w:t>
            </w:r>
          </w:p>
        </w:tc>
        <w:tc>
          <w:tcPr>
            <w:tcW w:w="9980" w:type="dxa"/>
            <w:vAlign w:val="bottom"/>
            <w:tcBorders>
              <w:bottom w:val="single" w:sz="8" w:color="0000FF"/>
            </w:tcBorders>
            <w:gridSpan w:val="14"/>
          </w:tcPr>
          <w:p>
            <w:pPr>
              <w:spacing w:after="0"/>
              <w:rPr>
                <w:rFonts w:ascii="Arial" w:cs="Arial" w:eastAsia="Arial" w:hAnsi="Arial"/>
                <w:sz w:val="18"/>
                <w:szCs w:val="18"/>
                <w:color w:val="0000FF"/>
              </w:rPr>
            </w:pPr>
            <w:hyperlink r:id="rId65">
              <w:r>
                <w:rPr>
                  <w:rFonts w:ascii="Arial" w:cs="Arial" w:eastAsia="Arial" w:hAnsi="Arial"/>
                  <w:sz w:val="18"/>
                  <w:szCs w:val="18"/>
                  <w:color w:val="0000FF"/>
                </w:rPr>
                <w:t>Gentex Corporation 2019 Omnibus Incentive Plan filed as exhibit to Registrant's Report on Form 10-K dated February 22,</w:t>
              </w:r>
            </w:hyperlink>
          </w:p>
        </w:tc>
      </w:tr>
      <w:tr>
        <w:trPr>
          <w:trHeight w:val="183"/>
        </w:trPr>
        <w:tc>
          <w:tcPr>
            <w:tcW w:w="1380" w:type="dxa"/>
            <w:vAlign w:val="bottom"/>
          </w:tcPr>
          <w:p>
            <w:pPr>
              <w:spacing w:after="0"/>
              <w:rPr>
                <w:sz w:val="15"/>
                <w:szCs w:val="15"/>
                <w:color w:val="auto"/>
              </w:rPr>
            </w:pPr>
          </w:p>
        </w:tc>
        <w:tc>
          <w:tcPr>
            <w:tcW w:w="40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2019</w:t>
              </w:r>
            </w:hyperlink>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2"/>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95"/>
              </w:rPr>
              <w:t>*10.18</w:t>
            </w:r>
          </w:p>
        </w:tc>
        <w:tc>
          <w:tcPr>
            <w:tcW w:w="9980" w:type="dxa"/>
            <w:vAlign w:val="bottom"/>
            <w:gridSpan w:val="14"/>
          </w:tcPr>
          <w:p>
            <w:pPr>
              <w:spacing w:after="0"/>
              <w:rPr>
                <w:rFonts w:ascii="Arial" w:cs="Arial" w:eastAsia="Arial" w:hAnsi="Arial"/>
                <w:sz w:val="18"/>
                <w:szCs w:val="18"/>
                <w:color w:val="0000FF"/>
              </w:rPr>
            </w:pPr>
            <w:hyperlink r:id="rId66">
              <w:r>
                <w:rPr>
                  <w:rFonts w:ascii="Arial" w:cs="Arial" w:eastAsia="Arial" w:hAnsi="Arial"/>
                  <w:sz w:val="18"/>
                  <w:szCs w:val="18"/>
                  <w:color w:val="0000FF"/>
                </w:rPr>
                <w:t>Gentex Corporation Long-Term Incentive Plan filed as exhibit to Registrant's Report on Form 10-K dated February 22, 2019</w:t>
              </w:r>
            </w:hyperlink>
          </w:p>
        </w:tc>
      </w:tr>
      <w:tr>
        <w:trPr>
          <w:trHeight w:val="20"/>
        </w:trPr>
        <w:tc>
          <w:tcPr>
            <w:tcW w:w="1380" w:type="dxa"/>
            <w:vAlign w:val="bottom"/>
          </w:tcPr>
          <w:p>
            <w:pPr>
              <w:spacing w:after="0" w:line="20" w:lineRule="exact"/>
              <w:rPr>
                <w:sz w:val="1"/>
                <w:szCs w:val="1"/>
                <w:color w:val="auto"/>
              </w:rPr>
            </w:pPr>
          </w:p>
        </w:tc>
        <w:tc>
          <w:tcPr>
            <w:tcW w:w="45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95"/>
              </w:rPr>
              <w:t>*10.19</w:t>
            </w:r>
          </w:p>
        </w:tc>
        <w:tc>
          <w:tcPr>
            <w:tcW w:w="9980" w:type="dxa"/>
            <w:vAlign w:val="bottom"/>
            <w:gridSpan w:val="14"/>
          </w:tcPr>
          <w:p>
            <w:pPr>
              <w:spacing w:after="0"/>
              <w:rPr>
                <w:rFonts w:ascii="Arial" w:cs="Arial" w:eastAsia="Arial" w:hAnsi="Arial"/>
                <w:sz w:val="18"/>
                <w:szCs w:val="18"/>
                <w:color w:val="0000FF"/>
                <w:w w:val="99"/>
              </w:rPr>
            </w:pPr>
            <w:hyperlink r:id="rId67">
              <w:r>
                <w:rPr>
                  <w:rFonts w:ascii="Arial" w:cs="Arial" w:eastAsia="Arial" w:hAnsi="Arial"/>
                  <w:sz w:val="18"/>
                  <w:szCs w:val="18"/>
                  <w:color w:val="0000FF"/>
                  <w:w w:val="99"/>
                </w:rPr>
                <w:t>Specimen form of Performance Share Award Agreement for the Gentex Corporation Long-Term Incentive Plan filed as exhibit</w:t>
              </w:r>
            </w:hyperlink>
          </w:p>
        </w:tc>
      </w:tr>
      <w:tr>
        <w:trPr>
          <w:trHeight w:val="183"/>
        </w:trPr>
        <w:tc>
          <w:tcPr>
            <w:tcW w:w="1380" w:type="dxa"/>
            <w:vAlign w:val="bottom"/>
          </w:tcPr>
          <w:p>
            <w:pPr>
              <w:spacing w:after="0"/>
              <w:rPr>
                <w:sz w:val="15"/>
                <w:szCs w:val="15"/>
                <w:color w:val="auto"/>
              </w:rPr>
            </w:pPr>
          </w:p>
        </w:tc>
        <w:tc>
          <w:tcPr>
            <w:tcW w:w="99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to Registrant's Report on Form 10-K filed February 22, 2019.</w:t>
              </w:r>
            </w:hyperlink>
          </w:p>
        </w:tc>
        <w:tc>
          <w:tcPr>
            <w:tcW w:w="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45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95"/>
              </w:rPr>
              <w:t>*10.20</w:t>
            </w:r>
          </w:p>
        </w:tc>
        <w:tc>
          <w:tcPr>
            <w:tcW w:w="9980" w:type="dxa"/>
            <w:vAlign w:val="bottom"/>
            <w:tcBorders>
              <w:bottom w:val="single" w:sz="8" w:color="0000FF"/>
            </w:tcBorders>
            <w:gridSpan w:val="14"/>
          </w:tcPr>
          <w:p>
            <w:pPr>
              <w:spacing w:after="0"/>
              <w:rPr>
                <w:rFonts w:ascii="Arial" w:cs="Arial" w:eastAsia="Arial" w:hAnsi="Arial"/>
                <w:sz w:val="18"/>
                <w:szCs w:val="18"/>
                <w:color w:val="0000FF"/>
                <w:w w:val="99"/>
              </w:rPr>
            </w:pPr>
            <w:hyperlink r:id="rId68">
              <w:r>
                <w:rPr>
                  <w:rFonts w:ascii="Arial" w:cs="Arial" w:eastAsia="Arial" w:hAnsi="Arial"/>
                  <w:sz w:val="18"/>
                  <w:szCs w:val="18"/>
                  <w:color w:val="0000FF"/>
                  <w:w w:val="99"/>
                </w:rPr>
                <w:t>Specimen form of Restricted Share Award Agreement for the Gentex Corporation Long-Term Incentive Plan filed as exhibit to</w:t>
              </w:r>
            </w:hyperlink>
          </w:p>
        </w:tc>
      </w:tr>
      <w:tr>
        <w:trPr>
          <w:trHeight w:val="183"/>
        </w:trPr>
        <w:tc>
          <w:tcPr>
            <w:tcW w:w="1380" w:type="dxa"/>
            <w:vAlign w:val="bottom"/>
          </w:tcPr>
          <w:p>
            <w:pPr>
              <w:spacing w:after="0"/>
              <w:rPr>
                <w:sz w:val="15"/>
                <w:szCs w:val="15"/>
                <w:color w:val="auto"/>
              </w:rPr>
            </w:pPr>
          </w:p>
        </w:tc>
        <w:tc>
          <w:tcPr>
            <w:tcW w:w="9980" w:type="dxa"/>
            <w:vAlign w:val="bottom"/>
            <w:gridSpan w:val="14"/>
          </w:tcPr>
          <w:p>
            <w:pPr>
              <w:spacing w:after="0" w:line="182" w:lineRule="exact"/>
              <w:rPr>
                <w:rFonts w:ascii="Arial" w:cs="Arial" w:eastAsia="Arial" w:hAnsi="Arial"/>
                <w:sz w:val="18"/>
                <w:szCs w:val="18"/>
                <w:color w:val="0000FF"/>
              </w:rPr>
            </w:pPr>
            <w:hyperlink r:id="rId68">
              <w:r>
                <w:rPr>
                  <w:rFonts w:ascii="Arial" w:cs="Arial" w:eastAsia="Arial" w:hAnsi="Arial"/>
                  <w:sz w:val="18"/>
                  <w:szCs w:val="18"/>
                  <w:color w:val="0000FF"/>
                </w:rPr>
                <w:t>Registrant's Report on Form 10-K filed February 22,2019</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520" w:type="dxa"/>
            <w:vAlign w:val="bottom"/>
            <w:gridSpan w:val="5"/>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95"/>
              </w:rPr>
              <w:t>*10.21</w:t>
            </w:r>
          </w:p>
        </w:tc>
        <w:tc>
          <w:tcPr>
            <w:tcW w:w="9980" w:type="dxa"/>
            <w:vAlign w:val="bottom"/>
            <w:gridSpan w:val="14"/>
          </w:tcPr>
          <w:p>
            <w:pPr>
              <w:spacing w:after="0"/>
              <w:rPr>
                <w:rFonts w:ascii="Arial" w:cs="Arial" w:eastAsia="Arial" w:hAnsi="Arial"/>
                <w:sz w:val="18"/>
                <w:szCs w:val="18"/>
                <w:color w:val="0000FF"/>
              </w:rPr>
            </w:pPr>
            <w:hyperlink r:id="rId69">
              <w:r>
                <w:rPr>
                  <w:rFonts w:ascii="Arial" w:cs="Arial" w:eastAsia="Arial" w:hAnsi="Arial"/>
                  <w:sz w:val="18"/>
                  <w:szCs w:val="18"/>
                  <w:color w:val="0000FF"/>
                </w:rPr>
                <w:t>Gentex Corporation Executive Deferred Compensation Plan dated as of May 1, 2019 was filed as an exhibit to Registrant's</w:t>
              </w:r>
            </w:hyperlink>
          </w:p>
        </w:tc>
      </w:tr>
      <w:tr>
        <w:trPr>
          <w:trHeight w:val="183"/>
        </w:trPr>
        <w:tc>
          <w:tcPr>
            <w:tcW w:w="1380" w:type="dxa"/>
            <w:vAlign w:val="bottom"/>
          </w:tcPr>
          <w:p>
            <w:pPr>
              <w:spacing w:after="0"/>
              <w:rPr>
                <w:sz w:val="15"/>
                <w:szCs w:val="15"/>
                <w:color w:val="auto"/>
              </w:rPr>
            </w:pPr>
          </w:p>
        </w:tc>
        <w:tc>
          <w:tcPr>
            <w:tcW w:w="99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Report on Form 10-Q dated May 3, 2019, and is hereby incorporated herein by reference.</w:t>
              </w:r>
            </w:hyperlink>
          </w:p>
        </w:tc>
        <w:tc>
          <w:tcPr>
            <w:tcW w:w="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7120" w:type="dxa"/>
            <w:vAlign w:val="bottom"/>
            <w:gridSpan w:val="8"/>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r>
      <w:tr>
        <w:trPr>
          <w:trHeight w:val="358"/>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95"/>
              </w:rPr>
              <w:t>*10.22</w:t>
            </w:r>
          </w:p>
        </w:tc>
        <w:tc>
          <w:tcPr>
            <w:tcW w:w="9980" w:type="dxa"/>
            <w:vAlign w:val="bottom"/>
            <w:tcBorders>
              <w:bottom w:val="single" w:sz="8" w:color="0000FF"/>
            </w:tcBorders>
            <w:gridSpan w:val="14"/>
          </w:tcPr>
          <w:p>
            <w:pPr>
              <w:spacing w:after="0"/>
              <w:rPr>
                <w:rFonts w:ascii="Arial" w:cs="Arial" w:eastAsia="Arial" w:hAnsi="Arial"/>
                <w:sz w:val="18"/>
                <w:szCs w:val="18"/>
                <w:color w:val="0000FF"/>
              </w:rPr>
            </w:pPr>
            <w:hyperlink r:id="rId70">
              <w:r>
                <w:rPr>
                  <w:rFonts w:ascii="Arial" w:cs="Arial" w:eastAsia="Arial" w:hAnsi="Arial"/>
                  <w:sz w:val="18"/>
                  <w:szCs w:val="18"/>
                  <w:color w:val="0000FF"/>
                </w:rPr>
                <w:t>Rabbi Trust Agreement between Wells Fargo Bank, N.A. and Gentex Corporation dated as of May 1, 2019 was filed as an</w:t>
              </w:r>
            </w:hyperlink>
          </w:p>
        </w:tc>
      </w:tr>
      <w:tr>
        <w:trPr>
          <w:trHeight w:val="183"/>
        </w:trPr>
        <w:tc>
          <w:tcPr>
            <w:tcW w:w="1380" w:type="dxa"/>
            <w:vAlign w:val="bottom"/>
          </w:tcPr>
          <w:p>
            <w:pPr>
              <w:spacing w:after="0"/>
              <w:rPr>
                <w:sz w:val="15"/>
                <w:szCs w:val="15"/>
                <w:color w:val="auto"/>
              </w:rPr>
            </w:pPr>
          </w:p>
        </w:tc>
        <w:tc>
          <w:tcPr>
            <w:tcW w:w="89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exhibit to Registrant's Report on Form 10-Q dated May 3, 2019, and is hereby incorporated herein by reference.</w:t>
              </w:r>
            </w:hyperlink>
          </w:p>
        </w:tc>
        <w:tc>
          <w:tcPr>
            <w:tcW w:w="1080" w:type="dxa"/>
            <w:vAlign w:val="bottom"/>
            <w:gridSpan w:val="4"/>
          </w:tcPr>
          <w:p>
            <w:pPr>
              <w:spacing w:after="0"/>
              <w:rPr>
                <w:sz w:val="15"/>
                <w:szCs w:val="15"/>
                <w:color w:val="auto"/>
              </w:rPr>
            </w:pPr>
          </w:p>
        </w:tc>
      </w:tr>
      <w:tr>
        <w:trPr>
          <w:trHeight w:val="358"/>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95"/>
              </w:rPr>
              <w:t>*10.23</w:t>
            </w:r>
          </w:p>
        </w:tc>
        <w:tc>
          <w:tcPr>
            <w:tcW w:w="9980" w:type="dxa"/>
            <w:vAlign w:val="bottom"/>
            <w:gridSpan w:val="14"/>
          </w:tcPr>
          <w:p>
            <w:pPr>
              <w:spacing w:after="0"/>
              <w:rPr>
                <w:rFonts w:ascii="Arial" w:cs="Arial" w:eastAsia="Arial" w:hAnsi="Arial"/>
                <w:sz w:val="18"/>
                <w:szCs w:val="18"/>
                <w:color w:val="0000FF"/>
              </w:rPr>
            </w:pPr>
            <w:hyperlink r:id="rId71">
              <w:r>
                <w:rPr>
                  <w:rFonts w:ascii="Arial" w:cs="Arial" w:eastAsia="Arial" w:hAnsi="Arial"/>
                  <w:sz w:val="18"/>
                  <w:szCs w:val="18"/>
                  <w:color w:val="0000FF"/>
                </w:rPr>
                <w:t>Speciman Form of Gentex Corporation Non-Employee Director Restricted Stock Agreement was filed as an exhibit to</w:t>
              </w:r>
            </w:hyperlink>
          </w:p>
        </w:tc>
      </w:tr>
      <w:tr>
        <w:trPr>
          <w:trHeight w:val="183"/>
        </w:trPr>
        <w:tc>
          <w:tcPr>
            <w:tcW w:w="1380" w:type="dxa"/>
            <w:vAlign w:val="bottom"/>
          </w:tcPr>
          <w:p>
            <w:pPr>
              <w:spacing w:after="0"/>
              <w:rPr>
                <w:sz w:val="15"/>
                <w:szCs w:val="15"/>
                <w:color w:val="auto"/>
              </w:rPr>
            </w:pPr>
          </w:p>
        </w:tc>
        <w:tc>
          <w:tcPr>
            <w:tcW w:w="86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71">
              <w:r>
                <w:rPr>
                  <w:rFonts w:ascii="Arial" w:cs="Arial" w:eastAsia="Arial" w:hAnsi="Arial"/>
                  <w:sz w:val="18"/>
                  <w:szCs w:val="18"/>
                  <w:color w:val="0000FF"/>
                  <w:w w:val="99"/>
                </w:rPr>
                <w:t>Registrant's Report on Form 10-Q dated November 1, 2019, and is hereby incorporated herein by reference.</w:t>
              </w:r>
            </w:hyperlink>
          </w:p>
        </w:tc>
        <w:tc>
          <w:tcPr>
            <w:tcW w:w="134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bl>
    <w:p>
      <w:pPr>
        <w:spacing w:after="0" w:line="202" w:lineRule="exact"/>
        <w:rPr>
          <w:sz w:val="20"/>
          <w:szCs w:val="20"/>
          <w:color w:val="auto"/>
        </w:rPr>
      </w:pPr>
    </w:p>
    <w:p>
      <w:pPr>
        <w:ind w:left="1385" w:hanging="1385"/>
        <w:spacing w:after="0"/>
        <w:tabs>
          <w:tab w:leader="none" w:pos="1385" w:val="left"/>
        </w:tabs>
        <w:numPr>
          <w:ilvl w:val="0"/>
          <w:numId w:val="38"/>
        </w:numPr>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List of Company Subsidiaries</w:t>
        </w:r>
      </w:hyperlink>
    </w:p>
    <w:p>
      <w:pPr>
        <w:spacing w:after="0" w:line="154"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380" w:type="dxa"/>
            <w:vAlign w:val="bottom"/>
          </w:tcPr>
          <w:p>
            <w:pPr>
              <w:jc w:val="right"/>
              <w:ind w:right="950"/>
              <w:spacing w:after="0"/>
              <w:rPr>
                <w:sz w:val="20"/>
                <w:szCs w:val="20"/>
                <w:color w:val="auto"/>
              </w:rPr>
            </w:pPr>
            <w:r>
              <w:rPr>
                <w:rFonts w:ascii="Arial" w:cs="Arial" w:eastAsia="Arial" w:hAnsi="Arial"/>
                <w:sz w:val="18"/>
                <w:szCs w:val="18"/>
                <w:color w:val="auto"/>
                <w:w w:val="91"/>
              </w:rPr>
              <w:t>23.1</w:t>
            </w:r>
          </w:p>
        </w:tc>
        <w:tc>
          <w:tcPr>
            <w:tcW w:w="9980" w:type="dxa"/>
            <w:vAlign w:val="bottom"/>
            <w:gridSpan w:val="4"/>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Consent of Independent Registered Public Accounting Firm</w:t>
              </w:r>
            </w:hyperlink>
          </w:p>
        </w:tc>
      </w:tr>
      <w:tr>
        <w:trPr>
          <w:trHeight w:val="20"/>
        </w:trPr>
        <w:tc>
          <w:tcPr>
            <w:tcW w:w="13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jc w:val="right"/>
              <w:ind w:right="950"/>
              <w:spacing w:after="0"/>
              <w:rPr>
                <w:sz w:val="20"/>
                <w:szCs w:val="20"/>
                <w:color w:val="auto"/>
              </w:rPr>
            </w:pPr>
            <w:r>
              <w:rPr>
                <w:rFonts w:ascii="Arial" w:cs="Arial" w:eastAsia="Arial" w:hAnsi="Arial"/>
                <w:sz w:val="18"/>
                <w:szCs w:val="18"/>
                <w:color w:val="auto"/>
                <w:w w:val="91"/>
              </w:rPr>
              <w:t>31.1</w:t>
            </w:r>
          </w:p>
        </w:tc>
        <w:tc>
          <w:tcPr>
            <w:tcW w:w="9980" w:type="dxa"/>
            <w:vAlign w:val="bottom"/>
            <w:tcBorders>
              <w:bottom w:val="single" w:sz="8" w:color="0000FF"/>
            </w:tcBorders>
            <w:gridSpan w:val="4"/>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83"/>
        </w:trPr>
        <w:tc>
          <w:tcPr>
            <w:tcW w:w="1380" w:type="dxa"/>
            <w:vAlign w:val="bottom"/>
          </w:tcPr>
          <w:p>
            <w:pPr>
              <w:spacing w:after="0"/>
              <w:rPr>
                <w:sz w:val="15"/>
                <w:szCs w:val="15"/>
                <w:color w:val="auto"/>
              </w:rPr>
            </w:pPr>
          </w:p>
        </w:tc>
        <w:tc>
          <w:tcPr>
            <w:tcW w:w="1400" w:type="dxa"/>
            <w:vAlign w:val="bottom"/>
            <w:tcBorders>
              <w:bottom w:val="single" w:sz="8" w:color="0000FF"/>
            </w:tcBorders>
          </w:tcPr>
          <w:p>
            <w:pPr>
              <w:spacing w:after="0" w:line="182" w:lineRule="exact"/>
              <w:rPr>
                <w:rFonts w:ascii="Arial" w:cs="Arial" w:eastAsia="Arial" w:hAnsi="Arial"/>
                <w:sz w:val="18"/>
                <w:szCs w:val="18"/>
                <w:color w:val="0000FF"/>
                <w:w w:val="98"/>
              </w:rPr>
            </w:pPr>
            <w:hyperlink w:anchor="page70">
              <w:r>
                <w:rPr>
                  <w:rFonts w:ascii="Arial" w:cs="Arial" w:eastAsia="Arial" w:hAnsi="Arial"/>
                  <w:sz w:val="18"/>
                  <w:szCs w:val="18"/>
                  <w:color w:val="0000FF"/>
                  <w:w w:val="98"/>
                </w:rPr>
                <w:t>(18 U.S.C. 1350).</w:t>
              </w:r>
            </w:hyperlink>
          </w:p>
        </w:tc>
        <w:tc>
          <w:tcPr>
            <w:tcW w:w="8580" w:type="dxa"/>
            <w:vAlign w:val="bottom"/>
            <w:gridSpan w:val="3"/>
          </w:tcPr>
          <w:p>
            <w:pPr>
              <w:spacing w:after="0"/>
              <w:rPr>
                <w:sz w:val="15"/>
                <w:szCs w:val="15"/>
                <w:color w:val="auto"/>
              </w:rPr>
            </w:pPr>
          </w:p>
        </w:tc>
      </w:tr>
      <w:tr>
        <w:trPr>
          <w:trHeight w:val="358"/>
        </w:trPr>
        <w:tc>
          <w:tcPr>
            <w:tcW w:w="1380" w:type="dxa"/>
            <w:vAlign w:val="bottom"/>
          </w:tcPr>
          <w:p>
            <w:pPr>
              <w:jc w:val="right"/>
              <w:ind w:right="950"/>
              <w:spacing w:after="0"/>
              <w:rPr>
                <w:sz w:val="20"/>
                <w:szCs w:val="20"/>
                <w:color w:val="auto"/>
              </w:rPr>
            </w:pPr>
            <w:r>
              <w:rPr>
                <w:rFonts w:ascii="Arial" w:cs="Arial" w:eastAsia="Arial" w:hAnsi="Arial"/>
                <w:sz w:val="18"/>
                <w:szCs w:val="18"/>
                <w:color w:val="auto"/>
                <w:w w:val="91"/>
              </w:rPr>
              <w:t>31.2</w:t>
            </w:r>
          </w:p>
        </w:tc>
        <w:tc>
          <w:tcPr>
            <w:tcW w:w="9980" w:type="dxa"/>
            <w:vAlign w:val="bottom"/>
            <w:gridSpan w:val="4"/>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Certificate of the Chief Financial Officer of Gentex Corporation pursuant to Section 302 of the Sarbanes-Oxley Act of 2002</w:t>
              </w:r>
            </w:hyperlink>
          </w:p>
        </w:tc>
      </w:tr>
      <w:tr>
        <w:trPr>
          <w:trHeight w:val="183"/>
        </w:trPr>
        <w:tc>
          <w:tcPr>
            <w:tcW w:w="1380" w:type="dxa"/>
            <w:vAlign w:val="bottom"/>
          </w:tcPr>
          <w:p>
            <w:pPr>
              <w:spacing w:after="0"/>
              <w:rPr>
                <w:sz w:val="15"/>
                <w:szCs w:val="15"/>
                <w:color w:val="auto"/>
              </w:rPr>
            </w:pPr>
          </w:p>
        </w:tc>
        <w:tc>
          <w:tcPr>
            <w:tcW w:w="14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w:anchor="page71">
              <w:r>
                <w:rPr>
                  <w:rFonts w:ascii="Arial" w:cs="Arial" w:eastAsia="Arial" w:hAnsi="Arial"/>
                  <w:sz w:val="18"/>
                  <w:szCs w:val="18"/>
                  <w:color w:val="0000FF"/>
                  <w:w w:val="98"/>
                </w:rPr>
                <w:t>(18 U.S.C. 1350).</w:t>
              </w:r>
            </w:hyperlink>
          </w:p>
        </w:tc>
        <w:tc>
          <w:tcPr>
            <w:tcW w:w="856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bl>
    <w:p>
      <w:pPr>
        <w:spacing w:after="0" w:line="188" w:lineRule="exact"/>
        <w:rPr>
          <w:sz w:val="20"/>
          <w:szCs w:val="20"/>
          <w:color w:val="auto"/>
        </w:rPr>
      </w:pPr>
    </w:p>
    <w:p>
      <w:pPr>
        <w:ind w:left="1385" w:hanging="1385"/>
        <w:spacing w:after="0" w:line="246" w:lineRule="auto"/>
        <w:tabs>
          <w:tab w:leader="none" w:pos="1385" w:val="left"/>
        </w:tabs>
        <w:numPr>
          <w:ilvl w:val="0"/>
          <w:numId w:val="39"/>
        </w:numPr>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Sarbanes-Oxley Act of 2002 (18 U.S.C. § 1350).</w:t>
        </w:r>
      </w:hyperlink>
    </w:p>
    <w:p>
      <w:pPr>
        <w:spacing w:after="0" w:line="35" w:lineRule="exact"/>
        <w:rPr>
          <w:rFonts w:ascii="Arial" w:cs="Arial" w:eastAsia="Arial" w:hAnsi="Arial"/>
          <w:sz w:val="18"/>
          <w:szCs w:val="18"/>
          <w:color w:val="auto"/>
        </w:rPr>
      </w:pPr>
    </w:p>
    <w:tbl>
      <w:tblPr>
        <w:tblLayout w:type="fixed"/>
        <w:tblInd w:w="5" w:type="dxa"/>
        <w:tblCellMar>
          <w:top w:w="0" w:type="dxa"/>
          <w:left w:w="0" w:type="dxa"/>
          <w:bottom w:w="0" w:type="dxa"/>
          <w:right w:w="0" w:type="dxa"/>
        </w:tblCellMar>
      </w:tblPr>
      <w:tr>
        <w:trPr>
          <w:trHeight w:val="217"/>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34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340" w:type="dxa"/>
            <w:vAlign w:val="bottom"/>
          </w:tcPr>
          <w:p>
            <w:pPr>
              <w:ind w:left="34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34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34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tcPr>
          <w:p>
            <w:pPr>
              <w:ind w:left="34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tcPr>
          <w:p>
            <w:pPr>
              <w:ind w:left="340"/>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229" w:lineRule="exact"/>
        <w:rPr>
          <w:rFonts w:ascii="Arial" w:cs="Arial" w:eastAsia="Arial" w:hAnsi="Arial"/>
          <w:sz w:val="18"/>
          <w:szCs w:val="18"/>
          <w:color w:val="auto"/>
        </w:rPr>
      </w:pPr>
    </w:p>
    <w:p>
      <w:pPr>
        <w:ind w:left="5"/>
        <w:spacing w:after="0"/>
        <w:rPr>
          <w:sz w:val="20"/>
          <w:szCs w:val="20"/>
          <w:color w:val="auto"/>
        </w:rPr>
      </w:pPr>
      <w:r>
        <w:rPr>
          <w:rFonts w:ascii="Arial" w:cs="Arial" w:eastAsia="Arial" w:hAnsi="Arial"/>
          <w:sz w:val="18"/>
          <w:szCs w:val="18"/>
          <w:color w:val="auto"/>
        </w:rPr>
        <w:t>*Indicates a compensatory plan or arrangement.</w:t>
      </w:r>
    </w:p>
    <w:p>
      <w:pPr>
        <w:spacing w:after="0" w:line="239" w:lineRule="exact"/>
        <w:rPr>
          <w:rFonts w:ascii="Arial" w:cs="Arial" w:eastAsia="Arial" w:hAnsi="Arial"/>
          <w:sz w:val="18"/>
          <w:szCs w:val="18"/>
          <w:color w:val="auto"/>
        </w:rPr>
      </w:pPr>
    </w:p>
    <w:p>
      <w:pPr>
        <w:jc w:val="center"/>
        <w:ind w:right="-4"/>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5"/>
          </w:cols>
          <w:pgMar w:left="275" w:top="702" w:right="2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u w:val="single" w:color="auto"/>
          <w:color w:val="auto"/>
        </w:rPr>
        <w:t>Exhibit 4.2 to Gentex Corporation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 Registered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2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December 31, 2019, Gentex Corporation had one class of securities registered under Section 12 of the Securities Exchange Act of 1934, as amended: common stock, par value $.06 per share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Common Stock</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description of Common Stock is a summary and does not purport to be complete. It is subject to and qualified in its entirety by reference to the Gentex Corporation Restated Articles of Incorporation and Amended and Restated Bylaws, each of which are incorporated by reference as an exhibit to Form 10-K of which this Exhibit 4.2 is a part.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Authorized Capital Stock</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number of shares of all classes of stock which Gentex Corporation has the authority to issue is 405,000,000 shares, consisting of 400,000,000 shares of Common Stock, par value $.06, and 5,000,000 shares of Preferred Stock, no par value. The authorized shares of Common Stock are all one class with equal voting power and each such share is equal to every other such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Rights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Holders of Common Stock are entitled to one (1) vote for each share, including with respect to election of directors. Common Stock does not have cumulative voting rights.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Rights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Holders of Common Stock are entitled to receive dividends if and when the Board of Directors, in its discretion, from time to time, declares and makes a distribution to shareholders out of assets legally available in respect of the outstanding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Liquidation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will share ratably in all assets legally available for distribution to shareholders in the event of a dissolution.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Rights and Preferences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has no redemption, preemptive, conversion, or exchange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is traded on the NASDAQ Global Select Market under the trading symbol "GNTX."</w:t>
      </w:r>
    </w:p>
    <w:p>
      <w:pPr>
        <w:sectPr>
          <w:pgSz w:w="11900" w:h="16838" w:orient="portrait"/>
          <w:cols w:equalWidth="0" w:num="1">
            <w:col w:w="11420"/>
          </w:cols>
          <w:pgMar w:left="240" w:top="549"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List of Gentex Corporation Subsidiaries</w:t>
      </w:r>
    </w:p>
    <w:p>
      <w:pPr>
        <w:spacing w:after="0" w:line="247" w:lineRule="exact"/>
        <w:rPr>
          <w:sz w:val="20"/>
          <w:szCs w:val="20"/>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 Aviation Services, Inc., a Michigan corporation, is a wholly-owned subsidiary of Gentex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Gentex Holdings, Inc., a Michigan corporation, is a wholly-owned subsidiary of Gentex Corporation.</w:t>
      </w:r>
    </w:p>
    <w:p>
      <w:pPr>
        <w:spacing w:after="0" w:line="225" w:lineRule="exact"/>
        <w:rPr>
          <w:rFonts w:ascii="Arial" w:cs="Arial" w:eastAsia="Arial" w:hAnsi="Arial"/>
          <w:sz w:val="18"/>
          <w:szCs w:val="18"/>
          <w:color w:val="auto"/>
        </w:rPr>
      </w:pPr>
    </w:p>
    <w:p>
      <w:pPr>
        <w:ind w:left="328" w:hanging="328"/>
        <w:spacing w:after="0" w:line="262"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Gentex GmbH, a German limited liability company, is a subsidiary 50% owned by Gentex Corporation and 50% owned by Gentex Holdings, Inc.</w:t>
      </w:r>
    </w:p>
    <w:p>
      <w:pPr>
        <w:spacing w:after="0" w:line="196"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Gentex Japan, Inc., a Japanese corporation, is a wholly-owned subsidiary of Gentex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Gentex Mirrors Ltd., a United Kingdom limited liability company, is a wholly-owned subsidiary of Gentex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Gentex France, SAS, a French simplified liability corporation, is a wholly-owned subsidiary of Gentex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Gentex Technologies Korea Co., Ltd., a Korean limited stock company, is a wholly-owned subsidiary of Gentex Corporation.</w:t>
      </w:r>
    </w:p>
    <w:p>
      <w:pPr>
        <w:spacing w:after="0" w:line="225" w:lineRule="exact"/>
        <w:rPr>
          <w:rFonts w:ascii="Arial" w:cs="Arial" w:eastAsia="Arial" w:hAnsi="Arial"/>
          <w:sz w:val="18"/>
          <w:szCs w:val="18"/>
          <w:color w:val="auto"/>
        </w:rPr>
      </w:pPr>
    </w:p>
    <w:p>
      <w:pPr>
        <w:ind w:left="328" w:right="20" w:hanging="328"/>
        <w:spacing w:after="0" w:line="262"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Gentex (Shanghai) Electronics Technology Co., Inc., a Chinese limited liability company, is a wholly-owned subsidiary of Gentex Corporation.</w:t>
      </w:r>
    </w:p>
    <w:p>
      <w:pPr>
        <w:sectPr>
          <w:pgSz w:w="11900" w:h="16838" w:orient="portrait"/>
          <w:cols w:equalWidth="0" w:num="1">
            <w:col w:w="11088"/>
          </w:cols>
          <w:pgMar w:left="572" w:top="549" w:right="239" w:bottom="1440" w:gutter="0" w:footer="0" w:header="0"/>
        </w:sectPr>
      </w:pPr>
    </w:p>
    <w:bookmarkStart w:id="68" w:name="page69"/>
    <w:bookmarkEnd w:id="68"/>
    <w:p>
      <w:pPr>
        <w:ind w:left="714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Statements:</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333-232414) pertaining to the 2019 Gentex Corporation Omnibus Incentive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333-216273) pertaining to the Gentex Corporation Employee Stock Option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333-198468) pertaining to the Gentex Corporation Employee Stock Option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333-188893) pertaining to the 2013 Gentex Corporation Employee Stock Purchase Plan,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333-183412) pertaining to the Gentex Corporation 2012 Amended and Restated Nonemployee Director Stock Option Plan,</w:t>
      </w: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333-118213) pertaining to the Gentex Corporation Qualified Stock Option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333-105858) pertaining to the Gentex Corporation 2003 Employee Stock Purchase Plan,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333-101642) pertaining to the Gentex Corporation 2002 Nonemployee Director Stock Option Plan,</w:t>
      </w: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333-04661) pertaining to the Gentex Corporation Qualified Stock Option Plan,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(10)Registration Statement (Form S-8 No. 333-65321) pertaining to the Gentex Corporation Qualified Stock Option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our reports dated February 26, 2020, with respect to the consolidated financial statements of Gentex Corporation and subsidiaries and the effectiveness of internal control over financial reporting of Gentex Corporation and subsidiaries included in this Annual Report (Form 10-K) for the year ended December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549"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25"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Gentex Corporation;</w:t>
      </w:r>
    </w:p>
    <w:p>
      <w:pPr>
        <w:spacing w:after="0" w:line="225" w:lineRule="exact"/>
        <w:rPr>
          <w:rFonts w:ascii="Arial" w:cs="Arial" w:eastAsia="Arial" w:hAnsi="Arial"/>
          <w:sz w:val="18"/>
          <w:szCs w:val="18"/>
          <w:color w:val="auto"/>
        </w:rPr>
      </w:pPr>
    </w:p>
    <w:p>
      <w:pPr>
        <w:jc w:val="both"/>
        <w:ind w:left="260" w:hanging="252"/>
        <w:spacing w:after="0" w:line="256" w:lineRule="auto"/>
        <w:tabs>
          <w:tab w:leader="none" w:pos="2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1" w:lineRule="exact"/>
        <w:rPr>
          <w:rFonts w:ascii="Arial" w:cs="Arial" w:eastAsia="Arial" w:hAnsi="Arial"/>
          <w:sz w:val="18"/>
          <w:szCs w:val="18"/>
          <w:color w:val="auto"/>
        </w:rPr>
      </w:pPr>
    </w:p>
    <w:p>
      <w:pPr>
        <w:jc w:val="both"/>
        <w:ind w:left="260" w:hanging="252"/>
        <w:spacing w:after="0" w:line="256" w:lineRule="auto"/>
        <w:tabs>
          <w:tab w:leader="none" w:pos="2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1" w:lineRule="exact"/>
        <w:rPr>
          <w:rFonts w:ascii="Arial" w:cs="Arial" w:eastAsia="Arial" w:hAnsi="Arial"/>
          <w:sz w:val="18"/>
          <w:szCs w:val="18"/>
          <w:color w:val="auto"/>
        </w:rPr>
      </w:pPr>
    </w:p>
    <w:p>
      <w:pPr>
        <w:jc w:val="both"/>
        <w:ind w:left="260" w:hanging="252"/>
        <w:spacing w:after="0" w:line="256" w:lineRule="auto"/>
        <w:tabs>
          <w:tab w:leader="none" w:pos="2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firstLine="401"/>
        <w:spacing w:after="0" w:line="256" w:lineRule="auto"/>
        <w:tabs>
          <w:tab w:leader="none" w:pos="1289" w:val="left"/>
        </w:tabs>
        <w:numPr>
          <w:ilvl w:val="2"/>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1" w:lineRule="exact"/>
        <w:rPr>
          <w:rFonts w:ascii="Arial" w:cs="Arial" w:eastAsia="Arial" w:hAnsi="Arial"/>
          <w:sz w:val="18"/>
          <w:szCs w:val="18"/>
          <w:color w:val="auto"/>
        </w:rPr>
      </w:pPr>
    </w:p>
    <w:p>
      <w:pPr>
        <w:jc w:val="both"/>
        <w:ind w:left="660" w:firstLine="401"/>
        <w:spacing w:after="0" w:line="256" w:lineRule="auto"/>
        <w:tabs>
          <w:tab w:leader="none" w:pos="1283" w:val="left"/>
        </w:tabs>
        <w:numPr>
          <w:ilvl w:val="2"/>
          <w:numId w:val="42"/>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firstLine="401"/>
        <w:spacing w:after="0" w:line="256" w:lineRule="auto"/>
        <w:tabs>
          <w:tab w:leader="none" w:pos="1299" w:val="left"/>
        </w:tabs>
        <w:numPr>
          <w:ilvl w:val="2"/>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1" w:lineRule="exact"/>
        <w:rPr>
          <w:rFonts w:ascii="Arial" w:cs="Arial" w:eastAsia="Arial" w:hAnsi="Arial"/>
          <w:sz w:val="18"/>
          <w:szCs w:val="18"/>
          <w:color w:val="auto"/>
        </w:rPr>
      </w:pPr>
    </w:p>
    <w:p>
      <w:pPr>
        <w:jc w:val="both"/>
        <w:ind w:left="660" w:firstLine="401"/>
        <w:spacing w:after="0" w:line="256" w:lineRule="auto"/>
        <w:tabs>
          <w:tab w:leader="none" w:pos="1292" w:val="left"/>
        </w:tabs>
        <w:numPr>
          <w:ilvl w:val="2"/>
          <w:numId w:val="42"/>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260" w:hanging="252"/>
        <w:spacing w:after="0" w:line="262" w:lineRule="auto"/>
        <w:tabs>
          <w:tab w:leader="none" w:pos="2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660" w:hanging="247"/>
        <w:spacing w:after="0" w:line="262" w:lineRule="auto"/>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247"/>
        <w:spacing w:after="0" w:line="262" w:lineRule="auto"/>
        <w:tabs>
          <w:tab w:leader="none" w:pos="62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65"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25"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Gentex Corporation;</w:t>
      </w:r>
    </w:p>
    <w:p>
      <w:pPr>
        <w:spacing w:after="0" w:line="225" w:lineRule="exact"/>
        <w:rPr>
          <w:rFonts w:ascii="Arial" w:cs="Arial" w:eastAsia="Arial" w:hAnsi="Arial"/>
          <w:sz w:val="18"/>
          <w:szCs w:val="18"/>
          <w:color w:val="auto"/>
        </w:rPr>
      </w:pPr>
    </w:p>
    <w:p>
      <w:pPr>
        <w:jc w:val="both"/>
        <w:ind w:left="260" w:hanging="252"/>
        <w:spacing w:after="0" w:line="256" w:lineRule="auto"/>
        <w:tabs>
          <w:tab w:leader="none" w:pos="2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1" w:lineRule="exact"/>
        <w:rPr>
          <w:rFonts w:ascii="Arial" w:cs="Arial" w:eastAsia="Arial" w:hAnsi="Arial"/>
          <w:sz w:val="18"/>
          <w:szCs w:val="18"/>
          <w:color w:val="auto"/>
        </w:rPr>
      </w:pPr>
    </w:p>
    <w:p>
      <w:pPr>
        <w:jc w:val="both"/>
        <w:ind w:left="260" w:hanging="252"/>
        <w:spacing w:after="0" w:line="256" w:lineRule="auto"/>
        <w:tabs>
          <w:tab w:leader="none" w:pos="217"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1" w:lineRule="exact"/>
        <w:rPr>
          <w:rFonts w:ascii="Arial" w:cs="Arial" w:eastAsia="Arial" w:hAnsi="Arial"/>
          <w:sz w:val="18"/>
          <w:szCs w:val="18"/>
          <w:color w:val="auto"/>
        </w:rPr>
      </w:pPr>
    </w:p>
    <w:p>
      <w:pPr>
        <w:jc w:val="both"/>
        <w:ind w:left="260" w:hanging="252"/>
        <w:spacing w:after="0" w:line="256" w:lineRule="auto"/>
        <w:tabs>
          <w:tab w:leader="none" w:pos="21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740" w:hanging="246"/>
        <w:spacing w:after="0" w:line="256" w:lineRule="auto"/>
        <w:tabs>
          <w:tab w:leader="none" w:pos="7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1" w:lineRule="exact"/>
        <w:rPr>
          <w:rFonts w:ascii="Arial" w:cs="Arial" w:eastAsia="Arial" w:hAnsi="Arial"/>
          <w:sz w:val="18"/>
          <w:szCs w:val="18"/>
          <w:color w:val="auto"/>
        </w:rPr>
      </w:pPr>
    </w:p>
    <w:p>
      <w:pPr>
        <w:jc w:val="both"/>
        <w:ind w:left="740" w:hanging="246"/>
        <w:spacing w:after="0" w:line="256" w:lineRule="auto"/>
        <w:tabs>
          <w:tab w:leader="none" w:pos="70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740" w:hanging="246"/>
        <w:spacing w:after="0" w:line="256" w:lineRule="auto"/>
        <w:tabs>
          <w:tab w:leader="none" w:pos="6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1" w:lineRule="exact"/>
        <w:rPr>
          <w:rFonts w:ascii="Arial" w:cs="Arial" w:eastAsia="Arial" w:hAnsi="Arial"/>
          <w:sz w:val="18"/>
          <w:szCs w:val="18"/>
          <w:color w:val="auto"/>
        </w:rPr>
      </w:pPr>
    </w:p>
    <w:p>
      <w:pPr>
        <w:jc w:val="both"/>
        <w:ind w:left="740" w:hanging="246"/>
        <w:spacing w:after="0" w:line="256" w:lineRule="auto"/>
        <w:tabs>
          <w:tab w:leader="none" w:pos="7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firstLine="8"/>
        <w:spacing w:after="0" w:line="262" w:lineRule="auto"/>
        <w:tabs>
          <w:tab w:leader="none" w:pos="2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740" w:firstLine="240"/>
        <w:spacing w:after="0" w:line="262" w:lineRule="auto"/>
        <w:tabs>
          <w:tab w:leader="none" w:pos="1193" w:val="left"/>
        </w:tabs>
        <w:numPr>
          <w:ilvl w:val="2"/>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740" w:firstLine="240"/>
        <w:spacing w:after="0" w:line="262" w:lineRule="auto"/>
        <w:tabs>
          <w:tab w:leader="none" w:pos="1193"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49"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96" w:lineRule="exact"/>
        <w:rPr>
          <w:sz w:val="20"/>
          <w:szCs w:val="20"/>
          <w:color w:val="auto"/>
        </w:rPr>
      </w:pPr>
    </w:p>
    <w:p>
      <w:pPr>
        <w:ind w:left="260" w:hanging="252"/>
        <w:spacing w:after="0" w:line="262" w:lineRule="auto"/>
        <w:tabs>
          <w:tab w:leader="none" w:pos="32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2019, which this statement accompanies, fully complies with the requirements of Section 13(a) or 15(d) of the Securities Exchange Act of 1934; and</w:t>
      </w:r>
    </w:p>
    <w:p>
      <w:pPr>
        <w:spacing w:after="0" w:line="196" w:lineRule="exact"/>
        <w:rPr>
          <w:rFonts w:ascii="Arial" w:cs="Arial" w:eastAsia="Arial" w:hAnsi="Arial"/>
          <w:sz w:val="18"/>
          <w:szCs w:val="18"/>
          <w:color w:val="auto"/>
        </w:rPr>
      </w:pPr>
    </w:p>
    <w:p>
      <w:pPr>
        <w:ind w:left="260" w:hanging="252"/>
        <w:spacing w:after="0" w:line="262" w:lineRule="auto"/>
        <w:tabs>
          <w:tab w:leader="none" w:pos="2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of the year ended December 31, 2019,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 signed original of this written statement has been provided to Gentex Corporation and will be retained by Gentex Corporation and furnished to the Securities and Exchange Commission or its staff upon request.</w:t>
      </w:r>
    </w:p>
    <w:sectPr>
      <w:pgSz w:w="11900" w:h="16838" w:orient="portrait"/>
      <w:cols w:equalWidth="0" w:num="1">
        <w:col w:w="11420"/>
      </w:cols>
      <w:pgMar w:left="240" w:top="7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2"/>
    </w:lvl>
  </w:abstractNum>
  <w:abstractNum w:abstractNumId="4">
    <w:nsid w:val="8EDBDAB"/>
    <w:multiLevelType w:val="hybridMultilevel"/>
    <w:lvl w:ilvl="0">
      <w:lvlJc w:val="left"/>
      <w:lvlText w:val="(%1)"/>
      <w:numFmt w:val="lowerLetter"/>
      <w:start w:val="4"/>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2"/>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Letter"/>
      <w:start w:val="1"/>
    </w:lvl>
    <w:lvl w:ilvl="1">
      <w:lvlJc w:val="left"/>
      <w:lvlText w:val="%2."/>
      <w:numFmt w:val="decimal"/>
      <w:start w:val="2"/>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2"/>
    </w:lvl>
  </w:abstractNum>
  <w:abstractNum w:abstractNumId="24">
    <w:nsid w:val="419AC241"/>
    <w:multiLevelType w:val="hybridMultilevel"/>
    <w:lvl w:ilvl="0">
      <w:lvlJc w:val="left"/>
      <w:lvlText w:val="(%1)"/>
      <w:numFmt w:val="decimal"/>
      <w:start w:val="4"/>
    </w:lvl>
  </w:abstractNum>
  <w:abstractNum w:abstractNumId="25">
    <w:nsid w:val="5577F8E1"/>
    <w:multiLevelType w:val="hybridMultilevel"/>
    <w:lvl w:ilvl="0">
      <w:lvlJc w:val="left"/>
      <w:lvlText w:val="(%1)"/>
      <w:numFmt w:val="decimal"/>
      <w:start w:val="5"/>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228"/>
    </w:lvl>
  </w:abstractNum>
  <w:abstractNum w:abstractNumId="28">
    <w:nsid w:val="3804823E"/>
    <w:multiLevelType w:val="hybridMultilevel"/>
    <w:lvl w:ilvl="0">
      <w:lvlJc w:val="left"/>
      <w:lvlText w:val="(%1)"/>
      <w:numFmt w:val="decimal"/>
      <w:start w:val="234"/>
    </w:lvl>
  </w:abstractNum>
  <w:abstractNum w:abstractNumId="29">
    <w:nsid w:val="77465F01"/>
    <w:multiLevelType w:val="hybridMultilevel"/>
    <w:lvl w:ilvl="0">
      <w:lvlJc w:val="left"/>
      <w:lvlText w:val="(%1)"/>
      <w:numFmt w:val="decimal"/>
      <w:start w:val="6"/>
    </w:lvl>
  </w:abstractNum>
  <w:abstractNum w:abstractNumId="30">
    <w:nsid w:val="7724C67E"/>
    <w:multiLevelType w:val="hybridMultilevel"/>
    <w:lvl w:ilvl="0">
      <w:lvlJc w:val="left"/>
      <w:lvlText w:val="(%1)"/>
      <w:numFmt w:val="decimal"/>
      <w:start w:val="7"/>
    </w:lvl>
  </w:abstractNum>
  <w:abstractNum w:abstractNumId="31">
    <w:nsid w:val="5C482A97"/>
    <w:multiLevelType w:val="hybridMultilevel"/>
    <w:lvl w:ilvl="0">
      <w:lvlJc w:val="left"/>
      <w:lvlText w:val="(%1)"/>
      <w:numFmt w:val="decimal"/>
      <w:start w:val="7"/>
    </w:lvl>
  </w:abstractNum>
  <w:abstractNum w:abstractNumId="32">
    <w:nsid w:val="2463B9EA"/>
    <w:multiLevelType w:val="hybridMultilevel"/>
    <w:lvl w:ilvl="0">
      <w:lvlJc w:val="left"/>
      <w:lvlText w:val="(%1)"/>
      <w:numFmt w:val="decimal"/>
      <w:start w:val="9"/>
    </w:lvl>
  </w:abstractNum>
  <w:abstractNum w:abstractNumId="33">
    <w:nsid w:val="5E884ADC"/>
    <w:multiLevelType w:val="hybridMultilevel"/>
    <w:lvl w:ilvl="0">
      <w:lvlJc w:val="left"/>
      <w:lvlText w:val="(%1)"/>
      <w:numFmt w:val="decimal"/>
      <w:start w:val="7"/>
    </w:lvl>
  </w:abstractNum>
  <w:abstractNum w:abstractNumId="34">
    <w:nsid w:val="51EAD36B"/>
    <w:multiLevelType w:val="hybridMultilevel"/>
    <w:lvl w:ilvl="0">
      <w:lvlJc w:val="left"/>
      <w:lvlText w:val="(%1)"/>
      <w:numFmt w:val="decimal"/>
      <w:start w:val="10"/>
    </w:lvl>
  </w:abstractNum>
  <w:abstractNum w:abstractNumId="35">
    <w:nsid w:val="2D517796"/>
    <w:multiLevelType w:val="hybridMultilevel"/>
    <w:lvl w:ilvl="0">
      <w:lvlJc w:val="left"/>
      <w:lvlText w:val="(%1)"/>
      <w:numFmt w:val="decimal"/>
      <w:start w:val="7"/>
    </w:lvl>
  </w:abstractNum>
  <w:abstractNum w:abstractNumId="36">
    <w:nsid w:val="580BD78F"/>
    <w:multiLevelType w:val="hybridMultilevel"/>
    <w:lvl w:ilvl="0">
      <w:lvlJc w:val="left"/>
      <w:lvlText w:val="(%1)"/>
      <w:numFmt w:val="decimal"/>
      <w:start w:val="11"/>
    </w:lvl>
  </w:abstractNum>
  <w:abstractNum w:abstractNumId="37">
    <w:nsid w:val="153EA438"/>
    <w:multiLevelType w:val="hybridMultilevel"/>
    <w:lvl w:ilvl="0">
      <w:lvlJc w:val="left"/>
      <w:lvlText w:val="%1"/>
      <w:numFmt w:val="decimal"/>
      <w:start w:val="21"/>
    </w:lvl>
  </w:abstractNum>
  <w:abstractNum w:abstractNumId="38">
    <w:nsid w:val="3855585C"/>
    <w:multiLevelType w:val="hybridMultilevel"/>
    <w:lvl w:ilvl="0">
      <w:lvlJc w:val="left"/>
      <w:lvlText w:val="%1"/>
      <w:numFmt w:val="decimal"/>
      <w:start w:val="32"/>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hyperlink" Target="http://www.sec.gov/Archives/edgar/data/355811/000095012404005224/k88664exv3wxay.txt" TargetMode="External"/><Relationship Id="rId48" Type="http://schemas.openxmlformats.org/officeDocument/2006/relationships/hyperlink" Target="http://www.sec.gov/Archives/edgar/data/355811/000119312512242911/d356452dex31i.htm" TargetMode="External"/><Relationship Id="rId49" Type="http://schemas.openxmlformats.org/officeDocument/2006/relationships/hyperlink" Target="http://www.sec.gov/Archives/edgar/data/355811/000119312514123458/d698646ddef14a.htm" TargetMode="External"/><Relationship Id="rId50" Type="http://schemas.openxmlformats.org/officeDocument/2006/relationships/hyperlink" Target="http://www.sec.gov/Archives/edgar/data/355811/000095012403001517/k76699exv3wxbyx1y.txt" TargetMode="External"/><Relationship Id="rId51" Type="http://schemas.openxmlformats.org/officeDocument/2006/relationships/hyperlink" Target="http://www.sec.gov/Archives/edgar/data/355811/000092604412000006/gentex8k_021612bylaws.htm" TargetMode="External"/><Relationship Id="rId52" Type="http://schemas.openxmlformats.org/officeDocument/2006/relationships/hyperlink" Target="http://www.sec.gov/Archives/edgar/data/355811/000095012401500533/k61926ex10-b2.txt" TargetMode="External"/><Relationship Id="rId53" Type="http://schemas.openxmlformats.org/officeDocument/2006/relationships/hyperlink" Target="http://www.sec.gov/Archives/edgar/data/355811/000095013408013934/k34057exv10wxbyx5y.txt" TargetMode="External"/><Relationship Id="rId54" Type="http://schemas.openxmlformats.org/officeDocument/2006/relationships/hyperlink" Target="http://www.sec.gov/Archives/edgar/data/355811/000119312512330090/d387140dex10b10.htm" TargetMode="External"/><Relationship Id="rId55" Type="http://schemas.openxmlformats.org/officeDocument/2006/relationships/hyperlink" Target="http://www.sec.gov/Archives/edgar/data/355811/000119312512330090/d387140dex10b11.htm" TargetMode="External"/><Relationship Id="rId56" Type="http://schemas.openxmlformats.org/officeDocument/2006/relationships/hyperlink" Target="http://www.sec.gov/Archives/edgar/data/355811/000119312513142439/d516828ddef14a.htm" TargetMode="External"/><Relationship Id="rId57" Type="http://schemas.openxmlformats.org/officeDocument/2006/relationships/hyperlink" Target="http://www.sec.gov/Archives/edgar/data/355811/000095012402003308/k72384exv10wxey.txt" TargetMode="External"/><Relationship Id="rId58" Type="http://schemas.openxmlformats.org/officeDocument/2006/relationships/hyperlink" Target="http://www.sec.gov/Archives/edgar/data/355811/000035581114000030/gntx06302014-exx103.htm" TargetMode="External"/><Relationship Id="rId59" Type="http://schemas.openxmlformats.org/officeDocument/2006/relationships/hyperlink" Target="http://www.sec.gov/Archives/edgar/data/355811/000035581114000030/gntx06302014-exx105.htm" TargetMode="External"/><Relationship Id="rId60" Type="http://schemas.openxmlformats.org/officeDocument/2006/relationships/hyperlink" Target="http://www.sec.gov/Archives/edgar/data/355811/000035581115000018/gentexproxystatement2015.htm" TargetMode="External"/><Relationship Id="rId61" Type="http://schemas.openxmlformats.org/officeDocument/2006/relationships/hyperlink" Target="http://www.sec.gov/Archives/edgar/data/355811/000035581118000009/gntx12312017-ex1019.htm" TargetMode="External"/><Relationship Id="rId62" Type="http://schemas.openxmlformats.org/officeDocument/2006/relationships/hyperlink" Target="http://www.sec.gov/Archives/edgar/data/355811/000035581118000009/gntx12312017-ex1020.htm" TargetMode="External"/><Relationship Id="rId63" Type="http://schemas.openxmlformats.org/officeDocument/2006/relationships/hyperlink" Target="http://www.sec.gov/Archives/edgar/data/355811/000035581118000009/gntx12312017-ex1021.htm" TargetMode="External"/><Relationship Id="rId64" Type="http://schemas.openxmlformats.org/officeDocument/2006/relationships/hyperlink" Target="http://www.sec.gov/Archives/edgar/data/355811/000035581118000009/gntx12312017-ex1022.htm" TargetMode="External"/><Relationship Id="rId65" Type="http://schemas.openxmlformats.org/officeDocument/2006/relationships/hyperlink" Target="http://www.sec.gov/Archives/edgar/data/355811/000035581119000006/gntx12312018ex1023.htm" TargetMode="External"/><Relationship Id="rId66" Type="http://schemas.openxmlformats.org/officeDocument/2006/relationships/hyperlink" Target="http://www.sec.gov/Archives/edgar/data/355811/000035581119000006/gntx12312018ex1024.htm" TargetMode="External"/><Relationship Id="rId67" Type="http://schemas.openxmlformats.org/officeDocument/2006/relationships/hyperlink" Target="http://www.sec.gov/Archives/edgar/data/355811/000035581119000006/gntx12312018ex1025.htm" TargetMode="External"/><Relationship Id="rId68" Type="http://schemas.openxmlformats.org/officeDocument/2006/relationships/hyperlink" Target="http://www.sec.gov/Archives/edgar/data/355811/000035581119000006/gntx12312018ex1026.htm" TargetMode="External"/><Relationship Id="rId69" Type="http://schemas.openxmlformats.org/officeDocument/2006/relationships/hyperlink" Target="http://www.sec.gov/Archives/edgar/data/355811/000035581119000020/gentexdeferredcomp.htm" TargetMode="External"/><Relationship Id="rId70" Type="http://schemas.openxmlformats.org/officeDocument/2006/relationships/hyperlink" Target="http://www.sec.gov/Archives/edgar/data/355811/000035581119000020/gentexrabbitrust1.htm" TargetMode="External"/><Relationship Id="rId71" Type="http://schemas.openxmlformats.org/officeDocument/2006/relationships/hyperlink" Target="http://www.sec.gov/Archives/edgar/data/355811/000035581119000041/gntx10q09302019-exx10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2020-02-26T12:48:49Z</dcterms:created>
  <dcterms:modified xsi:type="dcterms:W3CDTF">2020-02-26T12:48:49Z</dcterms:modified>
</cp:coreProperties>
</file>