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March 31, 2022 or</w:t>
      </w:r>
    </w:p>
    <w:p>
      <w:pPr>
        <w:spacing w:after="0" w:line="289"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280" w:type="dxa"/>
            <w:vAlign w:val="bottom"/>
            <w:gridSpan w:val="6"/>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80" w:type="dxa"/>
            <w:vAlign w:val="bottom"/>
            <w:gridSpan w:val="2"/>
            <w:vMerge w:val="restart"/>
          </w:tcPr>
          <w:p>
            <w:pPr>
              <w:jc w:val="center"/>
              <w:ind w:right="422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540" w:type="dxa"/>
            <w:vAlign w:val="bottom"/>
            <w:gridSpan w:val="3"/>
          </w:tcPr>
          <w:p>
            <w:pPr>
              <w:jc w:val="center"/>
              <w:ind w:right="366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55"/>
        </w:trPr>
        <w:tc>
          <w:tcPr>
            <w:tcW w:w="4280" w:type="dxa"/>
            <w:vAlign w:val="bottom"/>
            <w:gridSpan w:val="6"/>
          </w:tcPr>
          <w:p>
            <w:pPr>
              <w:jc w:val="center"/>
              <w:ind w:left="1224"/>
              <w:spacing w:after="0"/>
              <w:rPr>
                <w:sz w:val="20"/>
                <w:szCs w:val="20"/>
                <w:color w:val="auto"/>
              </w:rPr>
            </w:pPr>
            <w:r>
              <w:rPr>
                <w:rFonts w:ascii="Arial" w:cs="Arial" w:eastAsia="Arial" w:hAnsi="Arial"/>
                <w:sz w:val="18"/>
                <w:szCs w:val="18"/>
                <w:b w:val="1"/>
                <w:bCs w:val="1"/>
                <w:color w:val="auto"/>
                <w:w w:val="99"/>
              </w:rPr>
              <w:t>Michigan</w:t>
            </w:r>
          </w:p>
        </w:tc>
        <w:tc>
          <w:tcPr>
            <w:tcW w:w="2200" w:type="dxa"/>
            <w:vAlign w:val="bottom"/>
          </w:tcPr>
          <w:p>
            <w:pPr>
              <w:spacing w:after="0"/>
              <w:rPr>
                <w:sz w:val="22"/>
                <w:szCs w:val="22"/>
                <w:color w:val="auto"/>
              </w:rPr>
            </w:pPr>
          </w:p>
        </w:tc>
        <w:tc>
          <w:tcPr>
            <w:tcW w:w="4780" w:type="dxa"/>
            <w:vAlign w:val="bottom"/>
          </w:tcPr>
          <w:p>
            <w:pPr>
              <w:jc w:val="right"/>
              <w:ind w:right="226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48"/>
        </w:trPr>
        <w:tc>
          <w:tcPr>
            <w:tcW w:w="4280" w:type="dxa"/>
            <w:vAlign w:val="bottom"/>
            <w:gridSpan w:val="6"/>
          </w:tcPr>
          <w:p>
            <w:pPr>
              <w:jc w:val="center"/>
              <w:ind w:left="1244"/>
              <w:spacing w:after="0" w:line="149" w:lineRule="exact"/>
              <w:rPr>
                <w:sz w:val="20"/>
                <w:szCs w:val="20"/>
                <w:color w:val="auto"/>
              </w:rPr>
            </w:pPr>
            <w:r>
              <w:rPr>
                <w:rFonts w:ascii="Arial" w:cs="Arial" w:eastAsia="Arial" w:hAnsi="Arial"/>
                <w:sz w:val="14"/>
                <w:szCs w:val="14"/>
                <w:color w:val="auto"/>
              </w:rPr>
              <w:t>(State or other jurisdiction of</w:t>
            </w:r>
          </w:p>
        </w:tc>
        <w:tc>
          <w:tcPr>
            <w:tcW w:w="2200" w:type="dxa"/>
            <w:vAlign w:val="bottom"/>
          </w:tcPr>
          <w:p>
            <w:pPr>
              <w:spacing w:after="0"/>
              <w:rPr>
                <w:sz w:val="12"/>
                <w:szCs w:val="12"/>
                <w:color w:val="auto"/>
              </w:rPr>
            </w:pPr>
          </w:p>
        </w:tc>
        <w:tc>
          <w:tcPr>
            <w:tcW w:w="4780" w:type="dxa"/>
            <w:vAlign w:val="bottom"/>
          </w:tcPr>
          <w:p>
            <w:pPr>
              <w:jc w:val="center"/>
              <w:ind w:right="783"/>
              <w:spacing w:after="0" w:line="149"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44"/>
              <w:spacing w:after="0"/>
              <w:rPr>
                <w:sz w:val="20"/>
                <w:szCs w:val="20"/>
                <w:color w:val="auto"/>
              </w:rPr>
            </w:pPr>
            <w:r>
              <w:rPr>
                <w:rFonts w:ascii="Arial" w:cs="Arial" w:eastAsia="Arial" w:hAnsi="Arial"/>
                <w:sz w:val="14"/>
                <w:szCs w:val="14"/>
                <w:color w:val="auto"/>
              </w:rPr>
              <w:t>incorporation or organization)</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64"/>
        </w:trPr>
        <w:tc>
          <w:tcPr>
            <w:tcW w:w="4280" w:type="dxa"/>
            <w:vAlign w:val="bottom"/>
            <w:gridSpan w:val="6"/>
          </w:tcPr>
          <w:p>
            <w:pPr>
              <w:jc w:val="center"/>
              <w:ind w:left="1244"/>
              <w:spacing w:after="0"/>
              <w:rPr>
                <w:sz w:val="20"/>
                <w:szCs w:val="20"/>
                <w:color w:val="auto"/>
              </w:rPr>
            </w:pPr>
            <w:r>
              <w:rPr>
                <w:rFonts w:ascii="Arial" w:cs="Arial" w:eastAsia="Arial" w:hAnsi="Arial"/>
                <w:sz w:val="16"/>
                <w:szCs w:val="16"/>
                <w:b w:val="1"/>
                <w:bCs w:val="1"/>
                <w:color w:val="auto"/>
              </w:rPr>
              <w:t>600 N. Centennial</w:t>
            </w:r>
          </w:p>
        </w:tc>
        <w:tc>
          <w:tcPr>
            <w:tcW w:w="22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4"/>
          </w:tcPr>
          <w:p>
            <w:pPr>
              <w:jc w:val="center"/>
              <w:ind w:right="1088"/>
              <w:spacing w:after="0"/>
              <w:rPr>
                <w:sz w:val="20"/>
                <w:szCs w:val="20"/>
                <w:color w:val="auto"/>
              </w:rPr>
            </w:pPr>
            <w:r>
              <w:rPr>
                <w:rFonts w:ascii="Arial" w:cs="Arial" w:eastAsia="Arial" w:hAnsi="Arial"/>
                <w:sz w:val="16"/>
                <w:szCs w:val="16"/>
                <w:b w:val="1"/>
                <w:bCs w:val="1"/>
                <w:color w:val="auto"/>
              </w:rPr>
              <w:t>Zeeland</w:t>
            </w:r>
          </w:p>
        </w:tc>
        <w:tc>
          <w:tcPr>
            <w:tcW w:w="2200" w:type="dxa"/>
            <w:vAlign w:val="bottom"/>
          </w:tcPr>
          <w:p>
            <w:pPr>
              <w:spacing w:after="0"/>
              <w:rPr>
                <w:sz w:val="18"/>
                <w:szCs w:val="18"/>
                <w:color w:val="auto"/>
              </w:rPr>
            </w:pPr>
          </w:p>
        </w:tc>
        <w:tc>
          <w:tcPr>
            <w:tcW w:w="4780" w:type="dxa"/>
            <w:vAlign w:val="bottom"/>
            <w:vMerge w:val="restart"/>
          </w:tcPr>
          <w:p>
            <w:pPr>
              <w:jc w:val="right"/>
              <w:ind w:right="250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860" w:type="dxa"/>
            <w:vAlign w:val="bottom"/>
            <w:gridSpan w:val="5"/>
          </w:tcPr>
          <w:p>
            <w:pPr>
              <w:jc w:val="center"/>
              <w:ind w:right="1048"/>
              <w:spacing w:after="0"/>
              <w:rPr>
                <w:sz w:val="20"/>
                <w:szCs w:val="20"/>
                <w:color w:val="auto"/>
              </w:rPr>
            </w:pPr>
            <w:r>
              <w:rPr>
                <w:rFonts w:ascii="Arial" w:cs="Arial" w:eastAsia="Arial" w:hAnsi="Arial"/>
                <w:sz w:val="16"/>
                <w:szCs w:val="16"/>
                <w:b w:val="1"/>
                <w:bCs w:val="1"/>
                <w:color w:val="auto"/>
              </w:rPr>
              <w:t>Michigan</w:t>
            </w:r>
          </w:p>
        </w:tc>
        <w:tc>
          <w:tcPr>
            <w:tcW w:w="220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24"/>
              <w:spacing w:after="0"/>
              <w:rPr>
                <w:sz w:val="20"/>
                <w:szCs w:val="20"/>
                <w:color w:val="auto"/>
              </w:rPr>
            </w:pPr>
            <w:r>
              <w:rPr>
                <w:rFonts w:ascii="Arial" w:cs="Arial" w:eastAsia="Arial" w:hAnsi="Arial"/>
                <w:sz w:val="14"/>
                <w:szCs w:val="14"/>
                <w:color w:val="auto"/>
              </w:rPr>
              <w:t>(Address of principal executive offices)</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jc w:val="right"/>
              <w:ind w:right="155"/>
              <w:spacing w:after="0"/>
              <w:rPr>
                <w:sz w:val="20"/>
                <w:szCs w:val="20"/>
                <w:color w:val="auto"/>
              </w:rPr>
            </w:pPr>
            <w:r>
              <w:rPr>
                <w:rFonts w:ascii="Arial" w:cs="Arial" w:eastAsia="Arial" w:hAnsi="Arial"/>
                <w:sz w:val="18"/>
                <w:szCs w:val="18"/>
                <w:b w:val="1"/>
                <w:bCs w:val="1"/>
                <w:color w:val="auto"/>
              </w:rPr>
              <w:t>(616) 772-1800</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40" w:type="dxa"/>
            <w:vAlign w:val="bottom"/>
            <w:gridSpan w:val="3"/>
          </w:tcPr>
          <w:p>
            <w:pPr>
              <w:jc w:val="center"/>
              <w:ind w:right="3643"/>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8840" w:type="dxa"/>
            <w:vAlign w:val="bottom"/>
            <w:gridSpan w:val="7"/>
          </w:tcPr>
          <w:p>
            <w:pPr>
              <w:jc w:val="right"/>
              <w:ind w:right="388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7"/>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80"/>
        </w:trPr>
        <w:tc>
          <w:tcPr>
            <w:tcW w:w="428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428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234" w:lineRule="exact"/>
        <w:rPr>
          <w:sz w:val="24"/>
          <w:szCs w:val="24"/>
          <w:color w:val="auto"/>
        </w:rPr>
      </w:pPr>
    </w:p>
    <w:p>
      <w:pPr>
        <w:ind w:right="12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6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o</w:t>
      </w:r>
    </w:p>
    <w:p>
      <w:pPr>
        <w:spacing w:after="0" w:line="166" w:lineRule="exact"/>
        <w:rPr>
          <w:sz w:val="24"/>
          <w:szCs w:val="24"/>
          <w:color w:val="auto"/>
        </w:rPr>
      </w:pPr>
    </w:p>
    <w:p>
      <w:pPr>
        <w:ind w:right="540"/>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3" w:lineRule="exact"/>
        <w:rPr>
          <w:sz w:val="24"/>
          <w:szCs w:val="24"/>
          <w:color w:val="auto"/>
        </w:rPr>
      </w:pPr>
    </w:p>
    <w:p>
      <w:pPr>
        <w:ind w:right="26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4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5"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5" w:lineRule="exact"/>
        <w:rPr>
          <w:sz w:val="24"/>
          <w:szCs w:val="24"/>
          <w:color w:val="auto"/>
        </w:rPr>
      </w:pPr>
    </w:p>
    <w:p>
      <w:pPr>
        <w:spacing w:after="0" w:line="161" w:lineRule="exact"/>
        <w:tabs>
          <w:tab w:leader="none" w:pos="828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77" w:lineRule="exact"/>
        <w:rPr>
          <w:sz w:val="24"/>
          <w:szCs w:val="24"/>
          <w:color w:val="auto"/>
        </w:rPr>
      </w:pPr>
    </w:p>
    <w:p>
      <w:pPr>
        <w:ind w:right="560"/>
        <w:spacing w:after="0" w:line="305"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 Yes: o No: o</w:t>
      </w:r>
    </w:p>
    <w:p>
      <w:pPr>
        <w:spacing w:after="0" w:line="90"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April 22, 2022</w:t>
            </w:r>
          </w:p>
        </w:tc>
      </w:tr>
      <w:tr>
        <w:trPr>
          <w:trHeight w:val="189"/>
        </w:trPr>
        <w:tc>
          <w:tcPr>
            <w:tcW w:w="528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8"/>
              <w:spacing w:after="0"/>
              <w:rPr>
                <w:sz w:val="20"/>
                <w:szCs w:val="20"/>
                <w:color w:val="auto"/>
              </w:rPr>
            </w:pPr>
            <w:r>
              <w:rPr>
                <w:rFonts w:ascii="Arial" w:cs="Arial" w:eastAsia="Arial" w:hAnsi="Arial"/>
                <w:sz w:val="14"/>
                <w:szCs w:val="14"/>
                <w:color w:val="auto"/>
              </w:rPr>
              <w:t>234,459,296</w:t>
            </w:r>
          </w:p>
        </w:tc>
      </w:tr>
    </w:tbl>
    <w:p>
      <w:pPr>
        <w:spacing w:after="0" w:line="200" w:lineRule="exact"/>
        <w:rPr>
          <w:sz w:val="24"/>
          <w:szCs w:val="24"/>
          <w:color w:val="auto"/>
        </w:rPr>
      </w:pPr>
    </w:p>
    <w:p>
      <w:pPr>
        <w:sectPr>
          <w:pgSz w:w="11900" w:h="16838" w:orient="portrait"/>
          <w:cols w:equalWidth="0" w:num="1">
            <w:col w:w="11260"/>
          </w:cols>
          <w:pgMar w:left="320" w:top="60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Months Ended March 31, 2022</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 - Financial Information</w:t>
            </w:r>
          </w:p>
        </w:tc>
        <w:tc>
          <w:tcPr>
            <w:tcW w:w="1480" w:type="dxa"/>
            <w:vAlign w:val="bottom"/>
            <w:gridSpan w:val="3"/>
          </w:tcPr>
          <w:p>
            <w:pPr>
              <w:ind w:left="960"/>
              <w:spacing w:after="0"/>
              <w:rPr>
                <w:sz w:val="20"/>
                <w:szCs w:val="20"/>
                <w:color w:val="auto"/>
              </w:rPr>
            </w:pPr>
            <w:r>
              <w:rPr>
                <w:rFonts w:ascii="Arial" w:cs="Arial" w:eastAsia="Arial" w:hAnsi="Arial"/>
                <w:sz w:val="22"/>
                <w:szCs w:val="22"/>
                <w:b w:val="1"/>
                <w:bCs w:val="1"/>
                <w:color w:val="auto"/>
                <w:w w:val="94"/>
              </w:rPr>
              <w:t>Page</w:t>
            </w: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4620" w:type="dxa"/>
            <w:vAlign w:val="bottom"/>
            <w:gridSpan w:val="6"/>
          </w:tcPr>
          <w:p>
            <w:pPr>
              <w:spacing w:after="0" w:line="195" w:lineRule="exact"/>
              <w:rPr>
                <w:sz w:val="20"/>
                <w:szCs w:val="20"/>
                <w:color w:val="auto"/>
              </w:rPr>
            </w:pPr>
            <w:r>
              <w:rPr>
                <w:rFonts w:ascii="Arial" w:cs="Arial" w:eastAsia="Arial" w:hAnsi="Arial"/>
                <w:sz w:val="18"/>
                <w:szCs w:val="18"/>
                <w:color w:val="0000FF"/>
                <w:w w:val="99"/>
              </w:rPr>
              <w:t>Unaudited Condensed Consolidated Financial Statements</w:t>
            </w:r>
          </w:p>
        </w:tc>
        <w:tc>
          <w:tcPr>
            <w:tcW w:w="3420" w:type="dxa"/>
            <w:vAlign w:val="bottom"/>
            <w:gridSpan w:val="9"/>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jc w:val="center"/>
              <w:spacing w:after="0" w:line="195" w:lineRule="exact"/>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0000FF"/>
                <w:w w:val="99"/>
              </w:rPr>
              <w:t>Unaudited Condensed Consolidated Balance Sheets</w:t>
            </w:r>
          </w:p>
        </w:tc>
        <w:tc>
          <w:tcPr>
            <w:tcW w:w="420" w:type="dxa"/>
            <w:vAlign w:val="bottom"/>
          </w:tcPr>
          <w:p>
            <w:pPr>
              <w:spacing w:after="0"/>
              <w:rPr>
                <w:sz w:val="18"/>
                <w:szCs w:val="18"/>
                <w:color w:val="auto"/>
              </w:rPr>
            </w:pPr>
          </w:p>
        </w:tc>
        <w:tc>
          <w:tcPr>
            <w:tcW w:w="3420" w:type="dxa"/>
            <w:vAlign w:val="bottom"/>
            <w:gridSpan w:val="9"/>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Income</w:t>
            </w:r>
          </w:p>
        </w:tc>
        <w:tc>
          <w:tcPr>
            <w:tcW w:w="1260" w:type="dxa"/>
            <w:vAlign w:val="bottom"/>
            <w:gridSpan w:val="2"/>
          </w:tcPr>
          <w:p>
            <w:pPr>
              <w:jc w:val="center"/>
              <w:ind w:left="1068"/>
              <w:spacing w:after="0"/>
              <w:rPr>
                <w:sz w:val="20"/>
                <w:szCs w:val="20"/>
                <w:color w:val="auto"/>
              </w:rPr>
            </w:pPr>
            <w:r>
              <w:rPr>
                <w:rFonts w:ascii="Arial" w:cs="Arial" w:eastAsia="Arial" w:hAnsi="Arial"/>
                <w:sz w:val="18"/>
                <w:szCs w:val="18"/>
                <w:color w:val="0000FF"/>
                <w:w w:val="99"/>
              </w:rPr>
              <w:t>4</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0000FF"/>
                <w:w w:val="99"/>
              </w:rPr>
              <w:t>Unaudited Condensed Consolidated Statements of Comprehensive Income</w:t>
            </w:r>
          </w:p>
        </w:tc>
        <w:tc>
          <w:tcPr>
            <w:tcW w:w="2040" w:type="dxa"/>
            <w:vAlign w:val="bottom"/>
            <w:gridSpan w:val="3"/>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Shareholders' Investment</w:t>
            </w:r>
          </w:p>
        </w:tc>
        <w:tc>
          <w:tcPr>
            <w:tcW w:w="1260" w:type="dxa"/>
            <w:vAlign w:val="bottom"/>
            <w:gridSpan w:val="2"/>
          </w:tcPr>
          <w:p>
            <w:pPr>
              <w:jc w:val="center"/>
              <w:ind w:left="1068"/>
              <w:spacing w:after="0"/>
              <w:rPr>
                <w:sz w:val="20"/>
                <w:szCs w:val="20"/>
                <w:color w:val="auto"/>
              </w:rPr>
            </w:pPr>
            <w:r>
              <w:rPr>
                <w:rFonts w:ascii="Arial" w:cs="Arial" w:eastAsia="Arial" w:hAnsi="Arial"/>
                <w:sz w:val="18"/>
                <w:szCs w:val="18"/>
                <w:color w:val="0000FF"/>
                <w:w w:val="99"/>
              </w:rPr>
              <w:t>6</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040" w:type="dxa"/>
            <w:vAlign w:val="bottom"/>
            <w:gridSpan w:val="10"/>
          </w:tcPr>
          <w:p>
            <w:pPr>
              <w:spacing w:after="0"/>
              <w:rPr>
                <w:sz w:val="20"/>
                <w:szCs w:val="20"/>
                <w:color w:val="auto"/>
              </w:rPr>
            </w:pPr>
            <w:r>
              <w:rPr>
                <w:rFonts w:ascii="Arial" w:cs="Arial" w:eastAsia="Arial" w:hAnsi="Arial"/>
                <w:sz w:val="18"/>
                <w:szCs w:val="18"/>
                <w:color w:val="0000FF"/>
                <w:w w:val="99"/>
              </w:rPr>
              <w:t>Unaudited Condensed Consolidated Statements of Cash Flows</w:t>
            </w:r>
          </w:p>
        </w:tc>
        <w:tc>
          <w:tcPr>
            <w:tcW w:w="1080" w:type="dxa"/>
            <w:vAlign w:val="bottom"/>
            <w:gridSpan w:val="3"/>
          </w:tcPr>
          <w:p>
            <w:pPr>
              <w:spacing w:after="0"/>
              <w:rPr>
                <w:sz w:val="18"/>
                <w:szCs w:val="18"/>
                <w:color w:val="auto"/>
              </w:rPr>
            </w:pPr>
          </w:p>
        </w:tc>
        <w:tc>
          <w:tcPr>
            <w:tcW w:w="19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7</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340" w:type="dxa"/>
            <w:vAlign w:val="bottom"/>
            <w:gridSpan w:val="11"/>
          </w:tcPr>
          <w:p>
            <w:pPr>
              <w:spacing w:after="0"/>
              <w:rPr>
                <w:sz w:val="20"/>
                <w:szCs w:val="20"/>
                <w:color w:val="auto"/>
              </w:rPr>
            </w:pPr>
            <w:r>
              <w:rPr>
                <w:rFonts w:ascii="Arial" w:cs="Arial" w:eastAsia="Arial" w:hAnsi="Arial"/>
                <w:sz w:val="18"/>
                <w:szCs w:val="18"/>
                <w:color w:val="0000FF"/>
                <w:w w:val="99"/>
              </w:rPr>
              <w:t>Notes to Unaudited Condensed Consolidated Financial Statements</w:t>
            </w:r>
          </w:p>
        </w:tc>
        <w:tc>
          <w:tcPr>
            <w:tcW w:w="2700" w:type="dxa"/>
            <w:vAlign w:val="bottom"/>
            <w:gridSpan w:val="4"/>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20</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80" w:type="dxa"/>
            <w:vAlign w:val="bottom"/>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30</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8"/>
          </w:tcPr>
          <w:p>
            <w:pPr>
              <w:spacing w:after="0"/>
              <w:rPr>
                <w:sz w:val="20"/>
                <w:szCs w:val="20"/>
                <w:color w:val="auto"/>
              </w:rPr>
            </w:pPr>
            <w:r>
              <w:rPr>
                <w:rFonts w:ascii="Arial" w:cs="Arial" w:eastAsia="Arial" w:hAnsi="Arial"/>
                <w:sz w:val="18"/>
                <w:szCs w:val="18"/>
                <w:color w:val="0000FF"/>
              </w:rPr>
              <w:t>Controls and Procedures</w:t>
            </w:r>
          </w:p>
        </w:tc>
        <w:tc>
          <w:tcPr>
            <w:tcW w:w="3340" w:type="dxa"/>
            <w:vAlign w:val="bottom"/>
            <w:gridSpan w:val="7"/>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30</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55"/>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II - Other Information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line="195" w:lineRule="exact"/>
              <w:rPr>
                <w:sz w:val="20"/>
                <w:szCs w:val="20"/>
                <w:color w:val="auto"/>
              </w:rPr>
            </w:pPr>
            <w:r>
              <w:rPr>
                <w:rFonts w:ascii="Arial" w:cs="Arial" w:eastAsia="Arial" w:hAnsi="Arial"/>
                <w:sz w:val="18"/>
                <w:szCs w:val="18"/>
                <w:color w:val="0000FF"/>
                <w:w w:val="95"/>
              </w:rPr>
              <w:t>Risk Factors</w:t>
            </w:r>
          </w:p>
        </w:tc>
        <w:tc>
          <w:tcPr>
            <w:tcW w:w="7040" w:type="dxa"/>
            <w:vAlign w:val="bottom"/>
            <w:gridSpan w:val="12"/>
          </w:tcPr>
          <w:p>
            <w:pPr>
              <w:spacing w:after="0"/>
              <w:rPr>
                <w:sz w:val="16"/>
                <w:szCs w:val="16"/>
                <w:color w:val="auto"/>
              </w:rPr>
            </w:pPr>
          </w:p>
        </w:tc>
        <w:tc>
          <w:tcPr>
            <w:tcW w:w="1480" w:type="dxa"/>
            <w:vAlign w:val="bottom"/>
            <w:gridSpan w:val="3"/>
          </w:tcPr>
          <w:p>
            <w:pPr>
              <w:jc w:val="center"/>
              <w:ind w:left="868"/>
              <w:spacing w:after="0" w:line="195" w:lineRule="exact"/>
              <w:rPr>
                <w:sz w:val="20"/>
                <w:szCs w:val="20"/>
                <w:color w:val="auto"/>
              </w:rPr>
            </w:pPr>
            <w:r>
              <w:rPr>
                <w:rFonts w:ascii="Arial" w:cs="Arial" w:eastAsia="Arial" w:hAnsi="Arial"/>
                <w:sz w:val="18"/>
                <w:szCs w:val="18"/>
                <w:color w:val="0000FF"/>
                <w:w w:val="99"/>
              </w:rPr>
              <w:t>32</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32</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tcBorders>
              <w:left w:val="single" w:sz="8" w:color="0000FF"/>
            </w:tcBorders>
            <w:gridSpan w:val="6"/>
            <w:shd w:val="clear" w:color="auto" w:fill="0000FF"/>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4840" w:type="dxa"/>
            <w:vAlign w:val="bottom"/>
            <w:gridSpan w:val="9"/>
          </w:tcPr>
          <w:p>
            <w:pPr>
              <w:spacing w:after="0"/>
              <w:rPr>
                <w:sz w:val="20"/>
                <w:szCs w:val="20"/>
                <w:color w:val="auto"/>
              </w:rPr>
            </w:pPr>
            <w:r>
              <w:rPr>
                <w:rFonts w:ascii="Arial" w:cs="Arial" w:eastAsia="Arial" w:hAnsi="Arial"/>
                <w:sz w:val="18"/>
                <w:szCs w:val="18"/>
                <w:color w:val="0000FF"/>
              </w:rPr>
              <w:t>Exhibits</w:t>
            </w:r>
          </w:p>
        </w:tc>
        <w:tc>
          <w:tcPr>
            <w:tcW w:w="3200" w:type="dxa"/>
            <w:vAlign w:val="bottom"/>
            <w:gridSpan w:val="6"/>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32</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40" w:type="dxa"/>
            <w:vAlign w:val="bottom"/>
            <w:gridSpan w:val="12"/>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302FF"/>
                <w:w w:val="97"/>
              </w:rPr>
              <w:t>Signatures</w:t>
            </w:r>
          </w:p>
        </w:tc>
        <w:tc>
          <w:tcPr>
            <w:tcW w:w="7180" w:type="dxa"/>
            <w:vAlign w:val="bottom"/>
            <w:gridSpan w:val="13"/>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32</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302FF"/>
          </w:tcPr>
          <w:p>
            <w:pPr>
              <w:spacing w:after="0" w:line="20" w:lineRule="exact"/>
              <w:rPr>
                <w:sz w:val="1"/>
                <w:szCs w:val="1"/>
                <w:color w:val="auto"/>
              </w:rPr>
            </w:pPr>
          </w:p>
        </w:tc>
        <w:tc>
          <w:tcPr>
            <w:tcW w:w="240" w:type="dxa"/>
            <w:vAlign w:val="bottom"/>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Exhibit Index</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34</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31"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As of March 31, 2022 and December 31, 2021</w:t>
      </w: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March 31, 2022 (Unaudited)</w:t>
            </w:r>
          </w:p>
        </w:tc>
        <w:tc>
          <w:tcPr>
            <w:tcW w:w="280" w:type="dxa"/>
            <w:vAlign w:val="bottom"/>
          </w:tcPr>
          <w:p>
            <w:pPr>
              <w:spacing w:after="0"/>
              <w:rPr>
                <w:sz w:val="14"/>
                <w:szCs w:val="14"/>
                <w:color w:val="auto"/>
              </w:rPr>
            </w:pPr>
          </w:p>
        </w:tc>
        <w:tc>
          <w:tcPr>
            <w:tcW w:w="188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1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jc w:val="right"/>
              <w:ind w:right="791"/>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189"/>
        </w:trPr>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7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rPr>
              <w:t>ASSETS</w:t>
            </w:r>
          </w:p>
        </w:tc>
        <w:tc>
          <w:tcPr>
            <w:tcW w:w="30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8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8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279,708,413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262,311,670</w:t>
            </w:r>
          </w:p>
        </w:tc>
        <w:tc>
          <w:tcPr>
            <w:tcW w:w="0" w:type="dxa"/>
            <w:vAlign w:val="bottom"/>
          </w:tcPr>
          <w:p>
            <w:pPr>
              <w:spacing w:after="0"/>
              <w:rPr>
                <w:sz w:val="1"/>
                <w:szCs w:val="1"/>
                <w:color w:val="auto"/>
              </w:rPr>
            </w:pPr>
          </w:p>
        </w:tc>
      </w:tr>
      <w:tr>
        <w:trPr>
          <w:trHeight w:val="229"/>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Short-term investments</w:t>
            </w: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6,891,621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5,423,612</w:t>
            </w:r>
          </w:p>
        </w:tc>
        <w:tc>
          <w:tcPr>
            <w:tcW w:w="0" w:type="dxa"/>
            <w:vAlign w:val="bottom"/>
          </w:tcPr>
          <w:p>
            <w:pPr>
              <w:spacing w:after="0"/>
              <w:rPr>
                <w:sz w:val="1"/>
                <w:szCs w:val="1"/>
                <w:color w:val="auto"/>
              </w:rPr>
            </w:pPr>
          </w:p>
        </w:tc>
      </w:tr>
      <w:tr>
        <w:trPr>
          <w:trHeight w:val="229"/>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281,461,678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249,794,906</w:t>
            </w:r>
          </w:p>
        </w:tc>
        <w:tc>
          <w:tcPr>
            <w:tcW w:w="0" w:type="dxa"/>
            <w:vAlign w:val="bottom"/>
          </w:tcPr>
          <w:p>
            <w:pPr>
              <w:spacing w:after="0"/>
              <w:rPr>
                <w:sz w:val="1"/>
                <w:szCs w:val="1"/>
                <w:color w:val="auto"/>
              </w:rPr>
            </w:pPr>
          </w:p>
        </w:tc>
      </w:tr>
      <w:tr>
        <w:trPr>
          <w:trHeight w:val="230"/>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362,736,521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316,267,442</w:t>
            </w:r>
          </w:p>
        </w:tc>
        <w:tc>
          <w:tcPr>
            <w:tcW w:w="0" w:type="dxa"/>
            <w:vAlign w:val="bottom"/>
          </w:tcPr>
          <w:p>
            <w:pPr>
              <w:spacing w:after="0"/>
              <w:rPr>
                <w:sz w:val="1"/>
                <w:szCs w:val="1"/>
                <w:color w:val="auto"/>
              </w:rPr>
            </w:pPr>
          </w:p>
        </w:tc>
      </w:tr>
      <w:tr>
        <w:trPr>
          <w:trHeight w:val="229"/>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4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24,733,040</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39,178,119</w:t>
            </w:r>
          </w:p>
        </w:tc>
        <w:tc>
          <w:tcPr>
            <w:tcW w:w="0" w:type="dxa"/>
            <w:vAlign w:val="bottom"/>
          </w:tcPr>
          <w:p>
            <w:pPr>
              <w:spacing w:after="0"/>
              <w:rPr>
                <w:sz w:val="1"/>
                <w:szCs w:val="1"/>
                <w:color w:val="auto"/>
              </w:rPr>
            </w:pPr>
          </w:p>
        </w:tc>
      </w:tr>
      <w:tr>
        <w:trPr>
          <w:trHeight w:val="223"/>
        </w:trPr>
        <w:tc>
          <w:tcPr>
            <w:tcW w:w="6780" w:type="dxa"/>
            <w:vAlign w:val="bottom"/>
            <w:gridSpan w:val="5"/>
          </w:tcPr>
          <w:p>
            <w:pPr>
              <w:ind w:left="44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955,531,273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872,975,749</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5"/>
          </w:tcPr>
          <w:p>
            <w:pPr>
              <w:spacing w:after="0"/>
              <w:rPr>
                <w:sz w:val="20"/>
                <w:szCs w:val="20"/>
                <w:color w:val="auto"/>
              </w:rPr>
            </w:pPr>
            <w:r>
              <w:rPr>
                <w:rFonts w:ascii="Arial" w:cs="Arial" w:eastAsia="Arial" w:hAnsi="Arial"/>
                <w:sz w:val="18"/>
                <w:szCs w:val="18"/>
                <w:color w:val="auto"/>
              </w:rPr>
              <w:t>PLANT AND EQUIPMENT—NET</w:t>
            </w: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468,409,064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464,121,676</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313,928,914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313,960,209</w:t>
            </w:r>
          </w:p>
        </w:tc>
        <w:tc>
          <w:tcPr>
            <w:tcW w:w="0" w:type="dxa"/>
            <w:vAlign w:val="bottom"/>
          </w:tcPr>
          <w:p>
            <w:pPr>
              <w:spacing w:after="0"/>
              <w:rPr>
                <w:sz w:val="1"/>
                <w:szCs w:val="1"/>
                <w:color w:val="auto"/>
              </w:rPr>
            </w:pPr>
          </w:p>
        </w:tc>
      </w:tr>
      <w:tr>
        <w:trPr>
          <w:trHeight w:val="229"/>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Long-term investments</w:t>
            </w: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175,824,026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207,693,147</w:t>
            </w:r>
          </w:p>
        </w:tc>
        <w:tc>
          <w:tcPr>
            <w:tcW w:w="0" w:type="dxa"/>
            <w:vAlign w:val="bottom"/>
          </w:tcPr>
          <w:p>
            <w:pPr>
              <w:spacing w:after="0"/>
              <w:rPr>
                <w:sz w:val="1"/>
                <w:szCs w:val="1"/>
                <w:color w:val="auto"/>
              </w:rPr>
            </w:pPr>
          </w:p>
        </w:tc>
      </w:tr>
      <w:tr>
        <w:trPr>
          <w:trHeight w:val="229"/>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234,229,803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239,189,627</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Patents and other assets, net</w:t>
            </w: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32,459,405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33,450,758</w:t>
            </w:r>
          </w:p>
        </w:tc>
        <w:tc>
          <w:tcPr>
            <w:tcW w:w="0" w:type="dxa"/>
            <w:vAlign w:val="bottom"/>
          </w:tcPr>
          <w:p>
            <w:pPr>
              <w:spacing w:after="0"/>
              <w:rPr>
                <w:sz w:val="1"/>
                <w:szCs w:val="1"/>
                <w:color w:val="auto"/>
              </w:rPr>
            </w:pPr>
          </w:p>
        </w:tc>
      </w:tr>
      <w:tr>
        <w:trPr>
          <w:trHeight w:val="223"/>
        </w:trPr>
        <w:tc>
          <w:tcPr>
            <w:tcW w:w="678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4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756,442,148</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794,293,741</w:t>
            </w:r>
          </w:p>
        </w:tc>
        <w:tc>
          <w:tcPr>
            <w:tcW w:w="0" w:type="dxa"/>
            <w:vAlign w:val="bottom"/>
          </w:tcPr>
          <w:p>
            <w:pPr>
              <w:spacing w:after="0"/>
              <w:rPr>
                <w:sz w:val="1"/>
                <w:szCs w:val="1"/>
                <w:color w:val="auto"/>
              </w:rPr>
            </w:pPr>
          </w:p>
        </w:tc>
      </w:tr>
      <w:tr>
        <w:trPr>
          <w:trHeight w:val="223"/>
        </w:trPr>
        <w:tc>
          <w:tcPr>
            <w:tcW w:w="678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2,180,382,485</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2,131,391,166</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5500" w:type="dxa"/>
            <w:vAlign w:val="bottom"/>
            <w:gridSpan w:val="4"/>
          </w:tcPr>
          <w:p>
            <w:pPr>
              <w:jc w:val="center"/>
              <w:ind w:right="1300"/>
              <w:spacing w:after="0" w:line="189" w:lineRule="exact"/>
              <w:rPr>
                <w:sz w:val="20"/>
                <w:szCs w:val="20"/>
                <w:color w:val="auto"/>
              </w:rPr>
            </w:pPr>
            <w:r>
              <w:rPr>
                <w:rFonts w:ascii="Arial" w:cs="Arial" w:eastAsia="Arial" w:hAnsi="Arial"/>
                <w:sz w:val="18"/>
                <w:szCs w:val="18"/>
                <w:color w:val="auto"/>
                <w:w w:val="99"/>
              </w:rPr>
              <w:t>LIABILITIES AND SHAREHOLDERS’ INVESTMENT</w:t>
            </w: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140,887,194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98,342,928</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Accrued liabilities</w:t>
            </w: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98,335,978</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83,313,172</w:t>
            </w:r>
          </w:p>
        </w:tc>
        <w:tc>
          <w:tcPr>
            <w:tcW w:w="0" w:type="dxa"/>
            <w:vAlign w:val="bottom"/>
          </w:tcPr>
          <w:p>
            <w:pPr>
              <w:spacing w:after="0"/>
              <w:rPr>
                <w:sz w:val="1"/>
                <w:szCs w:val="1"/>
                <w:color w:val="auto"/>
              </w:rPr>
            </w:pPr>
          </w:p>
        </w:tc>
      </w:tr>
      <w:tr>
        <w:trPr>
          <w:trHeight w:val="223"/>
        </w:trPr>
        <w:tc>
          <w:tcPr>
            <w:tcW w:w="678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239,223,172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181,656,100</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12,190,413</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11,746,599</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251,413,585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193,402,699</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SHAREHOLDERS’ INVESTMENT</w:t>
            </w: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Common stock</w:t>
            </w: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14,068,640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14,186,450</w:t>
            </w:r>
          </w:p>
        </w:tc>
        <w:tc>
          <w:tcPr>
            <w:tcW w:w="0" w:type="dxa"/>
            <w:vAlign w:val="bottom"/>
          </w:tcPr>
          <w:p>
            <w:pPr>
              <w:spacing w:after="0"/>
              <w:rPr>
                <w:sz w:val="1"/>
                <w:szCs w:val="1"/>
                <w:color w:val="auto"/>
              </w:rPr>
            </w:pPr>
          </w:p>
        </w:tc>
      </w:tr>
      <w:tr>
        <w:trPr>
          <w:trHeight w:val="230"/>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881,371,438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879,413,385</w:t>
            </w:r>
          </w:p>
        </w:tc>
        <w:tc>
          <w:tcPr>
            <w:tcW w:w="0" w:type="dxa"/>
            <w:vAlign w:val="bottom"/>
          </w:tcPr>
          <w:p>
            <w:pPr>
              <w:spacing w:after="0"/>
              <w:rPr>
                <w:sz w:val="1"/>
                <w:szCs w:val="1"/>
                <w:color w:val="auto"/>
              </w:rPr>
            </w:pPr>
          </w:p>
        </w:tc>
      </w:tr>
      <w:tr>
        <w:trPr>
          <w:trHeight w:val="229"/>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1,038,656,230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1,042,461,388</w:t>
            </w:r>
          </w:p>
        </w:tc>
        <w:tc>
          <w:tcPr>
            <w:tcW w:w="0" w:type="dxa"/>
            <w:vAlign w:val="bottom"/>
          </w:tcPr>
          <w:p>
            <w:pPr>
              <w:spacing w:after="0"/>
              <w:rPr>
                <w:sz w:val="1"/>
                <w:szCs w:val="1"/>
                <w:color w:val="auto"/>
              </w:rPr>
            </w:pPr>
          </w:p>
        </w:tc>
      </w:tr>
      <w:tr>
        <w:trPr>
          <w:trHeight w:val="230"/>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4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(5,127,408)</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1,927,244</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gridSpan w:val="5"/>
          </w:tcPr>
          <w:p>
            <w:pPr>
              <w:ind w:left="440"/>
              <w:spacing w:after="0"/>
              <w:rPr>
                <w:sz w:val="20"/>
                <w:szCs w:val="20"/>
                <w:color w:val="auto"/>
              </w:rPr>
            </w:pPr>
            <w:r>
              <w:rPr>
                <w:rFonts w:ascii="Arial" w:cs="Arial" w:eastAsia="Arial" w:hAnsi="Arial"/>
                <w:sz w:val="18"/>
                <w:szCs w:val="18"/>
                <w:color w:val="auto"/>
              </w:rPr>
              <w:t>Total shareholders’ investment</w:t>
            </w: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1,928,968,900</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1,937,988,467</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liabilities and shareholders’ investment</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2,180,382,485</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2,131,391,166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00"/>
        <w:spacing w:after="0" w:line="286" w:lineRule="auto"/>
        <w:rPr>
          <w:sz w:val="20"/>
          <w:szCs w:val="20"/>
          <w:color w:val="auto"/>
        </w:rPr>
      </w:pPr>
      <w:r>
        <w:rPr>
          <w:rFonts w:ascii="Arial" w:cs="Arial" w:eastAsia="Arial" w:hAnsi="Arial"/>
          <w:sz w:val="13"/>
          <w:szCs w:val="13"/>
          <w:color w:val="auto"/>
        </w:rPr>
        <w:t>Note: The condensed consolidated balance sheet at December 31, 2021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ind w:right="40"/>
        <w:spacing w:after="0" w:line="395"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Months Ended March 31, 2022 and 2021</w:t>
      </w: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80" w:type="dxa"/>
            <w:vAlign w:val="bottom"/>
            <w:gridSpan w:val="4"/>
          </w:tcPr>
          <w:p>
            <w:pPr>
              <w:jc w:val="right"/>
              <w:ind w:right="1091"/>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65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b w:val="1"/>
                <w:bCs w:val="1"/>
                <w:color w:val="auto"/>
              </w:rPr>
              <w:t>2021</w:t>
            </w:r>
          </w:p>
        </w:tc>
      </w:tr>
      <w:tr>
        <w:trPr>
          <w:trHeight w:val="224"/>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468,250,776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483,724,839</w:t>
            </w:r>
          </w:p>
        </w:tc>
      </w:tr>
      <w:tr>
        <w:trPr>
          <w:trHeight w:val="229"/>
        </w:trPr>
        <w:tc>
          <w:tcPr>
            <w:tcW w:w="6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5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307,838,816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300,424,671</w:t>
            </w:r>
          </w:p>
        </w:tc>
      </w:tr>
      <w:tr>
        <w:trPr>
          <w:trHeight w:val="223"/>
        </w:trPr>
        <w:tc>
          <w:tcPr>
            <w:tcW w:w="6520" w:type="dxa"/>
            <w:vAlign w:val="bottom"/>
          </w:tcPr>
          <w:p>
            <w:pPr>
              <w:ind w:left="460"/>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160,411,960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183,300,168</w:t>
            </w:r>
          </w:p>
        </w:tc>
      </w:tr>
      <w:tr>
        <w:trPr>
          <w:trHeight w:val="229"/>
        </w:trPr>
        <w:tc>
          <w:tcPr>
            <w:tcW w:w="6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6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Engineering, research and development</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31,974,987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27,652,081</w:t>
            </w:r>
          </w:p>
        </w:tc>
      </w:tr>
      <w:tr>
        <w:trPr>
          <w:trHeight w:val="229"/>
        </w:trPr>
        <w:tc>
          <w:tcPr>
            <w:tcW w:w="65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&amp; administrative</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25,131,068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21,914,386</w:t>
            </w:r>
          </w:p>
        </w:tc>
      </w:tr>
      <w:tr>
        <w:trPr>
          <w:trHeight w:val="223"/>
        </w:trPr>
        <w:tc>
          <w:tcPr>
            <w:tcW w:w="65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57,106,055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49,566,467</w:t>
            </w:r>
          </w:p>
        </w:tc>
      </w:tr>
      <w:tr>
        <w:trPr>
          <w:trHeight w:val="209"/>
        </w:trPr>
        <w:tc>
          <w:tcPr>
            <w:tcW w:w="6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6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103,305,905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133,733,701</w:t>
            </w:r>
          </w:p>
        </w:tc>
      </w:tr>
      <w:tr>
        <w:trPr>
          <w:trHeight w:val="229"/>
        </w:trPr>
        <w:tc>
          <w:tcPr>
            <w:tcW w:w="6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(LOSS) INCOME</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6520" w:type="dxa"/>
            <w:vAlign w:val="bottom"/>
          </w:tcPr>
          <w:p>
            <w:pPr>
              <w:ind w:left="240"/>
              <w:spacing w:after="0"/>
              <w:rPr>
                <w:sz w:val="20"/>
                <w:szCs w:val="20"/>
                <w:color w:val="auto"/>
              </w:rPr>
            </w:pPr>
            <w:r>
              <w:rPr>
                <w:rFonts w:ascii="Arial" w:cs="Arial" w:eastAsia="Arial" w:hAnsi="Arial"/>
                <w:sz w:val="18"/>
                <w:szCs w:val="18"/>
                <w:color w:val="auto"/>
              </w:rPr>
              <w:t>Investment income</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788,316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1,023,410</w:t>
            </w:r>
          </w:p>
        </w:tc>
      </w:tr>
      <w:tr>
        <w:trPr>
          <w:trHeight w:val="229"/>
        </w:trPr>
        <w:tc>
          <w:tcPr>
            <w:tcW w:w="6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(loss) income, net</w:t>
            </w:r>
          </w:p>
        </w:tc>
        <w:tc>
          <w:tcPr>
            <w:tcW w:w="5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(798,810)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509,625</w:t>
            </w:r>
          </w:p>
        </w:tc>
      </w:tr>
      <w:tr>
        <w:trPr>
          <w:trHeight w:val="223"/>
        </w:trPr>
        <w:tc>
          <w:tcPr>
            <w:tcW w:w="65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(loss) income</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1,533,035</w:t>
            </w:r>
          </w:p>
        </w:tc>
      </w:tr>
      <w:tr>
        <w:trPr>
          <w:trHeight w:val="209"/>
        </w:trPr>
        <w:tc>
          <w:tcPr>
            <w:tcW w:w="6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103,295,411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135,266,736</w:t>
            </w:r>
          </w:p>
        </w:tc>
      </w:tr>
      <w:tr>
        <w:trPr>
          <w:trHeight w:val="229"/>
        </w:trPr>
        <w:tc>
          <w:tcPr>
            <w:tcW w:w="6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15,766,785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21,815,866</w:t>
            </w:r>
          </w:p>
        </w:tc>
      </w:tr>
      <w:tr>
        <w:trPr>
          <w:trHeight w:val="229"/>
        </w:trPr>
        <w:tc>
          <w:tcPr>
            <w:tcW w:w="65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r>
      <w:tr>
        <w:trPr>
          <w:trHeight w:val="223"/>
        </w:trPr>
        <w:tc>
          <w:tcPr>
            <w:tcW w:w="6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87,528,626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113,450,870</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6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30"/>
        </w:trPr>
        <w:tc>
          <w:tcPr>
            <w:tcW w:w="652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6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29"/>
        </w:trPr>
        <w:tc>
          <w:tcPr>
            <w:tcW w:w="6520" w:type="dxa"/>
            <w:vAlign w:val="bottom"/>
          </w:tcPr>
          <w:p>
            <w:pPr>
              <w:ind w:left="240"/>
              <w:spacing w:after="0"/>
              <w:rPr>
                <w:sz w:val="20"/>
                <w:szCs w:val="20"/>
                <w:color w:val="auto"/>
              </w:rPr>
            </w:pPr>
            <w:r>
              <w:rPr>
                <w:rFonts w:ascii="Arial" w:cs="Arial" w:eastAsia="Arial" w:hAnsi="Arial"/>
                <w:sz w:val="18"/>
                <w:szCs w:val="18"/>
                <w:color w:val="auto"/>
              </w:rPr>
              <w:t>Diluted</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30"/>
        </w:trPr>
        <w:tc>
          <w:tcPr>
            <w:tcW w:w="6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8"/>
                <w:szCs w:val="18"/>
                <w:color w:val="auto"/>
              </w:rPr>
              <w:t>Cash Dividends Declared per Share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0.120</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0.120</w:t>
            </w:r>
          </w:p>
        </w:tc>
      </w:tr>
    </w:tbl>
    <w:p>
      <w:pPr>
        <w:spacing w:after="0" w:line="248" w:lineRule="exact"/>
        <w:rPr>
          <w:sz w:val="20"/>
          <w:szCs w:val="20"/>
          <w:color w:val="auto"/>
        </w:rPr>
      </w:pPr>
    </w:p>
    <w:p>
      <w:pPr>
        <w:ind w:left="180" w:hanging="149"/>
        <w:spacing w:after="0"/>
        <w:tabs>
          <w:tab w:leader="none" w:pos="18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931" w:right="339" w:bottom="1440" w:gutter="0" w:footer="0" w:header="0"/>
        </w:sectPr>
      </w:pPr>
    </w:p>
    <w:bookmarkStart w:id="4" w:name="page5"/>
    <w:bookmarkEnd w:id="4"/>
    <w:p>
      <w:pPr>
        <w:jc w:val="center"/>
        <w:ind w:right="540"/>
        <w:spacing w:after="0" w:line="457"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Months Ended March 31, 2022 and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60" w:type="dxa"/>
            <w:vAlign w:val="bottom"/>
            <w:gridSpan w:val="4"/>
          </w:tcPr>
          <w:p>
            <w:pPr>
              <w:jc w:val="right"/>
              <w:ind w:right="103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87,528,626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113,450,870</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(896,420)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(852,412)</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(losses) gains on debt securities, net</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(7,795,230)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(5,118,953)</w:t>
            </w:r>
          </w:p>
        </w:tc>
        <w:tc>
          <w:tcPr>
            <w:tcW w:w="0" w:type="dxa"/>
            <w:vAlign w:val="bottom"/>
          </w:tcPr>
          <w:p>
            <w:pPr>
              <w:spacing w:after="0"/>
              <w:rPr>
                <w:sz w:val="1"/>
                <w:szCs w:val="1"/>
                <w:color w:val="auto"/>
              </w:rPr>
            </w:pPr>
          </w:p>
        </w:tc>
      </w:tr>
      <w:tr>
        <w:trPr>
          <w:trHeight w:val="250"/>
        </w:trPr>
        <w:tc>
          <w:tcPr>
            <w:tcW w:w="5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(8,691,650)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(5,971,365)</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impact related to components of other comprehensive</w:t>
            </w:r>
          </w:p>
        </w:tc>
        <w:tc>
          <w:tcPr>
            <w:tcW w:w="50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(1,636,998)</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(1,074,980)</w:t>
            </w: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(loss)</w:t>
            </w:r>
          </w:p>
        </w:tc>
        <w:tc>
          <w:tcPr>
            <w:tcW w:w="5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(7,054,652)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(4,896,385)</w:t>
            </w:r>
          </w:p>
        </w:tc>
        <w:tc>
          <w:tcPr>
            <w:tcW w:w="0" w:type="dxa"/>
            <w:vAlign w:val="bottom"/>
          </w:tcPr>
          <w:p>
            <w:pPr>
              <w:spacing w:after="0"/>
              <w:rPr>
                <w:sz w:val="1"/>
                <w:szCs w:val="1"/>
                <w:color w:val="auto"/>
              </w:rPr>
            </w:pPr>
          </w:p>
        </w:tc>
      </w:tr>
      <w:tr>
        <w:trPr>
          <w:trHeight w:val="250"/>
        </w:trPr>
        <w:tc>
          <w:tcPr>
            <w:tcW w:w="5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80,473,974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108,554,485</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60" w:top="1255" w:right="339" w:bottom="1440" w:gutter="0" w:footer="0" w:header="0"/>
        </w:sectPr>
      </w:pPr>
    </w:p>
    <w:bookmarkStart w:id="5" w:name="page6"/>
    <w:bookmarkEnd w:id="5"/>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Months Ended March 31, 2022 and 2021</w:t>
      </w:r>
    </w:p>
    <w:p>
      <w:pPr>
        <w:sectPr>
          <w:pgSz w:w="11900" w:h="16838" w:orient="portrait"/>
          <w:cols w:equalWidth="0" w:num="1">
            <w:col w:w="11200"/>
          </w:cols>
          <w:pgMar w:left="36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2022</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right="740"/>
        <w:spacing w:after="0" w:line="356" w:lineRule="auto"/>
        <w:rPr>
          <w:sz w:val="20"/>
          <w:szCs w:val="20"/>
          <w:color w:val="auto"/>
        </w:rPr>
      </w:pPr>
      <w:r>
        <w:rPr>
          <w:rFonts w:ascii="Arial" w:cs="Arial" w:eastAsia="Arial" w:hAnsi="Arial"/>
          <w:sz w:val="16"/>
          <w:szCs w:val="16"/>
          <w:color w:val="auto"/>
        </w:rPr>
        <w:t>Other comprehensive loss BALANCE AS OF MARCH 31, 2022</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2021</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right="740"/>
        <w:spacing w:after="0" w:line="321" w:lineRule="auto"/>
        <w:rPr>
          <w:sz w:val="20"/>
          <w:szCs w:val="20"/>
          <w:color w:val="auto"/>
        </w:rPr>
      </w:pPr>
      <w:r>
        <w:rPr>
          <w:rFonts w:ascii="Arial" w:cs="Arial" w:eastAsia="Arial" w:hAnsi="Arial"/>
          <w:sz w:val="16"/>
          <w:szCs w:val="16"/>
          <w:color w:val="auto"/>
        </w:rPr>
        <w:t>Other comprehensive loss BALANCE AS OF MARCH 31, 2021</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4"/>
                <w:szCs w:val="14"/>
                <w:color w:val="auto"/>
              </w:rPr>
            </w:pPr>
          </w:p>
        </w:tc>
        <w:tc>
          <w:tcPr>
            <w:tcW w:w="10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116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2"/>
                <w:szCs w:val="12"/>
                <w:color w:val="auto"/>
              </w:rPr>
            </w:pPr>
          </w:p>
        </w:tc>
        <w:tc>
          <w:tcPr>
            <w:tcW w:w="100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2"/>
                <w:szCs w:val="12"/>
                <w:color w:val="auto"/>
              </w:rPr>
            </w:pPr>
          </w:p>
        </w:tc>
        <w:tc>
          <w:tcPr>
            <w:tcW w:w="112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200"/>
        </w:trPr>
        <w:tc>
          <w:tcPr>
            <w:tcW w:w="1160" w:type="dxa"/>
            <w:vAlign w:val="bottom"/>
          </w:tcPr>
          <w:p>
            <w:pPr>
              <w:jc w:val="center"/>
              <w:ind w:right="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1000" w:type="dxa"/>
            <w:vAlign w:val="bottom"/>
          </w:tcPr>
          <w:p>
            <w:pPr>
              <w:jc w:val="center"/>
              <w:ind w:right="148"/>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7"/>
                <w:szCs w:val="17"/>
                <w:color w:val="auto"/>
              </w:rPr>
            </w:pPr>
          </w:p>
        </w:tc>
        <w:tc>
          <w:tcPr>
            <w:tcW w:w="1120" w:type="dxa"/>
            <w:vAlign w:val="bottom"/>
          </w:tcPr>
          <w:p>
            <w:pPr>
              <w:jc w:val="right"/>
              <w:ind w:right="368"/>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7"/>
                <w:szCs w:val="17"/>
                <w:color w:val="auto"/>
              </w:rPr>
            </w:pPr>
          </w:p>
        </w:tc>
        <w:tc>
          <w:tcPr>
            <w:tcW w:w="1140" w:type="dxa"/>
            <w:vAlign w:val="bottom"/>
          </w:tcPr>
          <w:p>
            <w:pPr>
              <w:jc w:val="right"/>
              <w:ind w:right="308"/>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7"/>
                <w:szCs w:val="17"/>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rPr>
              <w:t>(Loss) Income</w:t>
            </w:r>
          </w:p>
        </w:tc>
        <w:tc>
          <w:tcPr>
            <w:tcW w:w="200" w:type="dxa"/>
            <w:vAlign w:val="bottom"/>
          </w:tcPr>
          <w:p>
            <w:pPr>
              <w:spacing w:after="0"/>
              <w:rPr>
                <w:sz w:val="17"/>
                <w:szCs w:val="17"/>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97"/>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236,440,840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14,186,450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879,413,385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1,042,461,388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1,927,244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1,937,988,467</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476,688</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28,601</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3,295,546</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3,324,147</w:t>
            </w:r>
          </w:p>
        </w:tc>
        <w:tc>
          <w:tcPr>
            <w:tcW w:w="0" w:type="dxa"/>
            <w:vAlign w:val="bottom"/>
          </w:tcPr>
          <w:p>
            <w:pPr>
              <w:spacing w:after="0"/>
              <w:rPr>
                <w:sz w:val="1"/>
                <w:szCs w:val="1"/>
                <w:color w:val="auto"/>
              </w:rPr>
            </w:pPr>
          </w:p>
        </w:tc>
      </w:tr>
      <w:tr>
        <w:trPr>
          <w:trHeight w:val="216"/>
        </w:trPr>
        <w:tc>
          <w:tcPr>
            <w:tcW w:w="1160" w:type="dxa"/>
            <w:vAlign w:val="bottom"/>
          </w:tcPr>
          <w:p>
            <w:pPr>
              <w:jc w:val="right"/>
              <w:ind w:right="28"/>
              <w:spacing w:after="0"/>
              <w:rPr>
                <w:sz w:val="20"/>
                <w:szCs w:val="20"/>
                <w:color w:val="auto"/>
              </w:rPr>
            </w:pPr>
            <w:r>
              <w:rPr>
                <w:rFonts w:ascii="Arial" w:cs="Arial" w:eastAsia="Arial" w:hAnsi="Arial"/>
                <w:sz w:val="14"/>
                <w:szCs w:val="14"/>
                <w:color w:val="auto"/>
              </w:rPr>
              <w:t>(2,440,190)</w:t>
            </w:r>
          </w:p>
        </w:tc>
        <w:tc>
          <w:tcPr>
            <w:tcW w:w="2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(146,411)</w:t>
            </w:r>
          </w:p>
        </w:tc>
        <w:tc>
          <w:tcPr>
            <w:tcW w:w="2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(8,125,830)</w:t>
            </w:r>
          </w:p>
        </w:tc>
        <w:tc>
          <w:tcPr>
            <w:tcW w:w="2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(62,979,781)</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(71,252,022)</w:t>
            </w:r>
          </w:p>
        </w:tc>
        <w:tc>
          <w:tcPr>
            <w:tcW w:w="0" w:type="dxa"/>
            <w:vAlign w:val="bottom"/>
          </w:tcPr>
          <w:p>
            <w:pPr>
              <w:spacing w:after="0"/>
              <w:rPr>
                <w:sz w:val="1"/>
                <w:szCs w:val="1"/>
                <w:color w:val="auto"/>
              </w:rPr>
            </w:pPr>
          </w:p>
        </w:tc>
      </w:tr>
      <w:tr>
        <w:trPr>
          <w:trHeight w:val="540"/>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6,788,337</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6,788,337</w:t>
            </w:r>
          </w:p>
        </w:tc>
        <w:tc>
          <w:tcPr>
            <w:tcW w:w="0" w:type="dxa"/>
            <w:vAlign w:val="bottom"/>
          </w:tcPr>
          <w:p>
            <w:pPr>
              <w:spacing w:after="0"/>
              <w:rPr>
                <w:sz w:val="1"/>
                <w:szCs w:val="1"/>
                <w:color w:val="auto"/>
              </w:rPr>
            </w:pPr>
          </w:p>
        </w:tc>
      </w:tr>
      <w:tr>
        <w:trPr>
          <w:trHeight w:val="243"/>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(28,354,003)</w:t>
            </w:r>
          </w:p>
        </w:tc>
        <w:tc>
          <w:tcPr>
            <w:tcW w:w="18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(28,354,003)</w:t>
            </w:r>
          </w:p>
        </w:tc>
        <w:tc>
          <w:tcPr>
            <w:tcW w:w="0" w:type="dxa"/>
            <w:vAlign w:val="bottom"/>
          </w:tcPr>
          <w:p>
            <w:pPr>
              <w:spacing w:after="0"/>
              <w:rPr>
                <w:sz w:val="1"/>
                <w:szCs w:val="1"/>
                <w:color w:val="auto"/>
              </w:rPr>
            </w:pPr>
          </w:p>
        </w:tc>
      </w:tr>
      <w:tr>
        <w:trPr>
          <w:trHeight w:val="216"/>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87,528,626</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87,528,626</w:t>
            </w:r>
          </w:p>
        </w:tc>
        <w:tc>
          <w:tcPr>
            <w:tcW w:w="0" w:type="dxa"/>
            <w:vAlign w:val="bottom"/>
          </w:tcPr>
          <w:p>
            <w:pPr>
              <w:spacing w:after="0"/>
              <w:rPr>
                <w:sz w:val="1"/>
                <w:szCs w:val="1"/>
                <w:color w:val="auto"/>
              </w:rPr>
            </w:pPr>
          </w:p>
        </w:tc>
      </w:tr>
      <w:tr>
        <w:trPr>
          <w:trHeight w:val="220"/>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(7,054,652)</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(7,054,652)</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234,477,338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14,068,640</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881,371,438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1,038,656,230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(5,127,408)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1,928,968,900</w:t>
            </w:r>
          </w:p>
        </w:tc>
        <w:tc>
          <w:tcPr>
            <w:tcW w:w="0" w:type="dxa"/>
            <w:vAlign w:val="bottom"/>
          </w:tcPr>
          <w:p>
            <w:pPr>
              <w:spacing w:after="0"/>
              <w:rPr>
                <w:sz w:val="1"/>
                <w:szCs w:val="1"/>
                <w:color w:val="auto"/>
              </w:rPr>
            </w:pPr>
          </w:p>
        </w:tc>
      </w:tr>
      <w:tr>
        <w:trPr>
          <w:trHeight w:val="24"/>
        </w:trPr>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243,692,869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14,621,572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852,771,508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1,089,698,996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6,851,052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1,963,943,128</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601,020</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36,061</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9,229,779</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9,265,840</w:t>
            </w:r>
          </w:p>
        </w:tc>
        <w:tc>
          <w:tcPr>
            <w:tcW w:w="0" w:type="dxa"/>
            <w:vAlign w:val="bottom"/>
          </w:tcPr>
          <w:p>
            <w:pPr>
              <w:spacing w:after="0"/>
              <w:rPr>
                <w:sz w:val="1"/>
                <w:szCs w:val="1"/>
                <w:color w:val="auto"/>
              </w:rPr>
            </w:pPr>
          </w:p>
        </w:tc>
      </w:tr>
      <w:tr>
        <w:trPr>
          <w:trHeight w:val="216"/>
        </w:trPr>
        <w:tc>
          <w:tcPr>
            <w:tcW w:w="1160" w:type="dxa"/>
            <w:vAlign w:val="bottom"/>
          </w:tcPr>
          <w:p>
            <w:pPr>
              <w:jc w:val="right"/>
              <w:ind w:right="28"/>
              <w:spacing w:after="0"/>
              <w:rPr>
                <w:sz w:val="20"/>
                <w:szCs w:val="20"/>
                <w:color w:val="auto"/>
              </w:rPr>
            </w:pPr>
            <w:r>
              <w:rPr>
                <w:rFonts w:ascii="Arial" w:cs="Arial" w:eastAsia="Arial" w:hAnsi="Arial"/>
                <w:sz w:val="14"/>
                <w:szCs w:val="14"/>
                <w:color w:val="auto"/>
              </w:rPr>
              <w:t>(2,755,065)</w:t>
            </w:r>
          </w:p>
        </w:tc>
        <w:tc>
          <w:tcPr>
            <w:tcW w:w="2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(165,304)</w:t>
            </w:r>
          </w:p>
        </w:tc>
        <w:tc>
          <w:tcPr>
            <w:tcW w:w="2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(8,540,700)</w:t>
            </w:r>
          </w:p>
        </w:tc>
        <w:tc>
          <w:tcPr>
            <w:tcW w:w="2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(88,986,759)</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(97,692,763)</w:t>
            </w:r>
          </w:p>
        </w:tc>
        <w:tc>
          <w:tcPr>
            <w:tcW w:w="0" w:type="dxa"/>
            <w:vAlign w:val="bottom"/>
          </w:tcPr>
          <w:p>
            <w:pPr>
              <w:spacing w:after="0"/>
              <w:rPr>
                <w:sz w:val="1"/>
                <w:szCs w:val="1"/>
                <w:color w:val="auto"/>
              </w:rPr>
            </w:pPr>
          </w:p>
        </w:tc>
      </w:tr>
      <w:tr>
        <w:trPr>
          <w:trHeight w:val="540"/>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5,894,645</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5,894,645</w:t>
            </w:r>
          </w:p>
        </w:tc>
        <w:tc>
          <w:tcPr>
            <w:tcW w:w="0" w:type="dxa"/>
            <w:vAlign w:val="bottom"/>
          </w:tcPr>
          <w:p>
            <w:pPr>
              <w:spacing w:after="0"/>
              <w:rPr>
                <w:sz w:val="1"/>
                <w:szCs w:val="1"/>
                <w:color w:val="auto"/>
              </w:rPr>
            </w:pPr>
          </w:p>
        </w:tc>
      </w:tr>
      <w:tr>
        <w:trPr>
          <w:trHeight w:val="243"/>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(28,984,621)</w:t>
            </w:r>
          </w:p>
        </w:tc>
        <w:tc>
          <w:tcPr>
            <w:tcW w:w="18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(28,984,621)</w:t>
            </w:r>
          </w:p>
        </w:tc>
        <w:tc>
          <w:tcPr>
            <w:tcW w:w="0" w:type="dxa"/>
            <w:vAlign w:val="bottom"/>
          </w:tcPr>
          <w:p>
            <w:pPr>
              <w:spacing w:after="0"/>
              <w:rPr>
                <w:sz w:val="1"/>
                <w:szCs w:val="1"/>
                <w:color w:val="auto"/>
              </w:rPr>
            </w:pPr>
          </w:p>
        </w:tc>
      </w:tr>
      <w:tr>
        <w:trPr>
          <w:trHeight w:val="216"/>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113,450,870</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113,450,870</w:t>
            </w:r>
          </w:p>
        </w:tc>
        <w:tc>
          <w:tcPr>
            <w:tcW w:w="0" w:type="dxa"/>
            <w:vAlign w:val="bottom"/>
          </w:tcPr>
          <w:p>
            <w:pPr>
              <w:spacing w:after="0"/>
              <w:rPr>
                <w:sz w:val="1"/>
                <w:szCs w:val="1"/>
                <w:color w:val="auto"/>
              </w:rPr>
            </w:pPr>
          </w:p>
        </w:tc>
      </w:tr>
      <w:tr>
        <w:trPr>
          <w:trHeight w:val="220"/>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(4,896,385)</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(4,896,385)</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241,538,824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14,492,329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859,355,232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1,085,178,486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1,954,667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1,960,980,714</w:t>
            </w:r>
          </w:p>
        </w:tc>
        <w:tc>
          <w:tcPr>
            <w:tcW w:w="0" w:type="dxa"/>
            <w:vAlign w:val="bottom"/>
          </w:tcPr>
          <w:p>
            <w:pPr>
              <w:spacing w:after="0"/>
              <w:rPr>
                <w:sz w:val="1"/>
                <w:szCs w:val="1"/>
                <w:color w:val="auto"/>
              </w:rPr>
            </w:pPr>
          </w:p>
        </w:tc>
      </w:tr>
      <w:tr>
        <w:trPr>
          <w:trHeight w:val="25"/>
        </w:trPr>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-3068320</wp:posOffset>
            </wp:positionV>
            <wp:extent cx="711517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-2691130</wp:posOffset>
            </wp:positionV>
            <wp:extent cx="711517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-2211070</wp:posOffset>
            </wp:positionV>
            <wp:extent cx="711517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-1919605</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-1628140</wp:posOffset>
            </wp:positionV>
            <wp:extent cx="71151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-1319530</wp:posOffset>
            </wp:positionV>
            <wp:extent cx="711517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-942340</wp:posOffset>
            </wp:positionV>
            <wp:extent cx="711517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34290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-445135</wp:posOffset>
            </wp:positionV>
            <wp:extent cx="711517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-170815</wp:posOffset>
            </wp:positionV>
            <wp:extent cx="711517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3340" w:space="40"/>
            <w:col w:w="7820"/>
          </w:cols>
          <w:pgMar w:left="36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type w:val="continuous"/>
        </w:sectPr>
      </w:pPr>
    </w:p>
    <w:bookmarkStart w:id="6" w:name="page7"/>
    <w:bookmarkEnd w:id="6"/>
    <w:p>
      <w:pPr>
        <w:jc w:val="center"/>
        <w:ind w:right="60"/>
        <w:spacing w:after="0" w:line="395"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Three Months Ended March 31, 2022 and 2021</w:t>
      </w:r>
    </w:p>
    <w:tbl>
      <w:tblPr>
        <w:tblLayout w:type="fixed"/>
        <w:tblInd w:w="0" w:type="dxa"/>
        <w:tblCellMar>
          <w:top w:w="0" w:type="dxa"/>
          <w:left w:w="0" w:type="dxa"/>
          <w:bottom w:w="0" w:type="dxa"/>
          <w:right w:w="0" w:type="dxa"/>
        </w:tblCellMar>
      </w:tblPr>
      <w:tr>
        <w:trPr>
          <w:trHeight w:val="197"/>
        </w:trPr>
        <w:tc>
          <w:tcPr>
            <w:tcW w:w="7300" w:type="dxa"/>
            <w:vAlign w:val="bottom"/>
            <w:vMerge w:val="restart"/>
          </w:tcPr>
          <w:p>
            <w:pPr>
              <w:ind w:left="20"/>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87,528,626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113,450,870</w:t>
            </w:r>
          </w:p>
        </w:tc>
        <w:tc>
          <w:tcPr>
            <w:tcW w:w="0" w:type="dxa"/>
            <w:vAlign w:val="bottom"/>
          </w:tcPr>
          <w:p>
            <w:pPr>
              <w:spacing w:after="0"/>
              <w:rPr>
                <w:sz w:val="1"/>
                <w:szCs w:val="1"/>
                <w:color w:val="auto"/>
              </w:rPr>
            </w:pPr>
          </w:p>
        </w:tc>
      </w:tr>
      <w:tr>
        <w:trPr>
          <w:trHeight w:val="230"/>
        </w:trPr>
        <w:tc>
          <w:tcPr>
            <w:tcW w:w="730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24,711,500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25,599,131</w:t>
            </w:r>
          </w:p>
        </w:tc>
        <w:tc>
          <w:tcPr>
            <w:tcW w:w="0" w:type="dxa"/>
            <w:vAlign w:val="bottom"/>
          </w:tcPr>
          <w:p>
            <w:pPr>
              <w:spacing w:after="0"/>
              <w:rPr>
                <w:sz w:val="1"/>
                <w:szCs w:val="1"/>
                <w:color w:val="auto"/>
              </w:rPr>
            </w:pPr>
          </w:p>
        </w:tc>
      </w:tr>
      <w:tr>
        <w:trPr>
          <w:trHeight w:val="230"/>
        </w:trPr>
        <w:tc>
          <w:tcPr>
            <w:tcW w:w="7300" w:type="dxa"/>
            <w:vAlign w:val="bottom"/>
          </w:tcPr>
          <w:p>
            <w:pPr>
              <w:ind w:left="560"/>
              <w:spacing w:after="0"/>
              <w:rPr>
                <w:sz w:val="20"/>
                <w:szCs w:val="20"/>
                <w:color w:val="auto"/>
              </w:rPr>
            </w:pPr>
            <w:r>
              <w:rPr>
                <w:rFonts w:ascii="Arial" w:cs="Arial" w:eastAsia="Arial" w:hAnsi="Arial"/>
                <w:sz w:val="18"/>
                <w:szCs w:val="18"/>
                <w:color w:val="auto"/>
              </w:rPr>
              <w:t>(Gain) on disposal of assets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(33,982)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disposal of assets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131,490</w:t>
            </w:r>
          </w:p>
        </w:tc>
        <w:tc>
          <w:tcPr>
            <w:tcW w:w="0" w:type="dxa"/>
            <w:vAlign w:val="bottom"/>
          </w:tcPr>
          <w:p>
            <w:pPr>
              <w:spacing w:after="0"/>
              <w:rPr>
                <w:sz w:val="1"/>
                <w:szCs w:val="1"/>
                <w:color w:val="auto"/>
              </w:rPr>
            </w:pPr>
          </w:p>
        </w:tc>
      </w:tr>
      <w:tr>
        <w:trPr>
          <w:trHeight w:val="229"/>
        </w:trPr>
        <w:tc>
          <w:tcPr>
            <w:tcW w:w="7300" w:type="dxa"/>
            <w:vAlign w:val="bottom"/>
          </w:tcPr>
          <w:p>
            <w:pPr>
              <w:ind w:left="560"/>
              <w:spacing w:after="0"/>
              <w:rPr>
                <w:sz w:val="20"/>
                <w:szCs w:val="20"/>
                <w:color w:val="auto"/>
              </w:rPr>
            </w:pPr>
            <w:r>
              <w:rPr>
                <w:rFonts w:ascii="Arial" w:cs="Arial" w:eastAsia="Arial" w:hAnsi="Arial"/>
                <w:sz w:val="18"/>
                <w:szCs w:val="18"/>
                <w:color w:val="auto"/>
              </w:rPr>
              <w:t>(Gain) on sale of investments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(367,879)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(486,433)</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sale of investments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41,681</w:t>
            </w:r>
          </w:p>
        </w:tc>
        <w:tc>
          <w:tcPr>
            <w:tcW w:w="0" w:type="dxa"/>
            <w:vAlign w:val="bottom"/>
          </w:tcPr>
          <w:p>
            <w:pPr>
              <w:spacing w:after="0"/>
              <w:rPr>
                <w:sz w:val="1"/>
                <w:szCs w:val="1"/>
                <w:color w:val="auto"/>
              </w:rPr>
            </w:pPr>
          </w:p>
        </w:tc>
      </w:tr>
      <w:tr>
        <w:trPr>
          <w:trHeight w:val="229"/>
        </w:trPr>
        <w:tc>
          <w:tcPr>
            <w:tcW w:w="7300" w:type="dxa"/>
            <w:vAlign w:val="bottom"/>
          </w:tcPr>
          <w:p>
            <w:pPr>
              <w:ind w:left="560"/>
              <w:spacing w:after="0"/>
              <w:rPr>
                <w:sz w:val="20"/>
                <w:szCs w:val="20"/>
                <w:color w:val="auto"/>
              </w:rPr>
            </w:pPr>
            <w:r>
              <w:rPr>
                <w:rFonts w:ascii="Arial" w:cs="Arial" w:eastAsia="Arial" w:hAnsi="Arial"/>
                <w:sz w:val="18"/>
                <w:szCs w:val="18"/>
                <w:color w:val="auto"/>
              </w:rPr>
              <w:t>Change in deferred income taxes</w:t>
            </w:r>
          </w:p>
        </w:tc>
        <w:tc>
          <w:tcPr>
            <w:tcW w:w="4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(1,544,501)</w:t>
            </w:r>
          </w:p>
        </w:tc>
        <w:tc>
          <w:tcPr>
            <w:tcW w:w="0" w:type="dxa"/>
            <w:vAlign w:val="bottom"/>
          </w:tcPr>
          <w:p>
            <w:pPr>
              <w:spacing w:after="0"/>
              <w:rPr>
                <w:sz w:val="1"/>
                <w:szCs w:val="1"/>
                <w:color w:val="auto"/>
              </w:rPr>
            </w:pPr>
          </w:p>
        </w:tc>
      </w:tr>
      <w:tr>
        <w:trPr>
          <w:trHeight w:val="176"/>
        </w:trPr>
        <w:tc>
          <w:tcPr>
            <w:tcW w:w="73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Stock-based compensation expense related to employee stock options, employee</w:t>
            </w:r>
          </w:p>
        </w:tc>
        <w:tc>
          <w:tcPr>
            <w:tcW w:w="4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6,788,337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5,894,645</w:t>
            </w: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stock purchases and restricted stock</w:t>
            </w:r>
          </w:p>
        </w:tc>
        <w:tc>
          <w:tcPr>
            <w:tcW w:w="44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560"/>
              <w:spacing w:after="0"/>
              <w:rPr>
                <w:sz w:val="20"/>
                <w:szCs w:val="20"/>
                <w:color w:val="auto"/>
              </w:rPr>
            </w:pPr>
            <w:r>
              <w:rPr>
                <w:rFonts w:ascii="Arial" w:cs="Arial" w:eastAsia="Arial" w:hAnsi="Arial"/>
                <w:sz w:val="18"/>
                <w:szCs w:val="18"/>
                <w:color w:val="auto"/>
              </w:rPr>
              <w:t>Change in operating assets and liabilities: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Accounts receivable, net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(31,666,772)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7,253,692</w:t>
            </w:r>
          </w:p>
        </w:tc>
        <w:tc>
          <w:tcPr>
            <w:tcW w:w="0" w:type="dxa"/>
            <w:vAlign w:val="bottom"/>
          </w:tcPr>
          <w:p>
            <w:pPr>
              <w:spacing w:after="0"/>
              <w:rPr>
                <w:sz w:val="1"/>
                <w:szCs w:val="1"/>
                <w:color w:val="auto"/>
              </w:rPr>
            </w:pPr>
          </w:p>
        </w:tc>
      </w:tr>
      <w:tr>
        <w:trPr>
          <w:trHeight w:val="229"/>
        </w:trPr>
        <w:tc>
          <w:tcPr>
            <w:tcW w:w="7300" w:type="dxa"/>
            <w:vAlign w:val="bottom"/>
          </w:tcPr>
          <w:p>
            <w:pPr>
              <w:ind w:left="76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(46,469,079)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(6,768,464)</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Prepaid expenses and other</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16,082,077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768,229</w:t>
            </w:r>
          </w:p>
        </w:tc>
        <w:tc>
          <w:tcPr>
            <w:tcW w:w="0" w:type="dxa"/>
            <w:vAlign w:val="bottom"/>
          </w:tcPr>
          <w:p>
            <w:pPr>
              <w:spacing w:after="0"/>
              <w:rPr>
                <w:sz w:val="1"/>
                <w:szCs w:val="1"/>
                <w:color w:val="auto"/>
              </w:rPr>
            </w:pPr>
          </w:p>
        </w:tc>
      </w:tr>
      <w:tr>
        <w:trPr>
          <w:trHeight w:val="229"/>
        </w:trPr>
        <w:tc>
          <w:tcPr>
            <w:tcW w:w="730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42,968,193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22,277,513</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Accrued liabilities, excluding dividends declared and short-term debt</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15,702,241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24,233,539</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115,958,543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190,849,001</w:t>
            </w:r>
          </w:p>
        </w:tc>
        <w:tc>
          <w:tcPr>
            <w:tcW w:w="0" w:type="dxa"/>
            <w:vAlign w:val="bottom"/>
          </w:tcPr>
          <w:p>
            <w:pPr>
              <w:spacing w:after="0"/>
              <w:rPr>
                <w:sz w:val="1"/>
                <w:szCs w:val="1"/>
                <w:color w:val="auto"/>
              </w:rPr>
            </w:pPr>
          </w:p>
        </w:tc>
      </w:tr>
      <w:tr>
        <w:trPr>
          <w:trHeight w:val="156"/>
        </w:trPr>
        <w:tc>
          <w:tcPr>
            <w:tcW w:w="73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Activity in available-for-sale securities: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340"/>
              <w:spacing w:after="0"/>
              <w:rPr>
                <w:sz w:val="20"/>
                <w:szCs w:val="20"/>
                <w:color w:val="auto"/>
              </w:rPr>
            </w:pPr>
            <w:r>
              <w:rPr>
                <w:rFonts w:ascii="Arial" w:cs="Arial" w:eastAsia="Arial" w:hAnsi="Arial"/>
                <w:sz w:val="18"/>
                <w:szCs w:val="18"/>
                <w:color w:val="auto"/>
              </w:rPr>
              <w:t>Sales proceeds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37,158,611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15,019,323</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and calls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30"/>
        </w:trPr>
        <w:tc>
          <w:tcPr>
            <w:tcW w:w="730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(15,889,063)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(31,379,609)</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and equipment additions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(23,892,169)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(12,599,388)</w:t>
            </w:r>
          </w:p>
        </w:tc>
        <w:tc>
          <w:tcPr>
            <w:tcW w:w="0" w:type="dxa"/>
            <w:vAlign w:val="bottom"/>
          </w:tcPr>
          <w:p>
            <w:pPr>
              <w:spacing w:after="0"/>
              <w:rPr>
                <w:sz w:val="1"/>
                <w:szCs w:val="1"/>
                <w:color w:val="auto"/>
              </w:rPr>
            </w:pPr>
          </w:p>
        </w:tc>
      </w:tr>
      <w:tr>
        <w:trPr>
          <w:trHeight w:val="230"/>
        </w:trPr>
        <w:tc>
          <w:tcPr>
            <w:tcW w:w="7300" w:type="dxa"/>
            <w:vAlign w:val="bottom"/>
          </w:tcPr>
          <w:p>
            <w:pPr>
              <w:ind w:left="220"/>
              <w:spacing w:after="0"/>
              <w:rPr>
                <w:sz w:val="20"/>
                <w:szCs w:val="20"/>
                <w:color w:val="auto"/>
              </w:rPr>
            </w:pPr>
            <w:r>
              <w:rPr>
                <w:rFonts w:ascii="Arial" w:cs="Arial" w:eastAsia="Arial" w:hAnsi="Arial"/>
                <w:sz w:val="18"/>
                <w:szCs w:val="18"/>
                <w:color w:val="auto"/>
              </w:rPr>
              <w:t>Proceeds from sale of plant and equipment</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33,740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17,744</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businesses, net of cash acquired</w:t>
            </w: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(12,023,440)</w:t>
            </w:r>
          </w:p>
        </w:tc>
        <w:tc>
          <w:tcPr>
            <w:tcW w:w="0" w:type="dxa"/>
            <w:vAlign w:val="bottom"/>
          </w:tcPr>
          <w:p>
            <w:pPr>
              <w:spacing w:after="0"/>
              <w:rPr>
                <w:sz w:val="1"/>
                <w:szCs w:val="1"/>
                <w:color w:val="auto"/>
              </w:rPr>
            </w:pPr>
          </w:p>
        </w:tc>
      </w:tr>
      <w:tr>
        <w:trPr>
          <w:trHeight w:val="229"/>
        </w:trPr>
        <w:tc>
          <w:tcPr>
            <w:tcW w:w="7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 in other assets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(455,419)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(1,643,884)</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for investing activities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(2,044,300)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(40,609,254)</w:t>
            </w: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220"/>
              <w:spacing w:after="0"/>
              <w:rPr>
                <w:sz w:val="20"/>
                <w:szCs w:val="20"/>
                <w:color w:val="auto"/>
              </w:rPr>
            </w:pPr>
            <w:r>
              <w:rPr>
                <w:rFonts w:ascii="Arial" w:cs="Arial" w:eastAsia="Arial" w:hAnsi="Arial"/>
                <w:sz w:val="18"/>
                <w:szCs w:val="18"/>
                <w:color w:val="auto"/>
              </w:rPr>
              <w:t>Issuance of common stock from stock plan transactions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3,324,147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9,265,840</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paid</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(28,589,625)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(29,243,108)</w:t>
            </w:r>
          </w:p>
        </w:tc>
        <w:tc>
          <w:tcPr>
            <w:tcW w:w="0" w:type="dxa"/>
            <w:vAlign w:val="bottom"/>
          </w:tcPr>
          <w:p>
            <w:pPr>
              <w:spacing w:after="0"/>
              <w:rPr>
                <w:sz w:val="1"/>
                <w:szCs w:val="1"/>
                <w:color w:val="auto"/>
              </w:rPr>
            </w:pPr>
          </w:p>
        </w:tc>
      </w:tr>
      <w:tr>
        <w:trPr>
          <w:trHeight w:val="230"/>
        </w:trPr>
        <w:tc>
          <w:tcPr>
            <w:tcW w:w="7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Repurchases of common stock</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(71,252,022)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(97,692,763)</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for) financing activities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(96,517,500)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(117,670,032)</w:t>
            </w:r>
          </w:p>
        </w:tc>
        <w:tc>
          <w:tcPr>
            <w:tcW w:w="0" w:type="dxa"/>
            <w:vAlign w:val="bottom"/>
          </w:tcPr>
          <w:p>
            <w:pPr>
              <w:spacing w:after="0"/>
              <w:rPr>
                <w:sz w:val="1"/>
                <w:szCs w:val="1"/>
                <w:color w:val="auto"/>
              </w:rPr>
            </w:pPr>
          </w:p>
        </w:tc>
      </w:tr>
      <w:tr>
        <w:trPr>
          <w:trHeight w:val="129"/>
        </w:trPr>
        <w:tc>
          <w:tcPr>
            <w:tcW w:w="7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17,396,743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32,569,715</w:t>
            </w:r>
          </w:p>
        </w:tc>
        <w:tc>
          <w:tcPr>
            <w:tcW w:w="0" w:type="dxa"/>
            <w:vAlign w:val="bottom"/>
          </w:tcPr>
          <w:p>
            <w:pPr>
              <w:spacing w:after="0"/>
              <w:rPr>
                <w:sz w:val="1"/>
                <w:szCs w:val="1"/>
                <w:color w:val="auto"/>
              </w:rPr>
            </w:pPr>
          </w:p>
        </w:tc>
      </w:tr>
      <w:tr>
        <w:trPr>
          <w:trHeight w:val="148"/>
        </w:trPr>
        <w:tc>
          <w:tcPr>
            <w:tcW w:w="7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262,311,670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423,371,036</w:t>
            </w:r>
          </w:p>
        </w:tc>
        <w:tc>
          <w:tcPr>
            <w:tcW w:w="0" w:type="dxa"/>
            <w:vAlign w:val="bottom"/>
          </w:tcPr>
          <w:p>
            <w:pPr>
              <w:spacing w:after="0"/>
              <w:rPr>
                <w:sz w:val="1"/>
                <w:szCs w:val="1"/>
                <w:color w:val="auto"/>
              </w:rPr>
            </w:pPr>
          </w:p>
        </w:tc>
      </w:tr>
      <w:tr>
        <w:trPr>
          <w:trHeight w:val="128"/>
        </w:trPr>
        <w:tc>
          <w:tcPr>
            <w:tcW w:w="7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279,708,413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455,940,751</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2021 annual report on Form 10-K. In the opinion of management, the accompanying unaudited condensed consolidated financial statements contain all adjustments, consisting of only a normal and recurring nature, necessary to present fairly the financial position of the Company as of March 31, 2022, and the results of operations and cash flows for the interim periods presented.</w:t>
      </w:r>
    </w:p>
    <w:p>
      <w:pPr>
        <w:spacing w:after="0" w:line="208"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52" w:lineRule="exact"/>
        <w:rPr>
          <w:sz w:val="20"/>
          <w:szCs w:val="20"/>
          <w:color w:val="auto"/>
        </w:rPr>
      </w:pPr>
    </w:p>
    <w:p>
      <w:pPr>
        <w:jc w:val="both"/>
        <w:ind w:left="660"/>
        <w:spacing w:after="0" w:line="245"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in 2013; $3.7 million as part of the acquisition of Vaporsens, Inc. ("Vaporsens") in the second quarter of 2020; $ 0.2 million as part of the acquisition of Air-Craftglass Production BV ("Air-Craftglass") in the third quarter of 2020; $1.0 million as a part of the acquisition of Argil, Inc. ("Argil") in the fourth quarter of 2020; and $2.0 million as part of the acquisition of Guardian Optical Technologies ("Guardian") in the first quarter of 2021. The carrying value of Goodwill as of both March 31, 2022 and December 31, 2021 was $313.9 million and $314.0 million, respectively, as set forth in the table below:</w:t>
      </w:r>
    </w:p>
    <w:p>
      <w:pPr>
        <w:spacing w:after="0" w:line="263" w:lineRule="exact"/>
        <w:rPr>
          <w:sz w:val="20"/>
          <w:szCs w:val="20"/>
          <w:color w:val="auto"/>
        </w:rPr>
      </w:pPr>
    </w:p>
    <w:tbl>
      <w:tblPr>
        <w:tblLayout w:type="fixed"/>
        <w:tblInd w:w="840" w:type="dxa"/>
        <w:tblCellMar>
          <w:top w:w="0" w:type="dxa"/>
          <w:left w:w="0" w:type="dxa"/>
          <w:bottom w:w="0" w:type="dxa"/>
          <w:right w:w="0" w:type="dxa"/>
        </w:tblCellMar>
      </w:tblPr>
      <w:tr>
        <w:trPr>
          <w:trHeight w:val="203"/>
        </w:trPr>
        <w:tc>
          <w:tcPr>
            <w:tcW w:w="7580" w:type="dxa"/>
            <w:vAlign w:val="bottom"/>
            <w:shd w:val="clear" w:color="auto" w:fill="CCEEFF"/>
          </w:tcPr>
          <w:p>
            <w:pPr>
              <w:spacing w:after="0"/>
              <w:rPr>
                <w:sz w:val="17"/>
                <w:szCs w:val="17"/>
                <w:color w:val="auto"/>
              </w:rPr>
            </w:pPr>
          </w:p>
        </w:tc>
        <w:tc>
          <w:tcPr>
            <w:tcW w:w="2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Carrying Amount</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Balance as of December 31, 2021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313,960,209</w:t>
            </w:r>
          </w:p>
        </w:tc>
      </w:tr>
      <w:tr>
        <w:trPr>
          <w:trHeight w:val="23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Divestitures</w:t>
            </w:r>
          </w:p>
        </w:tc>
        <w:tc>
          <w:tcPr>
            <w:tcW w:w="5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(31,295)</w:t>
            </w:r>
          </w:p>
        </w:tc>
      </w:tr>
      <w:tr>
        <w:trPr>
          <w:trHeight w:val="248"/>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2022</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313,928,914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The impact of COVID-19, the recent microchip shortage, supply chain constraints, and labor shortages were again considered in the most recently completed quarter, but did not indicate the need for interim impairment testing.</w:t>
      </w:r>
    </w:p>
    <w:p>
      <w:pPr>
        <w:spacing w:after="0" w:line="210"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The Company also acquired In-Process Research &amp; Development ("I P R &amp; D") as part of the acquisitions of: Vaporsens; Air-Craftglass; Argil; and Guardian, each of which has been previously disclosed.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 w:name="page9"/>
    <w:bookmarkEnd w:id="8"/>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32"/>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5"/>
        </w:trPr>
        <w:tc>
          <w:tcPr>
            <w:tcW w:w="4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39,290,691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(26,730,389)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12,560,302</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Vaporsens Technology Licenses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351,290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(67,367)</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283,923</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(127,500,000)</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52,500,000</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Existing Customer Platforms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(36,550,000)</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Exclusive Licensing Agreement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96,000,000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96,000,000</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Vaporsens In-Process R&amp;D</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Argil In-Process R&amp;D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6,278,132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6,278,132</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Air-Craftglass In-Process R&amp;D</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1,507,778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1,507,778</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Guardian Trade Names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1,302,844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1,302,844</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Guardian In-Process R&amp;D</w:t>
            </w: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7,191,049</w:t>
            </w: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7,191,049</w:t>
            </w:r>
          </w:p>
        </w:tc>
        <w:tc>
          <w:tcPr>
            <w:tcW w:w="40" w:type="dxa"/>
            <w:vAlign w:val="bottom"/>
            <w:tcBorders>
              <w:bottom w:val="single" w:sz="8" w:color="auto"/>
            </w:tcBorders>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398,279,803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(164,050,000)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234,229,803</w:t>
            </w:r>
          </w:p>
        </w:tc>
        <w:tc>
          <w:tcPr>
            <w:tcW w:w="4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437,921,784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(190,847,756)</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247,074,028</w:t>
            </w:r>
          </w:p>
        </w:tc>
        <w:tc>
          <w:tcPr>
            <w:tcW w:w="4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As of December 31, 2021:</w:t>
            </w: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4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02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92"/>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Net</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Assumed Useful</w:t>
            </w:r>
          </w:p>
        </w:tc>
        <w:tc>
          <w:tcPr>
            <w:tcW w:w="0" w:type="dxa"/>
            <w:vAlign w:val="bottom"/>
          </w:tcPr>
          <w:p>
            <w:pPr>
              <w:spacing w:after="0"/>
              <w:rPr>
                <w:sz w:val="1"/>
                <w:szCs w:val="1"/>
                <w:color w:val="auto"/>
              </w:rPr>
            </w:pPr>
          </w:p>
        </w:tc>
      </w:tr>
      <w:tr>
        <w:trPr>
          <w:trHeight w:val="189"/>
        </w:trPr>
        <w:tc>
          <w:tcPr>
            <w:tcW w:w="4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39,362,187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(26,506,155)</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12,856,032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Vaporsens Technology Licenses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351,290</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(50,107)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301,183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180,000,000</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(123,750,000)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56,250,000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Existing Customer Platforms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43,000,000</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(35,475,000)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Exclusive Licensing Agreement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96,000,000</w:t>
            </w:r>
          </w:p>
        </w:tc>
        <w:tc>
          <w:tcPr>
            <w:tcW w:w="18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96,000,000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Vaporsens In-Process R&amp;D</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11,000,000</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tcPr>
          <w:p>
            <w:pPr>
              <w:ind w:left="200"/>
              <w:spacing w:after="0"/>
              <w:rPr>
                <w:sz w:val="20"/>
                <w:szCs w:val="20"/>
                <w:color w:val="auto"/>
              </w:rPr>
            </w:pPr>
            <w:r>
              <w:rPr>
                <w:rFonts w:ascii="Arial" w:cs="Arial" w:eastAsia="Arial" w:hAnsi="Arial"/>
                <w:sz w:val="18"/>
                <w:szCs w:val="18"/>
                <w:color w:val="auto"/>
              </w:rPr>
              <w:t>Argil In-Process R&amp;D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6,278,132</w:t>
            </w:r>
          </w:p>
        </w:tc>
        <w:tc>
          <w:tcPr>
            <w:tcW w:w="18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6,278,132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Air-Craftglass In-Process R&amp;D</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1,507,778</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1,507,778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Arial" w:cs="Arial" w:eastAsia="Arial" w:hAnsi="Arial"/>
                <w:sz w:val="18"/>
                <w:szCs w:val="18"/>
                <w:color w:val="auto"/>
              </w:rPr>
              <w:t>Guardian Trade Names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1,384,857</w:t>
            </w:r>
          </w:p>
        </w:tc>
        <w:tc>
          <w:tcPr>
            <w:tcW w:w="18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1,384,857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Guardian In-Process R&amp;D</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7,243,860</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7,243,860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398,414,627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(159,225,000)</w:t>
            </w: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239,189,627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438,128,104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(185,781,262)</w:t>
            </w: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252,346,842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expense on patents and intangible assets was approximately $5.5 million during the three months ended March 31, 2022, and approximately $5.6 million for the same period ended March 31, 2021.</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Excluding the impact of any future acquisitions, the Company estimates amortization expense for the year ending December 31, 2022 to be approximately $ 22 million annually, for the year ending December 31, 2023 to be approximately $20 million, for the year ending December 31, 2024 to be approximately $16</w:t>
      </w:r>
    </w:p>
    <w:p>
      <w:pPr>
        <w:spacing w:after="0" w:line="200" w:lineRule="exact"/>
        <w:rPr>
          <w:sz w:val="20"/>
          <w:szCs w:val="20"/>
          <w:color w:val="auto"/>
        </w:rPr>
      </w:pPr>
    </w:p>
    <w:p>
      <w:pPr>
        <w:spacing w:after="0" w:line="349" w:lineRule="exact"/>
        <w:rPr>
          <w:sz w:val="20"/>
          <w:szCs w:val="20"/>
          <w:color w:val="auto"/>
        </w:rPr>
      </w:pPr>
    </w:p>
    <w:p>
      <w:pPr>
        <w:ind w:left="104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million, and for the years ending December 31, 2025 and December 31, 2026 to be approximately $12 million.</w:t>
      </w:r>
    </w:p>
    <w:p>
      <w:pPr>
        <w:spacing w:after="0" w:line="200" w:lineRule="exact"/>
        <w:rPr>
          <w:sz w:val="20"/>
          <w:szCs w:val="20"/>
          <w:color w:val="auto"/>
        </w:rPr>
      </w:pPr>
    </w:p>
    <w:p>
      <w:pPr>
        <w:spacing w:after="0" w:line="295"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5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0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03"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18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The Company also periodically makes technology investments in certain non-consolidated third-parties. These equity investments are accounted for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Equity investments that do not have readily determinable fair values, and where the Company has not identified any observable events that would cause adjustment of the valuation to date, are then held at cost. These technology investments totaled approximately $18.6 million and $16.8 million as of March 31, 2022 and December 31, 2021, respectively. These investments are classified within Long-Term Investments in the consolidated balance sheets.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or liabilities that have recurring fair value measurements are shown below as of March 31, 2022 and December 31, 2021:</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2022:</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7"/>
          </w:tcPr>
          <w:p>
            <w:pPr>
              <w:jc w:val="center"/>
              <w:ind w:right="7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7"/>
        </w:trPr>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58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60" w:type="dxa"/>
            <w:vAlign w:val="bottom"/>
          </w:tcPr>
          <w:p>
            <w:pPr>
              <w:jc w:val="center"/>
              <w:ind w:right="135"/>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9"/>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Active Markets for</w:t>
            </w:r>
          </w:p>
        </w:tc>
        <w:tc>
          <w:tcPr>
            <w:tcW w:w="180" w:type="dxa"/>
            <w:vAlign w:val="bottom"/>
          </w:tcPr>
          <w:p>
            <w:pPr>
              <w:spacing w:after="0"/>
              <w:rPr>
                <w:sz w:val="12"/>
                <w:szCs w:val="12"/>
                <w:color w:val="auto"/>
              </w:rPr>
            </w:pPr>
          </w:p>
        </w:tc>
        <w:tc>
          <w:tcPr>
            <w:tcW w:w="15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2"/>
                <w:szCs w:val="12"/>
                <w:color w:val="auto"/>
              </w:rPr>
            </w:pPr>
          </w:p>
        </w:tc>
        <w:tc>
          <w:tcPr>
            <w:tcW w:w="1360" w:type="dxa"/>
            <w:vAlign w:val="bottom"/>
          </w:tcPr>
          <w:p>
            <w:pPr>
              <w:jc w:val="center"/>
              <w:ind w:right="115"/>
              <w:spacing w:after="0" w:line="14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6"/>
                <w:szCs w:val="16"/>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tcPr>
          <w:p>
            <w:pPr>
              <w:jc w:val="center"/>
              <w:ind w:right="135"/>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279,708,413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279,708,413</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753,625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2,001,860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2,001,860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1,251,802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2,884,333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2,884,333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Asset Backed Securities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24,781,272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24,781,272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1,767,238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41,177,112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41,177,112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38,685,508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38,685,508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50,853,579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50,853,579</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443,864,742</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285,113,609</w:t>
            </w:r>
          </w:p>
        </w:tc>
        <w:tc>
          <w:tcPr>
            <w:tcW w:w="1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158,751,133</w:t>
            </w:r>
          </w:p>
        </w:tc>
        <w:tc>
          <w:tcPr>
            <w:tcW w:w="1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gridSpan w:val="7"/>
          </w:tcPr>
          <w:p>
            <w:pPr>
              <w:jc w:val="center"/>
              <w:ind w:right="5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3"/>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56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40" w:type="dxa"/>
            <w:vAlign w:val="bottom"/>
          </w:tcPr>
          <w:p>
            <w:pPr>
              <w:jc w:val="center"/>
              <w:ind w:right="115"/>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2"/>
                <w:szCs w:val="12"/>
                <w:color w:val="auto"/>
              </w:rPr>
            </w:pPr>
          </w:p>
        </w:tc>
        <w:tc>
          <w:tcPr>
            <w:tcW w:w="15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2"/>
                <w:szCs w:val="12"/>
                <w:color w:val="auto"/>
              </w:rPr>
            </w:pPr>
          </w:p>
        </w:tc>
        <w:tc>
          <w:tcPr>
            <w:tcW w:w="1340" w:type="dxa"/>
            <w:vAlign w:val="bottom"/>
          </w:tcPr>
          <w:p>
            <w:pPr>
              <w:jc w:val="center"/>
              <w:ind w:right="115"/>
              <w:spacing w:after="0" w:line="13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97"/>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1340" w:type="dxa"/>
            <w:vAlign w:val="bottom"/>
          </w:tcPr>
          <w:p>
            <w:pPr>
              <w:jc w:val="center"/>
              <w:ind w:right="115"/>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262,311,670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262,311,670</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1,507,770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2,018,440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2,018,440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25,799,513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25,799,513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2,056,710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2,056,710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40,354,929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40,354,929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Arial" w:cs="Arial" w:eastAsia="Arial" w:hAnsi="Arial"/>
                <w:sz w:val="18"/>
                <w:szCs w:val="18"/>
                <w:color w:val="auto"/>
              </w:rPr>
              <w:t>Governmental Securities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47,944,036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47,944,036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74,720,480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74,720,480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458,610,950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267,773,552</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190,837,398</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gains and losses, and market value of investment securities are shown as of March 31, 2022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7"/>
        </w:trPr>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7"/>
                <w:szCs w:val="17"/>
                <w:color w:val="auto"/>
              </w:rPr>
            </w:pPr>
          </w:p>
        </w:tc>
        <w:tc>
          <w:tcPr>
            <w:tcW w:w="1480" w:type="dxa"/>
            <w:vAlign w:val="bottom"/>
          </w:tcPr>
          <w:p>
            <w:pPr>
              <w:jc w:val="right"/>
              <w:ind w:right="352"/>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751,354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753,625</w:t>
            </w: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1,996,774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2,001,860</w:t>
            </w: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1,250,203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1,251,802</w:t>
            </w: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2,884,333</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 Backed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25,406,929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24,781,272</w:t>
            </w: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1,767,238</w:t>
            </w: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43,589,074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(2,411,962)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41,177,112</w:t>
            </w: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40,547,178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(1,861,670)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38,685,508</w:t>
            </w: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52,501,468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254,830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(1,902,719)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50,853,579</w:t>
            </w: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170,677,313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284,003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(6,804,987)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164,156,329</w:t>
            </w:r>
          </w:p>
        </w:tc>
      </w:tr>
      <w:tr>
        <w:trPr>
          <w:trHeight w:val="20"/>
        </w:trPr>
        <w:tc>
          <w:tcPr>
            <w:tcW w:w="3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1" w:name="page12"/>
    <w:bookmarkEnd w:id="1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7"/>
        </w:trPr>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7"/>
                <w:szCs w:val="17"/>
                <w:color w:val="auto"/>
              </w:rPr>
            </w:pPr>
          </w:p>
        </w:tc>
        <w:tc>
          <w:tcPr>
            <w:tcW w:w="1240" w:type="dxa"/>
            <w:vAlign w:val="bottom"/>
          </w:tcPr>
          <w:p>
            <w:pPr>
              <w:jc w:val="right"/>
              <w:ind w:right="192"/>
              <w:spacing w:after="0"/>
              <w:rPr>
                <w:sz w:val="20"/>
                <w:szCs w:val="20"/>
                <w:color w:val="auto"/>
              </w:rPr>
            </w:pPr>
            <w:r>
              <w:rPr>
                <w:rFonts w:ascii="Arial" w:cs="Arial" w:eastAsia="Arial" w:hAnsi="Arial"/>
                <w:sz w:val="14"/>
                <w:szCs w:val="14"/>
                <w:b w:val="1"/>
                <w:bCs w:val="1"/>
                <w:color w:val="auto"/>
              </w:rPr>
              <w:t>Market Value</w:t>
            </w:r>
          </w:p>
        </w:tc>
      </w:tr>
      <w:tr>
        <w:trPr>
          <w:trHeight w:val="211"/>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37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1,500,543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1,507,770</w:t>
            </w:r>
          </w:p>
        </w:tc>
      </w:tr>
      <w:tr>
        <w:trPr>
          <w:trHeight w:val="230"/>
        </w:trPr>
        <w:tc>
          <w:tcPr>
            <w:tcW w:w="3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2,018,440</w:t>
            </w:r>
          </w:p>
        </w:tc>
      </w:tr>
      <w:tr>
        <w:trPr>
          <w:trHeight w:val="229"/>
        </w:trPr>
        <w:tc>
          <w:tcPr>
            <w:tcW w:w="37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6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1,897,402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1,897,402</w:t>
            </w:r>
          </w:p>
        </w:tc>
      </w:tr>
      <w:tr>
        <w:trPr>
          <w:trHeight w:val="229"/>
        </w:trPr>
        <w:tc>
          <w:tcPr>
            <w:tcW w:w="3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37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26,352,630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(587,888)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25,799,513</w:t>
            </w:r>
          </w:p>
        </w:tc>
      </w:tr>
      <w:tr>
        <w:trPr>
          <w:trHeight w:val="229"/>
        </w:trPr>
        <w:tc>
          <w:tcPr>
            <w:tcW w:w="3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2,001,714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2,056,710</w:t>
            </w:r>
          </w:p>
        </w:tc>
      </w:tr>
      <w:tr>
        <w:trPr>
          <w:trHeight w:val="229"/>
        </w:trPr>
        <w:tc>
          <w:tcPr>
            <w:tcW w:w="37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40,716,866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168,416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(530,353)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40,354,929</w:t>
            </w:r>
          </w:p>
        </w:tc>
      </w:tr>
      <w:tr>
        <w:trPr>
          <w:trHeight w:val="230"/>
        </w:trPr>
        <w:tc>
          <w:tcPr>
            <w:tcW w:w="3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48,385,672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47,944,036</w:t>
            </w:r>
          </w:p>
        </w:tc>
      </w:tr>
      <w:tr>
        <w:trPr>
          <w:trHeight w:val="229"/>
        </w:trPr>
        <w:tc>
          <w:tcPr>
            <w:tcW w:w="3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72,175,568</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2,747,964</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(203,052)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74,720,480</w:t>
            </w: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195,025,034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(1,818,868)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196,299,280</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March 31, 2022,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5,817,906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135,887,611</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987,081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10,371,045</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6,804,987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146,258,656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December 31, 2021,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1,244,053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94,417,123</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6,875,230</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1,818,868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101,292,353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Effective January 1, 2020, the Company adopted ASU 2016-13, </w:t>
      </w:r>
      <w:r>
        <w:rPr>
          <w:rFonts w:ascii="Arial" w:cs="Arial" w:eastAsia="Arial" w:hAnsi="Arial"/>
          <w:sz w:val="18"/>
          <w:szCs w:val="18"/>
          <w:i w:val="1"/>
          <w:iCs w:val="1"/>
          <w:color w:val="auto"/>
        </w:rPr>
        <w:t>Financial Instruments - 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w:t>
      </w:r>
      <w:r>
        <w:rPr>
          <w:rFonts w:ascii="Arial" w:cs="Arial" w:eastAsia="Arial" w:hAnsi="Arial"/>
          <w:sz w:val="18"/>
          <w:szCs w:val="18"/>
          <w:color w:val="auto"/>
        </w:rPr>
        <w:t>s. The guidance modifies the impairment model for available-for-sale debt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periods presented. The Company has the intention and current ability to hold its debt investments until any amortized cost basis has been recovered.</w:t>
      </w:r>
    </w:p>
    <w:p>
      <w:pPr>
        <w:sectPr>
          <w:pgSz w:w="11900" w:h="16838" w:orient="portrait"/>
          <w:cols w:equalWidth="0" w:num="1">
            <w:col w:w="10580"/>
          </w:cols>
          <w:pgMar w:left="980" w:top="364" w:right="339" w:bottom="1440" w:gutter="0" w:footer="0" w:header="0"/>
        </w:sect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Fixed income securities as of March 31, 2022 have contractual maturities as follows: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23189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31890" cy="14541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between one and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23189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3189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over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29" w:hanging="1029"/>
        <w:spacing w:after="0"/>
        <w:tabs>
          <w:tab w:leader="none" w:pos="1029" w:val="left"/>
        </w:tabs>
        <w:numPr>
          <w:ilvl w:val="0"/>
          <w:numId w:val="7"/>
        </w:numPr>
        <w:rPr>
          <w:rFonts w:ascii="Arial" w:cs="Arial" w:eastAsia="Arial" w:hAnsi="Arial"/>
          <w:sz w:val="17"/>
          <w:szCs w:val="17"/>
          <w:color w:val="auto"/>
        </w:rPr>
      </w:pPr>
      <w:r>
        <w:rPr>
          <w:rFonts w:ascii="Arial" w:cs="Arial" w:eastAsia="Arial" w:hAnsi="Arial"/>
          <w:sz w:val="17"/>
          <w:szCs w:val="17"/>
          <w:color w:val="auto"/>
        </w:rPr>
        <w:t>4,007,287</w:t>
      </w:r>
    </w:p>
    <w:p>
      <w:pPr>
        <w:spacing w:after="0" w:line="43" w:lineRule="exact"/>
        <w:rPr>
          <w:rFonts w:ascii="Arial" w:cs="Arial" w:eastAsia="Arial" w:hAnsi="Arial"/>
          <w:sz w:val="17"/>
          <w:szCs w:val="17"/>
          <w:color w:val="auto"/>
        </w:rPr>
      </w:pPr>
    </w:p>
    <w:p>
      <w:pPr>
        <w:ind w:left="929"/>
        <w:spacing w:after="0"/>
        <w:rPr>
          <w:rFonts w:ascii="Arial" w:cs="Arial" w:eastAsia="Arial" w:hAnsi="Arial"/>
          <w:sz w:val="17"/>
          <w:szCs w:val="17"/>
          <w:color w:val="auto"/>
        </w:rPr>
      </w:pPr>
      <w:r>
        <w:rPr>
          <w:rFonts w:ascii="Arial" w:cs="Arial" w:eastAsia="Arial" w:hAnsi="Arial"/>
          <w:sz w:val="17"/>
          <w:szCs w:val="17"/>
          <w:color w:val="auto"/>
        </w:rPr>
        <w:t>96,407,502</w:t>
      </w:r>
    </w:p>
    <w:p>
      <w:pPr>
        <w:spacing w:after="0" w:line="34" w:lineRule="exact"/>
        <w:rPr>
          <w:rFonts w:ascii="Arial" w:cs="Arial" w:eastAsia="Arial" w:hAnsi="Arial"/>
          <w:sz w:val="17"/>
          <w:szCs w:val="17"/>
          <w:color w:val="auto"/>
        </w:rPr>
      </w:pPr>
    </w:p>
    <w:p>
      <w:pPr>
        <w:ind w:left="929"/>
        <w:spacing w:after="0"/>
        <w:rPr>
          <w:rFonts w:ascii="Arial" w:cs="Arial" w:eastAsia="Arial" w:hAnsi="Arial"/>
          <w:sz w:val="17"/>
          <w:szCs w:val="17"/>
          <w:color w:val="auto"/>
        </w:rPr>
      </w:pPr>
      <w:r>
        <w:rPr>
          <w:rFonts w:ascii="Arial" w:cs="Arial" w:eastAsia="Arial" w:hAnsi="Arial"/>
          <w:sz w:val="17"/>
          <w:szCs w:val="17"/>
          <w:color w:val="auto"/>
        </w:rPr>
        <w:t>60,857,208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2172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18" w:lineRule="exact"/>
        <w:rPr>
          <w:sz w:val="20"/>
          <w:szCs w:val="20"/>
          <w:color w:val="auto"/>
        </w:rPr>
      </w:pPr>
    </w:p>
    <w:p>
      <w:pPr>
        <w:ind w:left="829" w:hanging="829"/>
        <w:spacing w:after="0"/>
        <w:tabs>
          <w:tab w:leader="none" w:pos="829" w:val="left"/>
        </w:tabs>
        <w:numPr>
          <w:ilvl w:val="0"/>
          <w:numId w:val="8"/>
        </w:numPr>
        <w:rPr>
          <w:rFonts w:ascii="Arial" w:cs="Arial" w:eastAsia="Arial" w:hAnsi="Arial"/>
          <w:sz w:val="17"/>
          <w:szCs w:val="17"/>
          <w:color w:val="auto"/>
        </w:rPr>
      </w:pPr>
      <w:r>
        <w:rPr>
          <w:rFonts w:ascii="Arial" w:cs="Arial" w:eastAsia="Arial" w:hAnsi="Arial"/>
          <w:sz w:val="17"/>
          <w:szCs w:val="17"/>
          <w:color w:val="auto"/>
        </w:rPr>
        <w:t>161,271,997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2172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1729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50800</wp:posOffset>
            </wp:positionV>
            <wp:extent cx="12172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91" w:space="720"/>
            <w:col w:w="2669"/>
          </w:cols>
          <w:pgMar w:left="980" w:top="364" w:right="339"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59"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6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7"/>
                <w:szCs w:val="17"/>
                <w:color w:val="auto"/>
              </w:rPr>
            </w:pPr>
          </w:p>
        </w:tc>
        <w:tc>
          <w:tcPr>
            <w:tcW w:w="152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260,985,427</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235,014,277</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37,592,293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34,032,164</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64,158,801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47,221,001</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362,736,521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316,267,442</w:t>
            </w: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 For a period of net loss, net loss is not allocated to participating securities.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420" w:type="dxa"/>
            <w:vAlign w:val="bottom"/>
          </w:tcPr>
          <w:p>
            <w:pPr>
              <w:spacing w:after="0"/>
              <w:rPr>
                <w:sz w:val="20"/>
                <w:szCs w:val="20"/>
                <w:color w:val="auto"/>
              </w:rPr>
            </w:pPr>
            <w:r>
              <w:rPr>
                <w:rFonts w:ascii="Arial" w:cs="Arial" w:eastAsia="Arial" w:hAnsi="Arial"/>
                <w:sz w:val="18"/>
                <w:szCs w:val="18"/>
                <w:color w:val="auto"/>
                <w:w w:val="97"/>
              </w:rPr>
              <w:t>three</w:t>
            </w:r>
          </w:p>
        </w:tc>
        <w:tc>
          <w:tcPr>
            <w:tcW w:w="1900" w:type="dxa"/>
            <w:vAlign w:val="bottom"/>
          </w:tcPr>
          <w:p>
            <w:pPr>
              <w:ind w:left="700"/>
              <w:spacing w:after="0"/>
              <w:rPr>
                <w:sz w:val="20"/>
                <w:szCs w:val="20"/>
                <w:color w:val="auto"/>
              </w:rPr>
            </w:pPr>
            <w:r>
              <w:rPr>
                <w:rFonts w:ascii="Arial" w:cs="Arial" w:eastAsia="Arial" w:hAnsi="Arial"/>
                <w:sz w:val="18"/>
                <w:szCs w:val="18"/>
                <w:color w:val="auto"/>
              </w:rPr>
              <w:t>months</w:t>
            </w:r>
          </w:p>
        </w:tc>
        <w:tc>
          <w:tcPr>
            <w:tcW w:w="1180" w:type="dxa"/>
            <w:vAlign w:val="bottom"/>
          </w:tcPr>
          <w:p>
            <w:pPr>
              <w:ind w:left="100"/>
              <w:spacing w:after="0"/>
              <w:rPr>
                <w:sz w:val="20"/>
                <w:szCs w:val="20"/>
                <w:color w:val="auto"/>
              </w:rPr>
            </w:pPr>
            <w:r>
              <w:rPr>
                <w:rFonts w:ascii="Arial" w:cs="Arial" w:eastAsia="Arial" w:hAnsi="Arial"/>
                <w:sz w:val="18"/>
                <w:szCs w:val="18"/>
                <w:color w:val="auto"/>
              </w:rPr>
              <w:t>ended</w:t>
            </w:r>
          </w:p>
        </w:tc>
        <w:tc>
          <w:tcPr>
            <w:tcW w:w="1260" w:type="dxa"/>
            <w:vAlign w:val="bottom"/>
          </w:tcPr>
          <w:p>
            <w:pPr>
              <w:ind w:left="140"/>
              <w:spacing w:after="0"/>
              <w:rPr>
                <w:sz w:val="20"/>
                <w:szCs w:val="20"/>
                <w:color w:val="auto"/>
              </w:rPr>
            </w:pPr>
            <w:r>
              <w:rPr>
                <w:rFonts w:ascii="Arial" w:cs="Arial" w:eastAsia="Arial" w:hAnsi="Arial"/>
                <w:sz w:val="18"/>
                <w:szCs w:val="18"/>
                <w:color w:val="auto"/>
              </w:rPr>
              <w:t>March</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720" w:type="dxa"/>
            <w:vAlign w:val="bottom"/>
          </w:tcPr>
          <w:p>
            <w:pPr>
              <w:jc w:val="right"/>
              <w:spacing w:after="0"/>
              <w:rPr>
                <w:sz w:val="20"/>
                <w:szCs w:val="20"/>
                <w:color w:val="auto"/>
              </w:rPr>
            </w:pPr>
            <w:r>
              <w:rPr>
                <w:rFonts w:ascii="Arial" w:cs="Arial" w:eastAsia="Arial" w:hAnsi="Arial"/>
                <w:sz w:val="18"/>
                <w:szCs w:val="18"/>
                <w:color w:val="auto"/>
              </w:rPr>
              <w:t>2022</w:t>
            </w:r>
          </w:p>
        </w:tc>
        <w:tc>
          <w:tcPr>
            <w:tcW w:w="1300" w:type="dxa"/>
            <w:vAlign w:val="bottom"/>
            <w:gridSpan w:val="2"/>
          </w:tcPr>
          <w:p>
            <w:pPr>
              <w:ind w:left="640"/>
              <w:spacing w:after="0"/>
              <w:rPr>
                <w:sz w:val="20"/>
                <w:szCs w:val="20"/>
                <w:color w:val="auto"/>
              </w:rPr>
            </w:pPr>
            <w:r>
              <w:rPr>
                <w:rFonts w:ascii="Arial" w:cs="Arial" w:eastAsia="Arial" w:hAnsi="Arial"/>
                <w:sz w:val="18"/>
                <w:szCs w:val="18"/>
                <w:color w:val="auto"/>
              </w:rPr>
              <w:t>and</w:t>
            </w:r>
          </w:p>
        </w:tc>
        <w:tc>
          <w:tcPr>
            <w:tcW w:w="240" w:type="dxa"/>
            <w:vAlign w:val="bottom"/>
          </w:tcPr>
          <w:p>
            <w:pPr>
              <w:spacing w:after="0"/>
              <w:rPr>
                <w:sz w:val="20"/>
                <w:szCs w:val="20"/>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March</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100" w:type="dxa"/>
            <w:vAlign w:val="bottom"/>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0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jc w:val="right"/>
              <w:ind w:right="69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jc w:val="right"/>
              <w:ind w:right="690"/>
              <w:spacing w:after="0"/>
              <w:rPr>
                <w:sz w:val="20"/>
                <w:szCs w:val="20"/>
                <w:color w:val="auto"/>
              </w:rPr>
            </w:pPr>
            <w:r>
              <w:rPr>
                <w:rFonts w:ascii="Arial" w:cs="Arial" w:eastAsia="Arial" w:hAnsi="Arial"/>
                <w:sz w:val="14"/>
                <w:szCs w:val="14"/>
                <w:b w:val="1"/>
                <w:bCs w:val="1"/>
                <w:color w:val="auto"/>
              </w:rPr>
              <w:t>2021</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1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1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87,528,626</w:t>
            </w:r>
          </w:p>
        </w:tc>
        <w:tc>
          <w:tcPr>
            <w:tcW w:w="1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113,450,870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 w:type="dxa"/>
            <w:vAlign w:val="bottom"/>
            <w:shd w:val="clear" w:color="auto" w:fill="CCEEFF"/>
          </w:tcPr>
          <w:p>
            <w:pPr>
              <w:spacing w:after="0"/>
              <w:rPr>
                <w:sz w:val="15"/>
                <w:szCs w:val="15"/>
                <w:color w:val="auto"/>
              </w:rPr>
            </w:pPr>
          </w:p>
        </w:tc>
        <w:tc>
          <w:tcPr>
            <w:tcW w:w="516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Less: Dividends and undistributed earnings allocated to</w:t>
            </w:r>
          </w:p>
        </w:tc>
        <w:tc>
          <w:tcPr>
            <w:tcW w:w="7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1,360,047</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1,671,188</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 w:type="dxa"/>
            <w:vAlign w:val="bottom"/>
            <w:shd w:val="clear" w:color="auto" w:fill="CCEEFF"/>
          </w:tcPr>
          <w:p>
            <w:pPr>
              <w:spacing w:after="0"/>
              <w:rPr>
                <w:sz w:val="21"/>
                <w:szCs w:val="21"/>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participating securities</w:t>
            </w:r>
          </w:p>
        </w:tc>
        <w:tc>
          <w:tcPr>
            <w:tcW w:w="1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60" w:type="dxa"/>
            <w:vAlign w:val="bottom"/>
            <w:gridSpan w:val="4"/>
          </w:tcPr>
          <w:p>
            <w:pPr>
              <w:ind w:left="240"/>
              <w:spacing w:after="0"/>
              <w:rPr>
                <w:sz w:val="20"/>
                <w:szCs w:val="20"/>
                <w:color w:val="auto"/>
              </w:rPr>
            </w:pPr>
            <w:r>
              <w:rPr>
                <w:rFonts w:ascii="Arial" w:cs="Arial" w:eastAsia="Arial" w:hAnsi="Arial"/>
                <w:sz w:val="18"/>
                <w:szCs w:val="18"/>
                <w:color w:val="auto"/>
              </w:rPr>
              <w:t>Net Income available to common shareholders</w:t>
            </w:r>
          </w:p>
        </w:tc>
        <w:tc>
          <w:tcPr>
            <w:tcW w:w="820" w:type="dxa"/>
            <w:vAlign w:val="bottom"/>
          </w:tcPr>
          <w:p>
            <w:pPr>
              <w:spacing w:after="0"/>
              <w:rPr>
                <w:sz w:val="19"/>
                <w:szCs w:val="19"/>
                <w:color w:val="auto"/>
              </w:rPr>
            </w:pP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86,168,579</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111,779,682</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gridSpan w:val="4"/>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232,151,296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239,559,370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Net Income per share - Basic</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1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gridSpan w:val="4"/>
          </w:tcPr>
          <w:p>
            <w:pPr>
              <w:ind w:left="240"/>
              <w:spacing w:after="0"/>
              <w:rPr>
                <w:sz w:val="20"/>
                <w:szCs w:val="20"/>
                <w:color w:val="auto"/>
              </w:rPr>
            </w:pPr>
            <w:r>
              <w:rPr>
                <w:rFonts w:ascii="Arial" w:cs="Arial" w:eastAsia="Arial" w:hAnsi="Arial"/>
                <w:sz w:val="18"/>
                <w:szCs w:val="18"/>
                <w:color w:val="auto"/>
              </w:rPr>
              <w:t>Allocation of Net Income used in basic computation</w:t>
            </w:r>
          </w:p>
        </w:tc>
        <w:tc>
          <w:tcPr>
            <w:tcW w:w="82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86,168,579</w:t>
            </w:r>
          </w:p>
        </w:tc>
        <w:tc>
          <w:tcPr>
            <w:tcW w:w="1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111,779,682</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Reallocation of undistributed earnings</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4"/>
          </w:tcPr>
          <w:p>
            <w:pPr>
              <w:ind w:left="240"/>
              <w:spacing w:after="0"/>
              <w:rPr>
                <w:sz w:val="20"/>
                <w:szCs w:val="20"/>
                <w:color w:val="auto"/>
              </w:rPr>
            </w:pPr>
            <w:r>
              <w:rPr>
                <w:rFonts w:ascii="Arial" w:cs="Arial" w:eastAsia="Arial" w:hAnsi="Arial"/>
                <w:sz w:val="18"/>
                <w:szCs w:val="18"/>
                <w:color w:val="auto"/>
              </w:rPr>
              <w:t>Net Income available to common shareholders - Diluted</w:t>
            </w:r>
          </w:p>
        </w:tc>
        <w:tc>
          <w:tcPr>
            <w:tcW w:w="82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86,171,079</w:t>
            </w:r>
          </w:p>
        </w:tc>
        <w:tc>
          <w:tcPr>
            <w:tcW w:w="1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111,790,565</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760" w:type="dxa"/>
            <w:vAlign w:val="bottom"/>
            <w:gridSpan w:val="4"/>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60" w:type="dxa"/>
            <w:vAlign w:val="bottom"/>
            <w:gridSpan w:val="4"/>
          </w:tcPr>
          <w:p>
            <w:pPr>
              <w:ind w:left="240"/>
              <w:spacing w:after="0"/>
              <w:rPr>
                <w:sz w:val="20"/>
                <w:szCs w:val="20"/>
                <w:color w:val="auto"/>
              </w:rPr>
            </w:pPr>
            <w:r>
              <w:rPr>
                <w:rFonts w:ascii="Arial" w:cs="Arial" w:eastAsia="Arial" w:hAnsi="Arial"/>
                <w:sz w:val="18"/>
                <w:szCs w:val="18"/>
                <w:color w:val="auto"/>
              </w:rPr>
              <w:t>Number of shares used in basic computation</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232,151,296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239,559,370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Additional weighted average dilutive common stock equivalents</w:t>
            </w:r>
          </w:p>
        </w:tc>
        <w:tc>
          <w:tcPr>
            <w:tcW w:w="7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638,515</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2,133,781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4"/>
          </w:tcPr>
          <w:p>
            <w:pPr>
              <w:ind w:left="240"/>
              <w:spacing w:after="0"/>
              <w:rPr>
                <w:sz w:val="20"/>
                <w:szCs w:val="20"/>
                <w:color w:val="auto"/>
              </w:rPr>
            </w:pPr>
            <w:r>
              <w:rPr>
                <w:rFonts w:ascii="Arial" w:cs="Arial" w:eastAsia="Arial" w:hAnsi="Arial"/>
                <w:sz w:val="18"/>
                <w:szCs w:val="18"/>
                <w:color w:val="auto"/>
              </w:rPr>
              <w:t>Diluted weighted average shares outstanding</w:t>
            </w:r>
          </w:p>
        </w:tc>
        <w:tc>
          <w:tcPr>
            <w:tcW w:w="8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232,789,811</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241,693,151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gridSpan w:val="3"/>
          </w:tcPr>
          <w:p>
            <w:pPr>
              <w:ind w:left="240"/>
              <w:spacing w:after="0"/>
              <w:rPr>
                <w:sz w:val="20"/>
                <w:szCs w:val="20"/>
                <w:color w:val="auto"/>
              </w:rPr>
            </w:pPr>
            <w:r>
              <w:rPr>
                <w:rFonts w:ascii="Arial" w:cs="Arial" w:eastAsia="Arial" w:hAnsi="Arial"/>
                <w:sz w:val="18"/>
                <w:szCs w:val="18"/>
                <w:color w:val="auto"/>
              </w:rPr>
              <w:t>Net Income per share - Diluted</w:t>
            </w: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0.46</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80" w:type="dxa"/>
            <w:vAlign w:val="bottom"/>
            <w:gridSpan w:val="5"/>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580" w:type="dxa"/>
            <w:vAlign w:val="bottom"/>
            <w:gridSpan w:val="5"/>
          </w:tcPr>
          <w:p>
            <w:pPr>
              <w:ind w:left="20"/>
              <w:spacing w:after="0" w:line="176" w:lineRule="exact"/>
              <w:rPr>
                <w:sz w:val="20"/>
                <w:szCs w:val="20"/>
                <w:color w:val="auto"/>
              </w:rPr>
            </w:pPr>
            <w:r>
              <w:rPr>
                <w:rFonts w:ascii="Arial" w:cs="Arial" w:eastAsia="Arial" w:hAnsi="Arial"/>
                <w:sz w:val="18"/>
                <w:szCs w:val="18"/>
                <w:color w:val="auto"/>
                <w:w w:val="99"/>
              </w:rPr>
              <w:t>Shares related to stock plans not included in diluted average common</w:t>
            </w:r>
          </w:p>
        </w:tc>
        <w:tc>
          <w:tcPr>
            <w:tcW w:w="7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1,572,223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271,383</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5580" w:type="dxa"/>
            <w:vAlign w:val="bottom"/>
            <w:gridSpan w:val="5"/>
          </w:tcPr>
          <w:p>
            <w:pPr>
              <w:ind w:left="20"/>
              <w:spacing w:after="0"/>
              <w:rPr>
                <w:sz w:val="20"/>
                <w:szCs w:val="20"/>
                <w:color w:val="auto"/>
              </w:rPr>
            </w:pPr>
            <w:r>
              <w:rPr>
                <w:rFonts w:ascii="Arial" w:cs="Arial" w:eastAsia="Arial" w:hAnsi="Arial"/>
                <w:sz w:val="18"/>
                <w:szCs w:val="18"/>
                <w:color w:val="auto"/>
              </w:rPr>
              <w:t>shares outstanding because their effect would be anti-dilutive</w:t>
            </w:r>
          </w:p>
        </w:tc>
        <w:tc>
          <w:tcPr>
            <w:tcW w:w="7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15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As of March 31, 2022,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9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awards and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115"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2021, for additional information related to the Prior Plans.</w:t>
      </w:r>
    </w:p>
    <w:p>
      <w:pPr>
        <w:spacing w:after="0" w:line="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recognized total compensation expense for share-based payments of $6,788,337 for the three months ended March 31, 2022. The Company recognized compensation expense for share-based payments of $5,894,645 for the three months ended March 31, 2021. A portion of the compensation cost for share based payment awards is capitalized as part of inventory.</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2019 Omnibus Incentive Plan</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purpose of the 2019 Omnibus Incentive Plan is to attract and retain employees, officers, and directors of the Company and its subsidiaries and to motivate and provide such persons incentives and rewards for performance. Pursuant to the terms of the Plan, each type of award counts against the available shares based on a predetermined conversion rate (shown in the table below). As of March 31, 2022, 7,751,391 share awards have been made under the Plan, resulting in 18,990,474 shares granted of the 45,000,000 total shares available to be issued under the Plan. The shares issued are presented net of shares from canceled/expired options and shares.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166"/>
        </w:trPr>
        <w:tc>
          <w:tcPr>
            <w:tcW w:w="3880" w:type="dxa"/>
            <w:vAlign w:val="bottom"/>
          </w:tcPr>
          <w:p>
            <w:pPr>
              <w:spacing w:after="0"/>
              <w:rPr>
                <w:sz w:val="14"/>
                <w:szCs w:val="14"/>
                <w:color w:val="auto"/>
              </w:rPr>
            </w:pPr>
          </w:p>
        </w:tc>
        <w:tc>
          <w:tcPr>
            <w:tcW w:w="196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Shares Granted</w:t>
            </w:r>
          </w:p>
        </w:tc>
        <w:tc>
          <w:tcPr>
            <w:tcW w:w="100" w:type="dxa"/>
            <w:vAlign w:val="bottom"/>
          </w:tcPr>
          <w:p>
            <w:pPr>
              <w:spacing w:after="0"/>
              <w:rPr>
                <w:sz w:val="14"/>
                <w:szCs w:val="14"/>
                <w:color w:val="auto"/>
              </w:rPr>
            </w:pPr>
          </w:p>
        </w:tc>
        <w:tc>
          <w:tcPr>
            <w:tcW w:w="196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Conversion Rate</w:t>
            </w:r>
          </w:p>
        </w:tc>
        <w:tc>
          <w:tcPr>
            <w:tcW w:w="120" w:type="dxa"/>
            <w:vAlign w:val="bottom"/>
            <w:vMerge w:val="restart"/>
          </w:tcPr>
          <w:p>
            <w:pPr>
              <w:spacing w:after="0"/>
              <w:rPr>
                <w:sz w:val="14"/>
                <w:szCs w:val="14"/>
                <w:color w:val="auto"/>
              </w:rPr>
            </w:pPr>
          </w:p>
        </w:tc>
        <w:tc>
          <w:tcPr>
            <w:tcW w:w="196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Total Shares Under 2019</w:t>
            </w:r>
          </w:p>
        </w:tc>
        <w:tc>
          <w:tcPr>
            <w:tcW w:w="0" w:type="dxa"/>
            <w:vAlign w:val="bottom"/>
          </w:tcPr>
          <w:p>
            <w:pPr>
              <w:spacing w:after="0"/>
              <w:rPr>
                <w:sz w:val="1"/>
                <w:szCs w:val="1"/>
                <w:color w:val="auto"/>
              </w:rPr>
            </w:pPr>
          </w:p>
        </w:tc>
      </w:tr>
      <w:tr>
        <w:trPr>
          <w:trHeight w:val="185"/>
        </w:trPr>
        <w:tc>
          <w:tcPr>
            <w:tcW w:w="388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Omnibus Plan</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Stock Options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4,078,488</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4,078,488</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960" w:type="dxa"/>
            <w:vAlign w:val="bottom"/>
          </w:tcPr>
          <w:p>
            <w:pPr>
              <w:jc w:val="right"/>
              <w:spacing w:after="0"/>
              <w:rPr>
                <w:sz w:val="20"/>
                <w:szCs w:val="20"/>
                <w:color w:val="auto"/>
              </w:rPr>
            </w:pPr>
            <w:r>
              <w:rPr>
                <w:rFonts w:ascii="Arial" w:cs="Arial" w:eastAsia="Arial" w:hAnsi="Arial"/>
                <w:sz w:val="18"/>
                <w:szCs w:val="18"/>
                <w:color w:val="auto"/>
              </w:rPr>
              <w:t>3,072,533</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12,474,484</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Performance Shares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600,370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2,437,502</w:t>
            </w:r>
          </w:p>
        </w:tc>
        <w:tc>
          <w:tcPr>
            <w:tcW w:w="0" w:type="dxa"/>
            <w:vAlign w:val="bottom"/>
          </w:tcPr>
          <w:p>
            <w:pPr>
              <w:spacing w:after="0"/>
              <w:rPr>
                <w:sz w:val="1"/>
                <w:szCs w:val="1"/>
                <w:color w:val="auto"/>
              </w:rPr>
            </w:pPr>
          </w:p>
        </w:tc>
      </w:tr>
      <w:tr>
        <w:trPr>
          <w:trHeight w:val="223"/>
        </w:trPr>
        <w:tc>
          <w:tcPr>
            <w:tcW w:w="3880" w:type="dxa"/>
            <w:vAlign w:val="bottom"/>
          </w:tcPr>
          <w:p>
            <w:pPr>
              <w:ind w:left="1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7,751,391</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18,990,474</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Employee Stock Options</w:t>
      </w:r>
    </w:p>
    <w:p>
      <w:pPr>
        <w:spacing w:after="0" w:line="14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March 31, 2022, there was $9,068,470 of unearned compensation cost associated with stock options granted under the 2019 Omnibus Incentive Plan and the Employee Stock Option Plan, which is expected to be recognized over the remaining vesting periods.</w:t>
      </w:r>
    </w:p>
    <w:p>
      <w:pPr>
        <w:spacing w:after="0" w:line="109" w:lineRule="exact"/>
        <w:rPr>
          <w:sz w:val="20"/>
          <w:szCs w:val="20"/>
          <w:color w:val="auto"/>
        </w:rPr>
      </w:pPr>
    </w:p>
    <w:p>
      <w:pPr>
        <w:ind w:left="660" w:right="740"/>
        <w:spacing w:after="0" w:line="287"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474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360" w:type="dxa"/>
            <w:vAlign w:val="bottom"/>
            <w:tcBorders>
              <w:top w:val="single" w:sz="8" w:color="auto"/>
              <w:bottom w:val="single" w:sz="8" w:color="auto"/>
            </w:tcBorders>
          </w:tcPr>
          <w:p>
            <w:pPr>
              <w:jc w:val="right"/>
              <w:ind w:right="933"/>
              <w:spacing w:after="0"/>
              <w:rPr>
                <w:sz w:val="20"/>
                <w:szCs w:val="20"/>
                <w:color w:val="auto"/>
              </w:rPr>
            </w:pPr>
            <w:r>
              <w:rPr>
                <w:rFonts w:ascii="Arial" w:cs="Arial" w:eastAsia="Arial" w:hAnsi="Arial"/>
                <w:sz w:val="14"/>
                <w:szCs w:val="14"/>
                <w:b w:val="1"/>
                <w:bCs w:val="1"/>
                <w:color w:val="auto"/>
              </w:rPr>
              <w:t>2021</w:t>
            </w:r>
          </w:p>
        </w:tc>
      </w:tr>
      <w:tr>
        <w:trPr>
          <w:trHeight w:val="224"/>
        </w:trPr>
        <w:tc>
          <w:tcPr>
            <w:tcW w:w="47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tc>
        <w:tc>
          <w:tcPr>
            <w:tcW w:w="1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r>
      <w:tr>
        <w:trPr>
          <w:trHeight w:val="230"/>
        </w:trPr>
        <w:tc>
          <w:tcPr>
            <w:tcW w:w="6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8"/>
                <w:szCs w:val="18"/>
                <w:color w:val="auto"/>
              </w:rPr>
              <w:t>28.16 %</w:t>
            </w:r>
          </w:p>
        </w:tc>
        <w:tc>
          <w:tcPr>
            <w:tcW w:w="1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27.85 %</w:t>
            </w:r>
          </w:p>
        </w:tc>
      </w:tr>
      <w:tr>
        <w:trPr>
          <w:trHeight w:val="229"/>
        </w:trPr>
        <w:tc>
          <w:tcPr>
            <w:tcW w:w="6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0.92 %</w:t>
            </w:r>
          </w:p>
        </w:tc>
      </w:tr>
      <w:tr>
        <w:trPr>
          <w:trHeight w:val="229"/>
        </w:trPr>
        <w:tc>
          <w:tcPr>
            <w:tcW w:w="6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Expected term of options (years) </w:t>
            </w:r>
            <w:r>
              <w:rPr>
                <w:rFonts w:ascii="Arial" w:cs="Arial" w:eastAsia="Arial" w:hAnsi="Arial"/>
                <w:sz w:val="23"/>
                <w:szCs w:val="23"/>
                <w:color w:val="auto"/>
                <w:vertAlign w:val="superscript"/>
              </w:rPr>
              <w:t>(4)</w:t>
            </w:r>
          </w:p>
        </w:tc>
        <w:tc>
          <w:tcPr>
            <w:tcW w:w="86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Weighted-avg. grant date fair 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bl>
    <w:p>
      <w:pPr>
        <w:spacing w:after="0" w:line="7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9"/>
          <w:szCs w:val="9"/>
          <w:color w:val="auto"/>
        </w:rPr>
      </w:pPr>
      <w:r>
        <w:rPr>
          <w:rFonts w:ascii="Arial" w:cs="Arial" w:eastAsia="Arial" w:hAnsi="Arial"/>
          <w:sz w:val="14"/>
          <w:szCs w:val="14"/>
          <w:color w:val="auto"/>
        </w:rPr>
        <w:t>Represents the Company’s estimated cash dividend yield over the expected term of option grant.</w:t>
      </w:r>
    </w:p>
    <w:p>
      <w:pPr>
        <w:spacing w:after="0" w:line="28" w:lineRule="exact"/>
        <w:rPr>
          <w:rFonts w:ascii="Arial" w:cs="Arial" w:eastAsia="Arial" w:hAnsi="Arial"/>
          <w:sz w:val="9"/>
          <w:szCs w:val="9"/>
          <w:color w:val="auto"/>
        </w:rPr>
      </w:pPr>
    </w:p>
    <w:p>
      <w:pPr>
        <w:ind w:left="980" w:right="260" w:hanging="324"/>
        <w:spacing w:after="0" w:line="221" w:lineRule="auto"/>
        <w:tabs>
          <w:tab w:leader="none" w:pos="977"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 w:lineRule="exact"/>
        <w:rPr>
          <w:rFonts w:ascii="Arial" w:cs="Arial" w:eastAsia="Arial" w:hAnsi="Arial"/>
          <w:sz w:val="19"/>
          <w:szCs w:val="19"/>
          <w:color w:val="auto"/>
          <w:vertAlign w:val="superscript"/>
        </w:rPr>
      </w:pPr>
    </w:p>
    <w:p>
      <w:pPr>
        <w:ind w:left="980" w:hanging="324"/>
        <w:spacing w:after="0" w:line="187" w:lineRule="auto"/>
        <w:tabs>
          <w:tab w:leader="none" w:pos="98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Represents the U.S. Treasury yield over the expected term of the option grant.</w:t>
      </w:r>
    </w:p>
    <w:p>
      <w:pPr>
        <w:ind w:left="980" w:right="20" w:hanging="324"/>
        <w:spacing w:after="0" w:line="284" w:lineRule="auto"/>
        <w:tabs>
          <w:tab w:leader="none" w:pos="977" w:val="left"/>
        </w:tabs>
        <w:numPr>
          <w:ilvl w:val="0"/>
          <w:numId w:val="12"/>
        </w:numPr>
        <w:rPr>
          <w:rFonts w:ascii="Arial" w:cs="Arial" w:eastAsia="Arial" w:hAnsi="Arial"/>
          <w:sz w:val="9"/>
          <w:szCs w:val="9"/>
          <w:color w:val="auto"/>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Restricted Shares</w:t>
      </w:r>
    </w:p>
    <w:p>
      <w:pPr>
        <w:spacing w:after="0" w:line="15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March 31, 2022, the Company had unearned stock-based compensation of $46,976,947 associated with the restricted stock grants issued under the 2019 Omnibus Plan and the prior plan. The unearned stock-based compensation related to these grants is being amortized to compensation expense over the applicable restriction periods. Compensation expense from restricted stock grants in the three months ended March 31, 2022 was $5,290,805. Compensation expense from restricted stock grants in the three months ended March 31, 2021 was $4,302,975.</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average closing stock price on the twenty days preceding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09"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As of March 31, 2022, the Company had unearned stock-based compensation of $9,620,235 associated with these performance share grants. The unearned stock-based compensation related to these grants is being amortized to compensation expense over the applicable performance periods.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The Company has an employee stock purchase plan covering 2,000,000 shares of common stock. Under the plan, the Company sells shares at 85% of the stock’s market price at date of purchase. 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15% discounted value is recognized as compensation expense. As of March 31, 2022, the Company has issued 1,576,179 shares under this plan.</w:t>
      </w:r>
    </w:p>
    <w:p>
      <w:pPr>
        <w:spacing w:after="0" w:line="200" w:lineRule="exact"/>
        <w:rPr>
          <w:sz w:val="20"/>
          <w:szCs w:val="20"/>
          <w:color w:val="auto"/>
        </w:rPr>
      </w:pPr>
    </w:p>
    <w:p>
      <w:pPr>
        <w:spacing w:after="0" w:line="246"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debt investments and foreign currency translation adjustments.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spacing w:after="0" w:line="279" w:lineRule="auto"/>
        <w:rPr>
          <w:sz w:val="20"/>
          <w:szCs w:val="20"/>
          <w:color w:val="auto"/>
        </w:rPr>
      </w:pPr>
      <w:r>
        <w:rPr>
          <w:rFonts w:ascii="Arial" w:cs="Arial" w:eastAsia="Arial" w:hAnsi="Arial"/>
          <w:sz w:val="18"/>
          <w:szCs w:val="18"/>
          <w:color w:val="auto"/>
        </w:rPr>
        <w:t>The following table presents the net changes in the Company's accumulated other comprehensive income by component (all amounts shown are net of tax):</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59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21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920,589</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769,045</w:t>
            </w: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loss before reclassifications</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(896,420)</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(852,412)</w:t>
            </w:r>
          </w:p>
        </w:tc>
      </w:tr>
      <w:tr>
        <w:trPr>
          <w:trHeight w:val="223"/>
        </w:trPr>
        <w:tc>
          <w:tcPr>
            <w:tcW w:w="5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(896,420)</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(852,412)</w:t>
            </w:r>
          </w:p>
        </w:tc>
      </w:tr>
      <w:tr>
        <w:trPr>
          <w:trHeight w:val="223"/>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24,169</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(83,367)</w:t>
            </w:r>
          </w:p>
        </w:tc>
      </w:tr>
      <w:tr>
        <w:trPr>
          <w:trHeight w:val="128"/>
        </w:trPr>
        <w:tc>
          <w:tcPr>
            <w:tcW w:w="5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debt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1,006,655</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6,082,007</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loss before reclassifications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(6,423,937)</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(3,692,619)</w:t>
            </w:r>
          </w:p>
        </w:tc>
      </w:tr>
      <w:tr>
        <w:trPr>
          <w:trHeight w:val="230"/>
        </w:trPr>
        <w:tc>
          <w:tcPr>
            <w:tcW w:w="5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265,705</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(351,354)</w:t>
            </w:r>
          </w:p>
        </w:tc>
      </w:tr>
      <w:tr>
        <w:trPr>
          <w:trHeight w:val="223"/>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current-period change</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(6,158,232)</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(4,043,973)</w:t>
            </w:r>
          </w:p>
        </w:tc>
      </w:tr>
      <w:tr>
        <w:trPr>
          <w:trHeight w:val="223"/>
        </w:trPr>
        <w:tc>
          <w:tcPr>
            <w:tcW w:w="5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Balance at end of period</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(5,151,577)</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2,038,034</w:t>
            </w:r>
          </w:p>
        </w:tc>
      </w:tr>
      <w:tr>
        <w:trPr>
          <w:trHeight w:val="88"/>
        </w:trPr>
        <w:tc>
          <w:tcPr>
            <w:tcW w:w="59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Accumulated other comprehensive (loss) income,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(5,127,408)</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1,954,667</w:t>
            </w:r>
          </w:p>
        </w:tc>
      </w:tr>
      <w:tr>
        <w:trPr>
          <w:trHeight w:val="20"/>
        </w:trPr>
        <w:tc>
          <w:tcPr>
            <w:tcW w:w="5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right="180"/>
        <w:spacing w:after="0" w:line="276" w:lineRule="auto"/>
        <w:rPr>
          <w:sz w:val="20"/>
          <w:szCs w:val="20"/>
          <w:color w:val="auto"/>
        </w:rPr>
      </w:pPr>
      <w:r>
        <w:rPr>
          <w:rFonts w:ascii="Arial" w:cs="Arial" w:eastAsia="Arial" w:hAnsi="Arial"/>
          <w:sz w:val="18"/>
          <w:szCs w:val="18"/>
          <w:color w:val="auto"/>
        </w:rPr>
        <w:t>The following table presents details of reclassifications out of accumulated other comprehensive (loss) income for the three months ended March 31, 2022 and 2021:</w:t>
      </w:r>
    </w:p>
    <w:tbl>
      <w:tblPr>
        <w:tblLayout w:type="fixed"/>
        <w:tblInd w:w="660" w:type="dxa"/>
        <w:tblCellMar>
          <w:top w:w="0" w:type="dxa"/>
          <w:left w:w="0" w:type="dxa"/>
          <w:bottom w:w="0" w:type="dxa"/>
          <w:right w:w="0" w:type="dxa"/>
        </w:tblCellMar>
      </w:tblPr>
      <w:tr>
        <w:trPr>
          <w:trHeight w:val="164"/>
        </w:trPr>
        <w:tc>
          <w:tcPr>
            <w:tcW w:w="41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Details about Accumulated Other Comprehensive</w:t>
            </w:r>
          </w:p>
        </w:tc>
        <w:tc>
          <w:tcPr>
            <w:tcW w:w="2820" w:type="dxa"/>
            <w:vAlign w:val="bottom"/>
            <w:gridSpan w:val="5"/>
            <w:vMerge w:val="restart"/>
          </w:tcPr>
          <w:p>
            <w:pPr>
              <w:jc w:val="right"/>
              <w:ind w:right="101"/>
              <w:spacing w:after="0"/>
              <w:rPr>
                <w:sz w:val="20"/>
                <w:szCs w:val="20"/>
                <w:color w:val="auto"/>
              </w:rPr>
            </w:pPr>
            <w:r>
              <w:rPr>
                <w:rFonts w:ascii="Arial" w:cs="Arial" w:eastAsia="Arial" w:hAnsi="Arial"/>
                <w:sz w:val="16"/>
                <w:szCs w:val="16"/>
                <w:b w:val="1"/>
                <w:bCs w:val="1"/>
                <w:color w:val="auto"/>
              </w:rPr>
              <w:t>Amounts Reclassified from Other</w:t>
            </w:r>
          </w:p>
        </w:tc>
        <w:tc>
          <w:tcPr>
            <w:tcW w:w="100" w:type="dxa"/>
            <w:vAlign w:val="bottom"/>
          </w:tcPr>
          <w:p>
            <w:pPr>
              <w:spacing w:after="0"/>
              <w:rPr>
                <w:sz w:val="14"/>
                <w:szCs w:val="14"/>
                <w:color w:val="auto"/>
              </w:rPr>
            </w:pPr>
          </w:p>
        </w:tc>
        <w:tc>
          <w:tcPr>
            <w:tcW w:w="240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162"/>
        </w:trPr>
        <w:tc>
          <w:tcPr>
            <w:tcW w:w="4120" w:type="dxa"/>
            <w:vAlign w:val="bottom"/>
            <w:vMerge w:val="continue"/>
          </w:tcPr>
          <w:p>
            <w:pPr>
              <w:spacing w:after="0"/>
              <w:rPr>
                <w:sz w:val="14"/>
                <w:szCs w:val="14"/>
                <w:color w:val="auto"/>
              </w:rPr>
            </w:pPr>
          </w:p>
        </w:tc>
        <w:tc>
          <w:tcPr>
            <w:tcW w:w="28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Consolidated Statements of</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auto"/>
            </w:tcBorders>
          </w:tcPr>
          <w:p>
            <w:pPr>
              <w:ind w:left="1200"/>
              <w:spacing w:after="0"/>
              <w:rPr>
                <w:sz w:val="20"/>
                <w:szCs w:val="20"/>
                <w:color w:val="auto"/>
              </w:rPr>
            </w:pPr>
            <w:r>
              <w:rPr>
                <w:rFonts w:ascii="Arial" w:cs="Arial" w:eastAsia="Arial" w:hAnsi="Arial"/>
                <w:sz w:val="16"/>
                <w:szCs w:val="16"/>
                <w:b w:val="1"/>
                <w:bCs w:val="1"/>
                <w:color w:val="auto"/>
              </w:rPr>
              <w:t>Income Components</w:t>
            </w:r>
          </w:p>
        </w:tc>
        <w:tc>
          <w:tcPr>
            <w:tcW w:w="1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6"/>
                <w:szCs w:val="16"/>
                <w:b w:val="1"/>
                <w:bCs w:val="1"/>
                <w:color w:val="auto"/>
              </w:rPr>
              <w:t>Comprehensive (Loss) Income</w:t>
            </w:r>
          </w:p>
        </w:tc>
        <w:tc>
          <w:tcPr>
            <w:tcW w:w="100" w:type="dxa"/>
            <w:vAlign w:val="bottom"/>
          </w:tcPr>
          <w:p>
            <w:pPr>
              <w:spacing w:after="0"/>
              <w:rPr>
                <w:sz w:val="18"/>
                <w:szCs w:val="18"/>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Income</w:t>
            </w:r>
          </w:p>
        </w:tc>
        <w:tc>
          <w:tcPr>
            <w:tcW w:w="0" w:type="dxa"/>
            <w:vAlign w:val="bottom"/>
          </w:tcPr>
          <w:p>
            <w:pPr>
              <w:spacing w:after="0"/>
              <w:rPr>
                <w:sz w:val="1"/>
                <w:szCs w:val="1"/>
                <w:color w:val="auto"/>
              </w:rPr>
            </w:pPr>
          </w:p>
        </w:tc>
      </w:tr>
      <w:tr>
        <w:trPr>
          <w:trHeight w:val="194"/>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4"/>
          </w:tcPr>
          <w:p>
            <w:pPr>
              <w:jc w:val="right"/>
              <w:ind w:right="281"/>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Unrealized (losses) gains on available-for-sale</w:t>
            </w: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120" w:type="dxa"/>
            <w:vAlign w:val="bottom"/>
          </w:tcPr>
          <w:p>
            <w:pPr>
              <w:ind w:left="240"/>
              <w:spacing w:after="0" w:line="176" w:lineRule="exact"/>
              <w:rPr>
                <w:sz w:val="20"/>
                <w:szCs w:val="20"/>
                <w:color w:val="auto"/>
              </w:rPr>
            </w:pPr>
            <w:r>
              <w:rPr>
                <w:rFonts w:ascii="Arial" w:cs="Arial" w:eastAsia="Arial" w:hAnsi="Arial"/>
                <w:sz w:val="18"/>
                <w:szCs w:val="18"/>
                <w:color w:val="auto"/>
              </w:rPr>
              <w:t>Realized (loss) gain on sale</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vMerge w:val="restart"/>
          </w:tcPr>
          <w:p>
            <w:pPr>
              <w:ind w:left="20"/>
              <w:spacing w:after="0"/>
              <w:rPr>
                <w:sz w:val="20"/>
                <w:szCs w:val="20"/>
                <w:color w:val="auto"/>
              </w:rPr>
            </w:pPr>
            <w:r>
              <w:rPr>
                <w:rFonts w:ascii="Arial" w:cs="Arial" w:eastAsia="Arial" w:hAnsi="Arial"/>
                <w:sz w:val="18"/>
                <w:szCs w:val="18"/>
                <w:color w:val="auto"/>
              </w:rPr>
              <w:t>Investment income</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of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(336,335)</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444,752</w:t>
            </w:r>
          </w:p>
        </w:tc>
        <w:tc>
          <w:tcPr>
            <w:tcW w:w="100" w:type="dxa"/>
            <w:vAlign w:val="bottom"/>
          </w:tcPr>
          <w:p>
            <w:pPr>
              <w:spacing w:after="0"/>
              <w:rPr>
                <w:sz w:val="21"/>
                <w:szCs w:val="21"/>
                <w:color w:val="auto"/>
              </w:rPr>
            </w:pPr>
          </w:p>
        </w:tc>
        <w:tc>
          <w:tcPr>
            <w:tcW w:w="2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70,630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(93,398)</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8"/>
                <w:szCs w:val="18"/>
                <w:color w:val="auto"/>
              </w:rPr>
              <w:t>Total net reclassifications for the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(265,705)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351,354</w:t>
            </w:r>
          </w:p>
        </w:tc>
        <w:tc>
          <w:tcPr>
            <w:tcW w:w="100" w:type="dxa"/>
            <w:vAlign w:val="bottom"/>
          </w:tcPr>
          <w:p>
            <w:pPr>
              <w:spacing w:after="0"/>
              <w:rPr>
                <w:sz w:val="18"/>
                <w:szCs w:val="18"/>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5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On October 15, 2018, the Company entered into a Credit Agreement (“Credit Agreement”) with PNC as the administrative agent and sole lender.</w:t>
      </w:r>
    </w:p>
    <w:p>
      <w:pPr>
        <w:spacing w:after="0" w:line="18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Pursuant to this Credit Agreement, the Company has access to a $150 million senior revolving credit facility (“Revolver”).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$20 million and to request Letters of Credit from amounts otherwise available under the Revolver in the aggregate principle amount up to $20 million, both subject to certain conditions. The obligations of the Company under the Credit Agreement are not secured, but are subject to certain covenants. As of March 31, 2022, there was no outstanding balance on the Revolver. The Revolver expires on October 15, 2023.</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2022, the Company is in compliance with its covenants under the Credit Agreement.</w:t>
      </w:r>
    </w:p>
    <w:p>
      <w:pPr>
        <w:spacing w:after="0" w:line="200" w:lineRule="exact"/>
        <w:rPr>
          <w:sz w:val="20"/>
          <w:szCs w:val="20"/>
          <w:color w:val="auto"/>
        </w:rPr>
      </w:pPr>
    </w:p>
    <w:p>
      <w:pPr>
        <w:spacing w:after="0" w:line="295"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decrease in common stock during the three months ended March 31, 2022, was primarily due to the repurchases of 2.4 million shares, partially offset by the issuance of 0.5 million shares of the Company’s common stock, net of cancellations, under the Company’s stock-based compensation plans. The total net decrease was 2.0 million shares.</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recorded a cash dividend of $0.120 per share during the first quarter of 2022 as compared to a cash dividend of $0.120 per share during the first quarter of 2021. The first quarter 2022 dividend of $28.1 million was declared on March 3, 2022, and was paid on April 20, 2022.</w:t>
      </w:r>
    </w:p>
    <w:p>
      <w:pPr>
        <w:spacing w:after="0" w:line="200" w:lineRule="exact"/>
        <w:rPr>
          <w:sz w:val="20"/>
          <w:szCs w:val="20"/>
          <w:color w:val="auto"/>
        </w:rPr>
      </w:pPr>
    </w:p>
    <w:p>
      <w:pPr>
        <w:spacing w:after="0" w:line="241"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5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06" w:lineRule="exact"/>
        <w:rPr>
          <w:sz w:val="20"/>
          <w:szCs w:val="20"/>
          <w:color w:val="auto"/>
        </w:rPr>
      </w:pPr>
    </w:p>
    <w:p>
      <w:pPr>
        <w:ind w:left="840" w:hanging="508"/>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and laminate products for the aerospace industry and fire protection products for the commercial construction industry. In 2020, the Company acquired Vaporsens, which specializes in nanofiber chemical sensing. These three non-automotive segments are combined into the "Other" segment as shown below. In first quarter of 2021, the Company acquired Guardian, which is combined in the Automotive Segment below. Further information in regards to the Guardian transaction is included in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of the financial statements.</w:t>
      </w:r>
    </w:p>
    <w:p>
      <w:pPr>
        <w:spacing w:after="0" w:line="19"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40" w:type="dxa"/>
            <w:vAlign w:val="bottom"/>
            <w:gridSpan w:val="3"/>
          </w:tcPr>
          <w:p>
            <w:pPr>
              <w:jc w:val="right"/>
              <w:ind w:right="973"/>
              <w:spacing w:after="0"/>
              <w:rPr>
                <w:sz w:val="20"/>
                <w:szCs w:val="20"/>
                <w:color w:val="auto"/>
              </w:rPr>
            </w:pPr>
            <w:r>
              <w:rPr>
                <w:rFonts w:ascii="Arial" w:cs="Arial" w:eastAsia="Arial" w:hAnsi="Arial"/>
                <w:sz w:val="14"/>
                <w:szCs w:val="14"/>
                <w:b w:val="1"/>
                <w:bCs w:val="1"/>
                <w:color w:val="auto"/>
              </w:rPr>
              <w:t>Three Months Ended March 31,</w:t>
            </w:r>
          </w:p>
        </w:tc>
      </w:tr>
      <w:tr>
        <w:trPr>
          <w:trHeight w:val="204"/>
        </w:trPr>
        <w:tc>
          <w:tcPr>
            <w:tcW w:w="50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2021</w:t>
            </w: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508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457,952,554</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475,617,436</w:t>
            </w:r>
          </w:p>
        </w:tc>
      </w:tr>
      <w:tr>
        <w:trPr>
          <w:trHeight w:val="230"/>
        </w:trPr>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10,298,222</w:t>
            </w:r>
          </w:p>
        </w:tc>
        <w:tc>
          <w:tcPr>
            <w:tcW w:w="5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8,107,403</w:t>
            </w:r>
          </w:p>
        </w:tc>
      </w:tr>
      <w:tr>
        <w:trPr>
          <w:trHeight w:val="223"/>
        </w:trPr>
        <w:tc>
          <w:tcPr>
            <w:tcW w:w="5080" w:type="dxa"/>
            <w:vAlign w:val="bottom"/>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468,250,776</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483,724,839</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7"/>
        </w:trPr>
        <w:tc>
          <w:tcPr>
            <w:tcW w:w="5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(Loss) from operations:</w:t>
            </w:r>
          </w:p>
        </w:tc>
        <w:tc>
          <w:tcPr>
            <w:tcW w:w="5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29"/>
        </w:trPr>
        <w:tc>
          <w:tcPr>
            <w:tcW w:w="508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103,475,509</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134,668,052</w:t>
            </w:r>
          </w:p>
        </w:tc>
      </w:tr>
      <w:tr>
        <w:trPr>
          <w:trHeight w:val="230"/>
        </w:trPr>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(169,604)</w:t>
            </w:r>
          </w:p>
        </w:tc>
        <w:tc>
          <w:tcPr>
            <w:tcW w:w="5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(934,351)</w:t>
            </w:r>
          </w:p>
        </w:tc>
      </w:tr>
      <w:tr>
        <w:trPr>
          <w:trHeight w:val="223"/>
        </w:trPr>
        <w:tc>
          <w:tcPr>
            <w:tcW w:w="5080" w:type="dxa"/>
            <w:vAlign w:val="bottom"/>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103,305,905</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133,733,701</w:t>
            </w:r>
          </w:p>
        </w:tc>
      </w:tr>
      <w:tr>
        <w:trPr>
          <w:trHeight w:val="20"/>
        </w:trPr>
        <w:tc>
          <w:tcPr>
            <w:tcW w:w="5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5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effective tax rate was 15.3% in the three months ended March 31, 2022, compared to an effective tax rate of 16.1% for the same period in 2021. Generally, effective tax rates for these periods differ from statutory federal income tax rates, due to provisions for state and local income taxes, permanent tax differences, and the foreign-derived intangible income tax deduction and research and development tax credits.</w:t>
      </w:r>
    </w:p>
    <w:p>
      <w:pPr>
        <w:spacing w:after="0" w:line="203"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w:t>
      </w:r>
    </w:p>
    <w:p>
      <w:pPr>
        <w:spacing w:after="0" w:line="252" w:lineRule="exact"/>
        <w:rPr>
          <w:sz w:val="20"/>
          <w:szCs w:val="20"/>
          <w:color w:val="auto"/>
        </w:rPr>
      </w:pPr>
    </w:p>
    <w:p>
      <w:pPr>
        <w:jc w:val="both"/>
        <w:ind w:left="660"/>
        <w:spacing w:after="0" w:line="279" w:lineRule="auto"/>
        <w:rPr>
          <w:sz w:val="20"/>
          <w:szCs w:val="20"/>
          <w:color w:val="auto"/>
        </w:rPr>
      </w:pPr>
      <w:r>
        <w:rPr>
          <w:rFonts w:ascii="Arial" w:cs="Arial" w:eastAsia="Arial" w:hAnsi="Arial"/>
          <w:sz w:val="18"/>
          <w:szCs w:val="18"/>
          <w:color w:val="auto"/>
        </w:rPr>
        <w:t>The following table shows the Company’s Automotive revenue and Other Products revenue disaggregated by geographical location for Automotive Products for the three month periods ended March 31, 2022 and March 31, 2021: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20" w:type="dxa"/>
            <w:vAlign w:val="bottom"/>
            <w:gridSpan w:val="3"/>
          </w:tcPr>
          <w:p>
            <w:pPr>
              <w:jc w:val="right"/>
              <w:ind w:right="1132"/>
              <w:spacing w:after="0"/>
              <w:rPr>
                <w:sz w:val="20"/>
                <w:szCs w:val="20"/>
                <w:color w:val="auto"/>
              </w:rPr>
            </w:pPr>
            <w:r>
              <w:rPr>
                <w:rFonts w:ascii="Arial" w:cs="Arial" w:eastAsia="Arial" w:hAnsi="Arial"/>
                <w:sz w:val="14"/>
                <w:szCs w:val="14"/>
                <w:b w:val="1"/>
                <w:bCs w:val="1"/>
                <w:color w:val="auto"/>
              </w:rPr>
              <w:t>Three Months Ended March 31,</w:t>
            </w:r>
          </w:p>
        </w:tc>
      </w:tr>
      <w:tr>
        <w:trPr>
          <w:trHeight w:val="204"/>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892"/>
              <w:spacing w:after="0"/>
              <w:rPr>
                <w:sz w:val="20"/>
                <w:szCs w:val="20"/>
                <w:color w:val="auto"/>
              </w:rPr>
            </w:pPr>
            <w:r>
              <w:rPr>
                <w:rFonts w:ascii="Arial" w:cs="Arial" w:eastAsia="Arial" w:hAnsi="Arial"/>
                <w:sz w:val="14"/>
                <w:szCs w:val="14"/>
                <w:b w:val="1"/>
                <w:bCs w:val="1"/>
                <w:color w:val="auto"/>
              </w:rPr>
              <w:t>2021</w:t>
            </w:r>
          </w:p>
        </w:tc>
      </w:tr>
      <w:tr>
        <w:trPr>
          <w:trHeight w:val="224"/>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4480" w:type="dxa"/>
            <w:vAlign w:val="bottom"/>
          </w:tcPr>
          <w:p>
            <w:pPr>
              <w:ind w:left="120"/>
              <w:spacing w:after="0"/>
              <w:rPr>
                <w:sz w:val="20"/>
                <w:szCs w:val="20"/>
                <w:color w:val="auto"/>
              </w:rPr>
            </w:pPr>
            <w:r>
              <w:rPr>
                <w:rFonts w:ascii="Arial" w:cs="Arial" w:eastAsia="Arial" w:hAnsi="Arial"/>
                <w:sz w:val="18"/>
                <w:szCs w:val="18"/>
                <w:color w:val="auto"/>
              </w:rPr>
              <w:t>U.S.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142,193,971</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146,425,317</w:t>
            </w:r>
          </w:p>
        </w:tc>
      </w:tr>
      <w:tr>
        <w:trPr>
          <w:trHeight w:val="230"/>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Germany</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67,565,320</w:t>
            </w: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69,415,184</w:t>
            </w:r>
          </w:p>
        </w:tc>
      </w:tr>
      <w:tr>
        <w:trPr>
          <w:trHeight w:val="229"/>
        </w:trPr>
        <w:tc>
          <w:tcPr>
            <w:tcW w:w="4480" w:type="dxa"/>
            <w:vAlign w:val="bottom"/>
          </w:tcPr>
          <w:p>
            <w:pPr>
              <w:ind w:left="120"/>
              <w:spacing w:after="0"/>
              <w:rPr>
                <w:sz w:val="20"/>
                <w:szCs w:val="20"/>
                <w:color w:val="auto"/>
              </w:rPr>
            </w:pPr>
            <w:r>
              <w:rPr>
                <w:rFonts w:ascii="Arial" w:cs="Arial" w:eastAsia="Arial" w:hAnsi="Arial"/>
                <w:sz w:val="18"/>
                <w:szCs w:val="18"/>
                <w:color w:val="auto"/>
              </w:rPr>
              <w:t>Japan</w:t>
            </w:r>
          </w:p>
        </w:tc>
        <w:tc>
          <w:tcPr>
            <w:tcW w:w="5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54,762,488</w:t>
            </w:r>
          </w:p>
        </w:tc>
        <w:tc>
          <w:tcPr>
            <w:tcW w:w="5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53,903,595</w:t>
            </w:r>
          </w:p>
        </w:tc>
      </w:tr>
      <w:tr>
        <w:trPr>
          <w:trHeight w:val="229"/>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Mexico</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32,135,079</w:t>
            </w: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31,745,988</w:t>
            </w:r>
          </w:p>
        </w:tc>
      </w:tr>
      <w:tr>
        <w:trPr>
          <w:trHeight w:val="230"/>
        </w:trPr>
        <w:tc>
          <w:tcPr>
            <w:tcW w:w="4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161,295,696</w:t>
            </w: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174,127,352</w:t>
            </w: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457,952,554</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475,617,436</w:t>
            </w:r>
          </w:p>
        </w:tc>
      </w:tr>
      <w:tr>
        <w:trPr>
          <w:trHeight w:val="23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 (U.S.)</w:t>
            </w:r>
          </w:p>
        </w:tc>
        <w:tc>
          <w:tcPr>
            <w:tcW w:w="5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10,298,222</w:t>
            </w: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8,107,403</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468,250,776</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483,724,839</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a pandemic; global supply chain constraints;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203" w:lineRule="exact"/>
        <w:rPr>
          <w:sz w:val="20"/>
          <w:szCs w:val="20"/>
          <w:color w:val="auto"/>
        </w:rPr>
      </w:pPr>
    </w:p>
    <w:p>
      <w:pPr>
        <w:ind w:left="660" w:right="560"/>
        <w:spacing w:after="0" w:line="279"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 month periods ended March 31, 2022 and March 31, 2021: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48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560" w:type="dxa"/>
            <w:vAlign w:val="bottom"/>
          </w:tcPr>
          <w:p>
            <w:pPr>
              <w:spacing w:after="0"/>
              <w:rPr>
                <w:sz w:val="17"/>
                <w:szCs w:val="17"/>
                <w:color w:val="auto"/>
              </w:rPr>
            </w:pPr>
          </w:p>
        </w:tc>
        <w:tc>
          <w:tcPr>
            <w:tcW w:w="4020" w:type="dxa"/>
            <w:vAlign w:val="bottom"/>
            <w:gridSpan w:val="3"/>
          </w:tcPr>
          <w:p>
            <w:pPr>
              <w:jc w:val="right"/>
              <w:ind w:right="113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31"/>
        </w:trPr>
        <w:tc>
          <w:tcPr>
            <w:tcW w:w="448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Segment</w:t>
            </w:r>
          </w:p>
        </w:tc>
        <w:tc>
          <w:tcPr>
            <w:tcW w:w="5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40"/>
              <w:spacing w:after="0"/>
              <w:rPr>
                <w:sz w:val="20"/>
                <w:szCs w:val="20"/>
                <w:color w:val="auto"/>
              </w:rPr>
            </w:pPr>
            <w:r>
              <w:rPr>
                <w:rFonts w:ascii="Arial" w:cs="Arial" w:eastAsia="Arial" w:hAnsi="Arial"/>
                <w:sz w:val="18"/>
                <w:szCs w:val="18"/>
                <w:color w:val="auto"/>
              </w:rPr>
              <w:t>Automotive Mirrors &amp; Electronics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423,626,489</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435,506,930</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5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34,326,065</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40,110,506</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457,952,554</w:t>
            </w:r>
          </w:p>
        </w:tc>
        <w:tc>
          <w:tcPr>
            <w:tcW w:w="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475,617,436</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Other Segment</w:t>
            </w:r>
          </w:p>
        </w:tc>
        <w:tc>
          <w:tcPr>
            <w:tcW w:w="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Fire Protection Products</w:t>
            </w:r>
          </w:p>
        </w:tc>
        <w:tc>
          <w:tcPr>
            <w:tcW w:w="5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8,447,686</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5,804,158</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Aerospace Products</w:t>
            </w:r>
          </w:p>
        </w:tc>
        <w:tc>
          <w:tcPr>
            <w:tcW w:w="5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1,850,536</w:t>
            </w:r>
          </w:p>
        </w:tc>
        <w:tc>
          <w:tcPr>
            <w:tcW w:w="5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2,303,245</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10,298,222</w:t>
            </w:r>
          </w:p>
        </w:tc>
        <w:tc>
          <w:tcPr>
            <w:tcW w:w="5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8,107,403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57607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07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Leases</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has operating leases for certain sales and engineering offices, as well as other vehicles and equipment, which are included within "Plant and Equipment - Net" section of the Condensed Consolidated Balance Sheets. The leases have remaining lease terms of 1 year to 4 years. The weighted average remaining lease term for operating leases as of March 31, 2022 was 2 years, with a weighted average discount rate of 3.1%.</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for operating leases as of March 31,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34925</wp:posOffset>
            </wp:positionV>
            <wp:extent cx="666051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0515" cy="1289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23495</wp:posOffset>
            </wp:positionV>
            <wp:extent cx="6660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60515" cy="82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2022 (excluding the three months ended March 31, 2022)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1,013,318</w:t>
            </w:r>
          </w:p>
        </w:tc>
        <w:tc>
          <w:tcPr>
            <w:tcW w:w="22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921,600</w:t>
            </w:r>
          </w:p>
        </w:tc>
        <w:tc>
          <w:tcPr>
            <w:tcW w:w="22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159,826</w:t>
            </w:r>
          </w:p>
        </w:tc>
        <w:tc>
          <w:tcPr>
            <w:tcW w:w="22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7,102</w:t>
            </w:r>
          </w:p>
        </w:tc>
        <w:tc>
          <w:tcPr>
            <w:tcW w:w="22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Total future minimum lease payments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2,102,276</w:t>
            </w:r>
          </w:p>
        </w:tc>
        <w:tc>
          <w:tcPr>
            <w:tcW w:w="22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(25,959)</w:t>
            </w:r>
          </w:p>
        </w:tc>
        <w:tc>
          <w:tcPr>
            <w:tcW w:w="22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2,076,317</w:t>
            </w:r>
          </w:p>
        </w:tc>
        <w:tc>
          <w:tcPr>
            <w:tcW w:w="220" w:type="dxa"/>
            <w:vAlign w:val="bottom"/>
          </w:tcPr>
          <w:p>
            <w:pPr>
              <w:spacing w:after="0"/>
              <w:rPr>
                <w:sz w:val="19"/>
                <w:szCs w:val="19"/>
                <w:color w:val="auto"/>
              </w:rPr>
            </w:pPr>
          </w:p>
        </w:tc>
      </w:tr>
      <w:tr>
        <w:trPr>
          <w:trHeight w:val="358"/>
        </w:trPr>
        <w:tc>
          <w:tcPr>
            <w:tcW w:w="80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2"/>
        </w:trPr>
        <w:tc>
          <w:tcPr>
            <w:tcW w:w="8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Reported as of March 31, 2022</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r>
      <w:tr>
        <w:trPr>
          <w:trHeight w:val="251"/>
        </w:trPr>
        <w:tc>
          <w:tcPr>
            <w:tcW w:w="26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1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1,300,709</w:t>
            </w:r>
          </w:p>
        </w:tc>
      </w:tr>
      <w:tr>
        <w:trPr>
          <w:trHeight w:val="230"/>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775,608</w:t>
            </w:r>
          </w:p>
        </w:tc>
      </w:tr>
      <w:tr>
        <w:trPr>
          <w:trHeight w:val="223"/>
        </w:trPr>
        <w:tc>
          <w:tcPr>
            <w:tcW w:w="260" w:type="dxa"/>
            <w:vAlign w:val="bottom"/>
            <w:shd w:val="clear" w:color="auto" w:fill="CCEEFF"/>
          </w:tcPr>
          <w:p>
            <w:pPr>
              <w:spacing w:after="0"/>
              <w:rPr>
                <w:sz w:val="19"/>
                <w:szCs w:val="19"/>
                <w:color w:val="auto"/>
              </w:rPr>
            </w:pPr>
          </w:p>
        </w:tc>
        <w:tc>
          <w:tcPr>
            <w:tcW w:w="7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2,076,317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On March 3, 2021 the Company acquired Guardian for approximately $12.0 million. Guardian is an Israeli research and development company that specializes in in-cabin sensing technologies for the automotive industry. The Company funded the acquisition with cash on hand. The valuation process was completed during the fourth quarter of 2021.</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 xml:space="preserve">Guardian is now a 100% owned subsidiary of the Company as Gentex Technologies (Israel), LTD, and is classified within the Automotive segment. The Company accounted for the acquisition under the provisions of FASB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THREE MONTHS ENDED MARCH 31, 2022 VERSUS THREE MONTHS ENDED MARCH 31, 2021</w:t>
      </w:r>
    </w:p>
    <w:p>
      <w:pPr>
        <w:spacing w:after="0" w:line="144"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three months ended March 31, 2022 decreased by $15.5 million or 3% when compared with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2021.</w:t>
      </w:r>
    </w:p>
    <w:p>
      <w:pPr>
        <w:spacing w:after="0" w:line="9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Automotive net sales for the first three months of 2022 were $458.0 million, down 4% compared with automotive net sales of $475.6 million for the first three months of 2021, driven by a 7% quarter over quarter decrease in automotive mirror unit shipments. International automotive mirror shipments in the three months ended March 31, 2022 decreased 10% to 7.4 million units compared with the same period in 2021.</w:t>
      </w:r>
    </w:p>
    <w:p>
      <w:pPr>
        <w:spacing w:after="0" w:line="109"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months ended March 31, 2022, and 2021 </w:t>
      </w:r>
      <w:r>
        <w:rPr>
          <w:rFonts w:ascii="Arial" w:cs="Arial" w:eastAsia="Arial" w:hAnsi="Arial"/>
          <w:sz w:val="18"/>
          <w:szCs w:val="18"/>
          <w:i w:val="1"/>
          <w:iCs w:val="1"/>
          <w:color w:val="auto"/>
        </w:rPr>
        <w:t>(in thousands)</w:t>
      </w:r>
    </w:p>
    <w:p>
      <w:pPr>
        <w:spacing w:after="0" w:line="379"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39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50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14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2,161</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2,073</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14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1,461</w:t>
            </w: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1,493</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r>
      <w:tr>
        <w:trPr>
          <w:trHeight w:val="223"/>
        </w:trPr>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North American Mirror Units</w:t>
            </w:r>
          </w:p>
        </w:tc>
        <w:tc>
          <w:tcPr>
            <w:tcW w:w="14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3,623</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3,566</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70"/>
        </w:trPr>
        <w:tc>
          <w:tcPr>
            <w:tcW w:w="50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14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5,087</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5,779</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14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2,293</w:t>
            </w: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2,436</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w:t>
            </w:r>
          </w:p>
        </w:tc>
      </w:tr>
      <w:tr>
        <w:trPr>
          <w:trHeight w:val="223"/>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 Mirror Units</w:t>
            </w:r>
          </w:p>
        </w:tc>
        <w:tc>
          <w:tcPr>
            <w:tcW w:w="14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7,380</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8,215</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r>
      <w:tr>
        <w:trPr>
          <w:trHeight w:val="270"/>
        </w:trPr>
        <w:tc>
          <w:tcPr>
            <w:tcW w:w="50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14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7,248</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7,852</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14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3,755</w:t>
            </w: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3,929</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w:t>
            </w:r>
          </w:p>
        </w:tc>
      </w:tr>
      <w:tr>
        <w:trPr>
          <w:trHeight w:val="248"/>
        </w:trPr>
        <w:tc>
          <w:tcPr>
            <w:tcW w:w="5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Auto-Dimming Mirror Units</w:t>
            </w:r>
          </w:p>
        </w:tc>
        <w:tc>
          <w:tcPr>
            <w:tcW w:w="14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11,003</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11,780</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37"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65.7% for the first three months of 2022, versus</w:t>
      </w:r>
      <w:r>
        <w:rPr>
          <w:rFonts w:ascii="Arial" w:cs="Arial" w:eastAsia="Arial" w:hAnsi="Arial"/>
          <w:sz w:val="18"/>
          <w:szCs w:val="18"/>
          <w:i w:val="1"/>
          <w:iCs w:val="1"/>
          <w:color w:val="auto"/>
        </w:rPr>
        <w:t xml:space="preserve"> </w:t>
      </w:r>
      <w:r>
        <w:rPr>
          <w:rFonts w:ascii="Arial" w:cs="Arial" w:eastAsia="Arial" w:hAnsi="Arial"/>
          <w:sz w:val="18"/>
          <w:szCs w:val="18"/>
          <w:color w:val="auto"/>
        </w:rPr>
        <w:t>62.1% in the same quarter last year. The quarter over quarter decrease in the gross profit margin was primarily the result of raw material cost increases, elevated freight expenses, labor cost increases in response to a tight labor market, and annual customer price reductions. On a quarter over quarter basis, raw material increases had a negative impact of approximately 150-200 basis points on gross margin. Both freight expenses and labor cost increases each had a separate negative impact on gross margin of approximately 50 - 100 basis points. Annual customer price reductions had a negative impact of approximately 100 - 150 basis points on gross margin on a quarter over quarter basis.</w:t>
      </w:r>
    </w:p>
    <w:p>
      <w:pPr>
        <w:spacing w:after="0" w:line="5" w:lineRule="exact"/>
        <w:rPr>
          <w:sz w:val="20"/>
          <w:szCs w:val="20"/>
          <w:color w:val="auto"/>
        </w:rPr>
      </w:pPr>
    </w:p>
    <w:p>
      <w:pPr>
        <w:jc w:val="both"/>
        <w:ind w:left="660"/>
        <w:spacing w:after="0"/>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expenses ("E, R &amp; D") for the three months ended March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were $32.0 million, compared with $27.7 million for the same quarter last year. The 16% increase in E, R &amp; D in the first quarter of 2022 compared to the first quarter of 2021 was primarily due to additional staffing and professional fees, related to new product development and the ongoing product re-designs necessary to mitigate electronics part shortages.</w:t>
      </w:r>
    </w:p>
    <w:p>
      <w:pPr>
        <w:spacing w:after="0" w:line="194"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color w:val="auto"/>
        </w:rPr>
        <w:t>Selling, general, and administrative expenses ("S, G &amp; A") for the first three months of 2022 increased 15% or $3.2 million when compared with the same quarter last year. This increase in S, G &amp; A in the first quarter of 2022 compared to the first quarter of 2021 was primarily due to increases in outbound freight expenses and the return of in-person customer meetings and trade show related expenses.</w:t>
      </w:r>
    </w:p>
    <w:p>
      <w:pPr>
        <w:spacing w:after="0" w:line="120"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i w:val="1"/>
          <w:iCs w:val="1"/>
          <w:u w:val="single" w:color="auto"/>
          <w:color w:val="auto"/>
        </w:rPr>
        <w:t>Total Other (Loss)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(loss) income for the three months ended March 31, 2022 was a loss less than $0.1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a gain of $1.5 million for the same quarter last year.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0" w:name="page21"/>
    <w:bookmarkEnd w:id="20"/>
    <w:p>
      <w:pPr>
        <w:jc w:val="both"/>
        <w:spacing w:after="0" w:line="262"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15.3% for the three months ended March 31, 2022 compared to 16.1%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2021. Generally, effective tax rates for these periods differ from statutory federal income tax rates, due to provisions for state and local income taxes, permanent tax differences, and the foreign-derived intangible income tax deduction and research and development tax credits.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three months ended March 31, 2022 decreased by $25.9 million or 23% to $87.5 million versus</w:t>
      </w:r>
      <w:r>
        <w:rPr>
          <w:rFonts w:ascii="Arial" w:cs="Arial" w:eastAsia="Arial" w:hAnsi="Arial"/>
          <w:sz w:val="18"/>
          <w:szCs w:val="18"/>
          <w:i w:val="1"/>
          <w:iCs w:val="1"/>
          <w:color w:val="auto"/>
        </w:rPr>
        <w:t xml:space="preserve"> </w:t>
      </w:r>
      <w:r>
        <w:rPr>
          <w:rFonts w:ascii="Arial" w:cs="Arial" w:eastAsia="Arial" w:hAnsi="Arial"/>
          <w:sz w:val="18"/>
          <w:szCs w:val="18"/>
          <w:color w:val="auto"/>
        </w:rPr>
        <w:t>$113.5 million in the same quarter last year. The decrease in net income was primarily the result of the quarter over quarter changes in sales, gross margins and operating profits.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three months ended March 31, 2022 of $0.37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earnings per diluted share of $0.46 for the three months ended March 31, 2021. The quarter of quarter decrease in earnings per share is primarily due to the lower net income, but was positively impacted by a lower diluted share count when compared to the same quarter of 2021.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cash and cash equivalents as of March 31, 2022 were $279.7 million, which increased $17.4 million compared to $262.3 million as of December 31, 2021. The increase was primarily due to cash flows from operations, which was partially offset by share repurchases, dividend payments and capital expenditures, during the three months ended March 31, 2022.</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Short-term investments as of March 31, 2022 were $6.9 million, up from $5.4 million as of December 31, 2021, and long-term investments were $175.8 million as of March 31, 2022, compared to $207.7 million as of December 31, 2021. Changes in the investment balances were primarily driven by maturities of investments, which were partially offset by additional investment purchases during the three months ended March 31, 2022.</w:t>
      </w:r>
    </w:p>
    <w:p>
      <w:pPr>
        <w:spacing w:after="0" w:line="1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Accounts receivable as of March 31, 2022 increased approximately $31.7 million compared to December 31, 2021, primarily due to the timing of sales during the most recently completed three months. As of March 31, 2022, all of the Company's material tier one and OEM customers continue to be in good standing.</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Inventories as of March 31, 2022 were $362.7 million, compared to $316.3 million as of December 31, 2021, primarily due to increases in raw materials and finished goods.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Accounts payable as of March 31, 2022 increased approximately $42.5 million to $140.9 million when compared to December 31, 2021, primarily driven by month end payment timing.</w:t>
      </w:r>
    </w:p>
    <w:p>
      <w:pPr>
        <w:spacing w:after="0" w:line="7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Accrued liabilities as of March 31, 2022 increased approximately $15.0 million compared to December 31, 2021, primarily due to an increase in accrued salaries and wages, as well as accrued income taxes.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flow from operating activities for the three months ended March 31, 2022 decreased $ 74.9 million to $116.0 million, compared with $190.8 million during the same three month period last year, primarily due decreases in net income and changes in working capital.</w:t>
      </w:r>
    </w:p>
    <w:p>
      <w:pPr>
        <w:spacing w:after="0" w:line="1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Capital expenditures for the three months ended March 31, 2022 were approximately $23.9 million, compared with approximately $12.6 million for the same three month period last year.</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 In the first quarter of 2022, the Company began construction on a 342,000 square-foot manufacturing facility located at a 140 acre site in Zeeland, Michigan, where the Company previously performed master planning and completed land infrastructure improvements. The total cost of the building project is expected to be approximately $75 - $85 million and will be funded with cash and cash equivalents on hand. The facility is expected to be operational in the fourth quarter of 2023.</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estimates that it currently has building capacity to manufacture approximately 34 - 37 million interior mirror units annually and approximately 15 - 18 million exterior mirror units annually, based on current product mix. The Company also evaluates equipment capacity on an ongoing basis and adds equipment as needed.</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716,308,101</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691,319,649</w:t>
            </w:r>
          </w:p>
        </w:tc>
      </w:tr>
      <w:tr>
        <w:trPr>
          <w:trHeight w:val="22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 Term Investments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175,824,026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207,693,147</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892,132,127</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899,012,796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Future share repurchases may vary from time to time and will take into account macroeconomic events (including the COVID-19 pandemic, industry-wide parts</w:t>
      </w:r>
    </w:p>
    <w:p>
      <w:pPr>
        <w:sectPr>
          <w:pgSz w:w="11900" w:h="16838" w:orient="portrait"/>
          <w:cols w:equalWidth="0" w:num="1">
            <w:col w:w="10580"/>
          </w:cols>
          <w:pgMar w:left="980" w:top="118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type w:val="continuous"/>
        </w:sectPr>
      </w:pPr>
    </w:p>
    <w:bookmarkStart w:id="22" w:name="page23"/>
    <w:bookmarkEnd w:id="22"/>
    <w:p>
      <w:pPr>
        <w:jc w:val="both"/>
        <w:spacing w:after="0" w:line="262" w:lineRule="auto"/>
        <w:rPr>
          <w:sz w:val="20"/>
          <w:szCs w:val="20"/>
          <w:color w:val="auto"/>
        </w:rPr>
      </w:pPr>
      <w:r>
        <w:rPr>
          <w:rFonts w:ascii="Arial" w:cs="Arial" w:eastAsia="Arial" w:hAnsi="Arial"/>
          <w:sz w:val="18"/>
          <w:szCs w:val="18"/>
          <w:color w:val="auto"/>
        </w:rPr>
        <w:t xml:space="preserve">shortages, and global supply chain constraints), market trends, and other factors the Company deems appropriate (including the market price of the stock, anti-dilutive effect of repurchases, and available cash). During the three months ended March 31, 2022, the Company repurchased 2,440,190 shares. The Company has 22,383,878 shares remaining under the plan as of March 31, 2022, as is further detailed in </w:t>
      </w:r>
      <w:r>
        <w:rPr>
          <w:rFonts w:ascii="Arial" w:cs="Arial" w:eastAsia="Arial" w:hAnsi="Arial"/>
          <w:sz w:val="18"/>
          <w:szCs w:val="18"/>
          <w:u w:val="single" w:color="auto"/>
          <w:color w:val="auto"/>
        </w:rPr>
        <w:t>Part II, Item 2</w:t>
      </w:r>
      <w:r>
        <w:rPr>
          <w:rFonts w:ascii="Arial" w:cs="Arial" w:eastAsia="Arial" w:hAnsi="Arial"/>
          <w:sz w:val="18"/>
          <w:szCs w:val="18"/>
          <w:color w:val="auto"/>
        </w:rPr>
        <w:t xml:space="preserve"> of this Form 10-Q.</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first quarter of 2022, the Company reported net sales of $468.3 million, compared to net sales of $483.7 million in the first quarter of 2021. For the first quarter of 2022, global light vehicle production decreased approximately 5% when compared to the first quarter of 2021. Additionally, light vehicle production in the Company's primary markets of North America, Europe and Japan/Korea, declined by 11% on a quarter over quarter basis. These declines were primarily a result of the ongoing industry-wide component shortages and global supply chain constraints. Additionally, when compared to the mid-January 2022 IHS Markit light vehicle production forecast in the Company’s primary regions, actual light vehicle production during the first quarter of 2022 declined in excess of 4%.</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When looking forward into the second quarter and into 2023, the Company believes that the overall demand for vehicles and its products should still provide opportunities for the Company to continue to outperform the underlying market.</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first quarter of 2022, the Company had 21 net new launches of interior and exterior auto-dimming mirrors and electronic features. Also in the first quarter of 2022, there were several new base inside auto-dimming mirror launches, and of these, 60% were for the China domestic market.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Camera Systems</w:t>
      </w:r>
    </w:p>
    <w:p>
      <w:pPr>
        <w:spacing w:after="0" w:line="25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the fourth quarter of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w:t>
      </w:r>
    </w:p>
    <w:p>
      <w:pPr>
        <w:spacing w:after="0" w:line="22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As of the first quarter of 2022,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thirteen different automaker customers, which are General Motors, Subaru, Toyota, Nissan, Jaguar Land Rover, Mitsubishi, Aston Martin, Stellantis, along with Maserati and Fiat, Mercedes, Ferrari, and Ford. As of the end of the first quarter of 2022, the Company is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70 nameplates. The second quarter 2020 launch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Toyota Harrier was the first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launch with Digital Video Recording ("DVR") capability. This mirror and system launched in the Japan market, and combine the superior functionality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the added capability to record video from the rearward facing and forward-facing cameras simultaneously. Per OEM request, the data is stored to an SD storage card. This integrated solution provides consumers with the features they want, while allowing the OEM to control the integration and execution in the vehicle. The Company remains confident that on-going discussions with certain other customers, in the future, may cause such customers to consider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 As of the end of the first quarter of 2022, the Company has been awarded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programs with 14 OEMs.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23" w:name="page24"/>
    <w:bookmarkEnd w:id="23"/>
    <w:p>
      <w:pPr>
        <w:jc w:val="both"/>
        <w:spacing w:after="0" w:line="239" w:lineRule="auto"/>
        <w:rPr>
          <w:sz w:val="20"/>
          <w:szCs w:val="20"/>
          <w:color w:val="auto"/>
        </w:rPr>
      </w:pPr>
      <w:r>
        <w:rPr>
          <w:rFonts w:ascii="Arial" w:cs="Arial" w:eastAsia="Arial" w:hAnsi="Arial"/>
          <w:sz w:val="18"/>
          <w:szCs w:val="18"/>
          <w:color w:val="auto"/>
        </w:rPr>
        <w:t>To enhance capability and usability of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previously introduced its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 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("NHTSA") to allow automakers to use cameras as an option to replace conventional rearview mirrors within the United States.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18, 2019, a petition for temporary exemption from FMVSS 111 submitted by Audi of America was published requesting NHTSA to grant a two-year exemption to sell up to 2,500 vehicles for each twelve month period (up to 5,000 vehicles) that are equipped with camera monitoring systems and do not include FMVSS 111 compliant outside mirrors.</w:t>
      </w:r>
    </w:p>
    <w:p>
      <w:pPr>
        <w:spacing w:after="0" w:line="10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CMS to replace mirrors in Japan and European countries. Since January 2017, camera monitoring systems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has been in production with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since 2015 and has, in the ordinary course of business, been awarded programs with fourteen (14) OEM customers. The Company is currently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thirteen automaker customers. The Company's CMS solution uses three</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28" w:right="3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cameras to provide a comprehensive view of the sides and rear of the vehicle while still providing the traditional safety of interior and exterior mirrors, which mirrors continue to function when cameras are obstructed or are not functioning. The Company previously announced a CMS development program with Aston Martin. The Company has also previously announced that the Company continues development in the areas of imager performance, camera dynamic range, lens design, image processing from the camera to the display, and camera lens cleaning. The Company acknowledges that as such technology evolves over time, such as cameras replacing mirrors and/or autonomous driving, there will be increased competition.</w:t>
      </w:r>
    </w:p>
    <w:p>
      <w:pPr>
        <w:spacing w:after="0" w:line="10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Company's proprietary high beam control system integrated into its auto-dimming mirror.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Generation 4, which was developed using the fourth generation of the Company's custom designed CMOS imager, has an advanced feature set made possible by the high dynamic range of the imager including: high beam assist; dynamic forward lighting with high beams constantly on; LED matrix beam; and a variety of specific detection applications including tunnel, fog and road type as well as certain lane tracking features to assist with lighting control. The Company has the ability to package the control electronics inside of its interior rearview mirrors with a self-calibrating camera attached to the mirror mount with optimal mechanical packaging which also provides for ease of service. In addition, the Company has long been integrating its camera products to optimize performance by fusing with other systems on the vehicle, including radar, navigation, steering and related modules provided by other suppliers. This enables the Company to provide its customers with a highly customizable solution that meets their unique needs and specifications.</w:t>
      </w: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European New Car Assessment Program ("Euro NCAP") provides an incentive for automobiles sold in Europe to apply safety technologies that include driver assist features such as lane detection, vehicle detection, and pedestrian detection as standard equipment. Euro NCAP compliant driver assist systems are also capable of including high beam assist as a function. The increased application of Euro NCAP on European vehicles has had the effect of replacing, and could potentially continue replacing,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on these vehicles.</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December 8, 2015 NHTSA proposed changes to the NHTSA's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initially intended to implement the enhancements in NCAP in 2018 beginning with model year 2019 vehicles. The NCAP implementation has been delayed. Under these proposed changes, the Company believes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In March 2020, HR 6256 was introduced, which would require NHTSA to update NCAP. There are multiple bills being discussed in both the U.S. House of Representatives and the U.S. Senate that relate to NCAP.</w:t>
      </w:r>
    </w:p>
    <w:p>
      <w:pPr>
        <w:spacing w:after="0" w:line="22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 xml:space="preserve">On October 12, 2018, NHTSA published a Notice of Proposed Rulemaking ("NPRM") for amendments to Federal Motor Vehicle Safety Standard ("FMVSS") No. 108: </w:t>
      </w:r>
      <w:r>
        <w:rPr>
          <w:rFonts w:ascii="Arial" w:cs="Arial" w:eastAsia="Arial" w:hAnsi="Arial"/>
          <w:sz w:val="18"/>
          <w:szCs w:val="18"/>
          <w:i w:val="1"/>
          <w:iCs w:val="1"/>
          <w:color w:val="auto"/>
        </w:rPr>
        <w:t>Lamps, reflective devices, and associated equipment</w:t>
      </w:r>
      <w:r>
        <w:rPr>
          <w:rFonts w:ascii="Arial" w:cs="Arial" w:eastAsia="Arial" w:hAnsi="Arial"/>
          <w:sz w:val="18"/>
          <w:szCs w:val="18"/>
          <w:color w:val="auto"/>
        </w:rPr>
        <w: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108 standards, if amended.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has and will continue to be affected by increased competition by suppliers of multi-function driver assist camera products, which are able to achieve some of the same functionality as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noted, on October 10, 2019, an Advanced Notice of Proposed Rulemaking ("ANPRM") was published seeking public comment on permitting camera-based rear visibility systems, as an alternative to inside and</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25" w:name="page26"/>
    <w:bookmarkEnd w:id="25"/>
    <w:p>
      <w:pPr>
        <w:jc w:val="both"/>
        <w:spacing w:after="0" w:line="256" w:lineRule="auto"/>
        <w:rPr>
          <w:sz w:val="20"/>
          <w:szCs w:val="20"/>
          <w:color w:val="auto"/>
        </w:rPr>
      </w:pPr>
      <w:r>
        <w:rPr>
          <w:rFonts w:ascii="Arial" w:cs="Arial" w:eastAsia="Arial" w:hAnsi="Arial"/>
          <w:sz w:val="18"/>
          <w:szCs w:val="18"/>
          <w:color w:val="auto"/>
        </w:rPr>
        <w:t>outside rearview mirrors required under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February 1, 2022, NHTSA signed a Final Rule to allow for adaptive driving beam headlights and such Final Rule is awaiting publication in the Federal Registrar. The Company believes its adaptive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(dynamic lighting system), which has been manufactured and sold for many years in jurisdictions outside the United States, will be permitted under the NHTSA Final Rule.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Connected Car</w:t>
      </w:r>
    </w:p>
    <w:p>
      <w:pPr>
        <w:spacing w:after="0" w:line="14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During the first quarter of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commonly referred to as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which uses both RF and wireless cloud-based connectivity to deliver complete vehicle-to-home automation. With HomeLink Connect</w:t>
      </w:r>
      <w:r>
        <w:rPr>
          <w:rFonts w:ascii="Arial" w:cs="Arial" w:eastAsia="Arial" w:hAnsi="Arial"/>
          <w:sz w:val="23"/>
          <w:szCs w:val="23"/>
          <w:color w:val="auto"/>
          <w:vertAlign w:val="superscript"/>
        </w:rPr>
        <w:t>®</w:t>
      </w:r>
      <w:r>
        <w:rPr>
          <w:rFonts w:ascii="Arial" w:cs="Arial" w:eastAsia="Arial" w:hAnsi="Arial"/>
          <w:sz w:val="18"/>
          <w:szCs w:val="18"/>
          <w:color w:val="auto"/>
        </w:rPr>
        <w:t>,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on the user’s smartphone. The app contains predefined, user-programmed actions, from single device operations to entire home automation scenes. The app, in turn, communicates to the home’s smart hub over the cloud 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third party software into the vehicle’s computer network. The Company also continues to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In May 2021, the Company announced the Volkswagen as the first automaker to offer Bluetooth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enabled mirror for home automation that works in conjunction with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Company further continues to work with compatibility partners for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newer markets like China. The unique attributes of the China market allow for potential different use cases of these products and offer the potential for additional growth opportunities for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and products. In 2017, the Company began its first volume production shipments of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units on vehicles for the China market.</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January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could potentially represent another growth opportunity over the next several years.</w:t>
      </w:r>
    </w:p>
    <w:p>
      <w:pPr>
        <w:spacing w:after="0" w:line="22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has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Currently, the Company is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11 platforms, which are: the A4, A5, A6, A7, A8, Q5, Q5 Sportback, Q7, Q8, e-tron, and the e-tron Sportback. The Company expects further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nameplate launches with Audi throughout 2022 and 2023. During the third quarter of 2021, the Company began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a second OEM customer, Mercedes, on the EQS model. In April 2020, the Company was honored with an Automotive News PACE Award for its ITM</w:t>
      </w:r>
      <w:r>
        <w:rPr>
          <w:rFonts w:ascii="Arial" w:cs="Arial" w:eastAsia="Arial" w:hAnsi="Arial"/>
          <w:sz w:val="23"/>
          <w:szCs w:val="23"/>
          <w:color w:val="auto"/>
          <w:vertAlign w:val="superscript"/>
        </w:rPr>
        <w:t>®</w:t>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product, which recognizes automotive suppliers for superior innovation, technological advancement, and business performance.</w:t>
      </w:r>
    </w:p>
    <w:p>
      <w:pPr>
        <w:spacing w:after="0" w:line="25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2020, the Company announced a partnership, in the ordinary course of business, with PayByCar™, to pursue compatibility between the Company's Integrated Toll Module and PayByCar's innovative payment solution that allows drivers to use their smartphones and toll transponder to fuel up at certain gas stations without using cash or a credit card. Compatibility between these two technologies can help to grow each company's respective consumer base while introducing new users to the benefits of the transactional vehicle.</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 the automotive industry’s leading car-to-home automation system. HomeLink® consists of vehicle-integrated buttons that can be programmed to operate a myriad of home automation devices. Integration of Simplenight into the Company's HomeLink Connect® app is underway and will allow users to program their HomeLink® buttons and control cloud-based devices from their vehicles.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Dimmable Devices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January 2019, the Company announced that its latest generation of dimmable aircraft windows will be offered as optional content on the new Boeing 777X. During the third quarter of 2019, the first production shipments of variably dimmable windows were made to Boeing for the 777X program. In January 2020, the Company announced that Airbus will also be offering the Company's dimmable aircraft windows on an aircraft with production having began in the fourth quarter of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In 2022, the Company</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27" w:name="page28"/>
    <w:bookmarkEnd w:id="27"/>
    <w:p>
      <w:pPr>
        <w:jc w:val="both"/>
        <w:spacing w:after="0" w:line="287" w:lineRule="auto"/>
        <w:rPr>
          <w:sz w:val="20"/>
          <w:szCs w:val="20"/>
          <w:color w:val="auto"/>
        </w:rPr>
      </w:pPr>
      <w:r>
        <w:rPr>
          <w:rFonts w:ascii="Arial" w:cs="Arial" w:eastAsia="Arial" w:hAnsi="Arial"/>
          <w:sz w:val="18"/>
          <w:szCs w:val="18"/>
          <w:color w:val="auto"/>
        </w:rPr>
        <w:t>continues to further develop and work on the intelligent medical lighting system in order to assess system performance and work toward obtaining any necessary approvals.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Automotive revenues represent approximately 97% - 99% of the Company's total revenue, consisting of interior and exterior electrochromic automatic-dimming rearview mirrors and automotive electronics.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continues to experience pricing pressure from its automotive customers and competitors, which will continue to cause downward pressure on its sales and profit margins. The Company works continuously to offset these price reductions with engineering and purchasing cost reductions, productivity improvements, and increases in unit sales volume, but there is no assurance the Company will be able to do so in the future.</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 The Company has been likewise affected by the COVID-19 pandemic and industry-wide parts shortages and global supply constraints.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electronics and other features that it offers for the automotive, aerospace and medical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Company’s most recent forecasts for light vehicle production for the second quarter of 2022, and full years 2022 and 2023 are based on the mid-April 2022 IHS Markit light vehicle production forecast for light vehicle production in North America, Europe, Japan/Korea and China. Second quarter of 2021, and calendar years 2022 and 2023 forecasted light vehicle production volumes are shown below:</w:t>
      </w:r>
    </w:p>
    <w:p>
      <w:pPr>
        <w:jc w:val="center"/>
        <w:ind w:right="3540"/>
        <w:spacing w:after="0" w:line="221" w:lineRule="auto"/>
        <w:rPr>
          <w:sz w:val="20"/>
          <w:szCs w:val="20"/>
          <w:color w:val="auto"/>
        </w:rPr>
      </w:pPr>
      <w:r>
        <w:rPr>
          <w:rFonts w:ascii="Arial" w:cs="Arial" w:eastAsia="Arial" w:hAnsi="Arial"/>
          <w:sz w:val="20"/>
          <w:szCs w:val="20"/>
          <w:b w:val="1"/>
          <w:bCs w:val="1"/>
          <w:color w:val="auto"/>
        </w:rPr>
        <w:t>Light Vehicle Production (per IHS Markit Automotive mid-April light</w:t>
      </w:r>
    </w:p>
    <w:p>
      <w:pPr>
        <w:jc w:val="center"/>
        <w:ind w:right="3540"/>
        <w:spacing w:after="0"/>
        <w:rPr>
          <w:sz w:val="20"/>
          <w:szCs w:val="20"/>
          <w:color w:val="auto"/>
        </w:rPr>
      </w:pPr>
      <w:r>
        <w:rPr>
          <w:rFonts w:ascii="Arial" w:cs="Arial" w:eastAsia="Arial" w:hAnsi="Arial"/>
          <w:sz w:val="20"/>
          <w:szCs w:val="20"/>
          <w:b w:val="1"/>
          <w:bCs w:val="1"/>
          <w:color w:val="auto"/>
        </w:rPr>
        <w:t>vehicle production forecast)</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20"/>
          <w:szCs w:val="20"/>
          <w:b w:val="1"/>
          <w:bCs w:val="1"/>
          <w:i w:val="1"/>
          <w:iCs w:val="1"/>
          <w:color w:val="auto"/>
        </w:rPr>
        <w:t>(in Millions)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Q2</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Q2</w:t>
            </w: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0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Calendar Calendar Calendar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2023 vs</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2022 vs</w:t>
            </w:r>
          </w:p>
        </w:tc>
        <w:tc>
          <w:tcPr>
            <w:tcW w:w="0" w:type="dxa"/>
            <w:vAlign w:val="bottom"/>
          </w:tcPr>
          <w:p>
            <w:pPr>
              <w:spacing w:after="0"/>
              <w:rPr>
                <w:sz w:val="1"/>
                <w:szCs w:val="1"/>
                <w:color w:val="auto"/>
              </w:rPr>
            </w:pPr>
          </w:p>
        </w:tc>
      </w:tr>
      <w:tr>
        <w:trPr>
          <w:trHeight w:val="148"/>
        </w:trPr>
        <w:tc>
          <w:tcPr>
            <w:tcW w:w="1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Region</w:t>
            </w:r>
          </w:p>
        </w:tc>
        <w:tc>
          <w:tcPr>
            <w:tcW w:w="5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Year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Year</w:t>
            </w:r>
          </w:p>
        </w:tc>
        <w:tc>
          <w:tcPr>
            <w:tcW w:w="7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Year</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2022</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1340" w:type="dxa"/>
            <w:vAlign w:val="bottom"/>
            <w:vMerge w:val="continue"/>
          </w:tcPr>
          <w:p>
            <w:pPr>
              <w:spacing w:after="0"/>
              <w:rPr>
                <w:sz w:val="16"/>
                <w:szCs w:val="16"/>
                <w:color w:val="auto"/>
              </w:rPr>
            </w:pPr>
          </w:p>
        </w:tc>
        <w:tc>
          <w:tcPr>
            <w:tcW w:w="540" w:type="dxa"/>
            <w:vAlign w:val="bottom"/>
          </w:tcPr>
          <w:p>
            <w:pPr>
              <w:ind w:left="10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1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5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3.59</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16.49  14.75  13.05</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1340" w:type="dxa"/>
            <w:vAlign w:val="bottom"/>
          </w:tcPr>
          <w:p>
            <w:pPr>
              <w:ind w:left="20"/>
              <w:spacing w:after="0"/>
              <w:rPr>
                <w:sz w:val="20"/>
                <w:szCs w:val="20"/>
                <w:color w:val="auto"/>
              </w:rPr>
            </w:pPr>
            <w:r>
              <w:rPr>
                <w:rFonts w:ascii="Arial" w:cs="Arial" w:eastAsia="Arial" w:hAnsi="Arial"/>
                <w:sz w:val="18"/>
                <w:szCs w:val="18"/>
                <w:color w:val="auto"/>
              </w:rPr>
              <w:t>Europe</w:t>
            </w:r>
          </w:p>
        </w:tc>
        <w:tc>
          <w:tcPr>
            <w:tcW w:w="540" w:type="dxa"/>
            <w:vAlign w:val="bottom"/>
          </w:tcPr>
          <w:p>
            <w:pPr>
              <w:ind w:left="100"/>
              <w:spacing w:after="0"/>
              <w:rPr>
                <w:sz w:val="20"/>
                <w:szCs w:val="20"/>
                <w:color w:val="auto"/>
              </w:rPr>
            </w:pPr>
            <w:r>
              <w:rPr>
                <w:rFonts w:ascii="Arial" w:cs="Arial" w:eastAsia="Arial" w:hAnsi="Arial"/>
                <w:sz w:val="18"/>
                <w:szCs w:val="18"/>
                <w:color w:val="auto"/>
              </w:rPr>
              <w:t>3.98</w:t>
            </w:r>
          </w:p>
        </w:tc>
        <w:tc>
          <w:tcPr>
            <w:tcW w:w="540" w:type="dxa"/>
            <w:vAlign w:val="bottom"/>
          </w:tcPr>
          <w:p>
            <w:pPr>
              <w:jc w:val="right"/>
              <w:spacing w:after="0"/>
              <w:rPr>
                <w:sz w:val="20"/>
                <w:szCs w:val="20"/>
                <w:color w:val="auto"/>
              </w:rPr>
            </w:pPr>
            <w:r>
              <w:rPr>
                <w:rFonts w:ascii="Arial" w:cs="Arial" w:eastAsia="Arial" w:hAnsi="Arial"/>
                <w:sz w:val="18"/>
                <w:szCs w:val="18"/>
                <w:color w:val="auto"/>
              </w:rPr>
              <w:t>4.14</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18.31</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16.49</w:t>
            </w:r>
          </w:p>
        </w:tc>
        <w:tc>
          <w:tcPr>
            <w:tcW w:w="64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76"/>
        </w:trPr>
        <w:tc>
          <w:tcPr>
            <w:tcW w:w="1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Japan and</w:t>
            </w:r>
          </w:p>
        </w:tc>
        <w:tc>
          <w:tcPr>
            <w:tcW w:w="5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2.84</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11.76</w:t>
            </w:r>
          </w:p>
        </w:tc>
        <w:tc>
          <w:tcPr>
            <w:tcW w:w="66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11.36</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540" w:type="dxa"/>
            <w:vAlign w:val="bottom"/>
            <w:vMerge w:val="continue"/>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tcBorders>
              <w:right w:val="single" w:sz="8" w:color="auto"/>
            </w:tcBorders>
            <w:vMerge w:val="continue"/>
            <w:shd w:val="clear" w:color="auto" w:fill="CCEEFF"/>
          </w:tcPr>
          <w:p>
            <w:pPr>
              <w:spacing w:after="0"/>
              <w:rPr>
                <w:sz w:val="21"/>
                <w:szCs w:val="21"/>
                <w:color w:val="auto"/>
              </w:rPr>
            </w:pPr>
          </w:p>
        </w:tc>
        <w:tc>
          <w:tcPr>
            <w:tcW w:w="860" w:type="dxa"/>
            <w:vAlign w:val="bottom"/>
            <w:tcBorders>
              <w:right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5.50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26.94</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24.63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5"/>
        </w:trPr>
        <w:tc>
          <w:tcPr>
            <w:tcW w:w="13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Light</w:t>
            </w: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tcBorders>
              <w:right w:val="single" w:sz="8" w:color="auto"/>
            </w:tcBorders>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Vehicle</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15.91 15.87</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73.50</w:t>
            </w:r>
          </w:p>
        </w:tc>
        <w:tc>
          <w:tcPr>
            <w:tcW w:w="66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67.23</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8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6"/>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108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tcBorders>
              <w:right w:val="single" w:sz="8" w:color="auto"/>
            </w:tcBorders>
            <w:vMerge w:val="continue"/>
            <w:shd w:val="clear" w:color="auto" w:fill="CCEEFF"/>
          </w:tcPr>
          <w:p>
            <w:pPr>
              <w:spacing w:after="0"/>
              <w:rPr>
                <w:sz w:val="20"/>
                <w:szCs w:val="20"/>
                <w:color w:val="auto"/>
              </w:rPr>
            </w:pPr>
          </w:p>
        </w:tc>
        <w:tc>
          <w:tcPr>
            <w:tcW w:w="860" w:type="dxa"/>
            <w:vAlign w:val="bottom"/>
            <w:tcBorders>
              <w:right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Based on the aforementioned light vehicle production forecast and the results for the first three months of 2022, the Company is making no changes to its previously provided guidance for calendar year 2022 as shown below.</w:t>
      </w:r>
    </w:p>
    <w:p>
      <w:pPr>
        <w:spacing w:after="0" w:line="2" w:lineRule="exact"/>
        <w:rPr>
          <w:sz w:val="20"/>
          <w:szCs w:val="20"/>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is expected to be between $1.87 and $2.02 billion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Gross Margin is expected to be between 35% and 36%</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Expenses are expected to be approximately $230 to $240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Estimated Annual Tax Rate, which assumes no changes to the statutory rate, is expected to be between 15% and 17%</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Expenditures are expected to be between $150 and $175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Depreciation and Amortization is expected to be between $100 and $110 million</w:t>
      </w:r>
    </w:p>
    <w:p>
      <w:pPr>
        <w:spacing w:after="0" w:line="2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Ongoing uncertainties remain around the impact of the COVID-19 pandemic on customer demand and restrictions on operations. COVID-19 has created unprecedented circumstances for the Company's industries, which have included significant changes to production levels at its customers that occurred in a very short time period, electronic suppliers failure to meet the Company's orders by having significant changes to production levels that can occur in a very short period of time that limits the Company's production of finished goods, and the ongoing shutdowns in China. Beyond the impact of the COVID-19 pandemic, other ongoing uncertainties remain including: light vehicle production levels; industry-wide parts shortages and global supply chain constraints; impacts of already in place and potential additional future tariffs; impacts of regulation changes; automotive plant shutdowns; vehicle sales rates in Europe, Asia and North America; OEM strategies and cost pressures; customer inventory management and the impact of potential automotive customer (including their Tier 1 suppliers) and supplier bankruptcies; work stoppages; etc., all of which could disrupt shipments to these customers and make forecasting difficult.</w:t>
      </w:r>
    </w:p>
    <w:p>
      <w:pPr>
        <w:spacing w:after="0" w:line="21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accordance with the previously announced share repurchase plan, the Company will consider the appropriateness of continuing to repurchase additional shares of common stock in the future in support of the capital allocation strategy, but share repurchases may vary from time to time and will take into account macroeconomic events (including the COVID-19 pandemic and shutdowns related to the microchip shortage as well as other supply chain constraints), market trends, and other factors the Company deems appropriate (including the market price of the stock, anti-dilutive effect of repurchases, and available cash). As of March 31, 2022, the Company has 22.4 million shares remaining available for repurchase under the previously announced share repurchase plan.</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based on the mid-April 2022 light vehicle production estimates for 2023, the Company is providing revenue guidance for 2023, despite the fact that there continues to be uncertainty regarding macroeconomic conditions, underlying overall consumer demand for light vehicles worldwide, and the continued impact from the COVID-19 pandemic. The Company continues to estimate that revenue for calendar year 2023 will be approximately 15% - 20% higher than the 2022 estimated revenue estimates of $1.87 - $2.02 billion. As noted above, continuing uncertainties make forecasting difficult.</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4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17"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2021.</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realized losses on the sale of fixed income investments and/or recognized losses due to impairment of available for sale securities (mark-to-market adjustments). For the quarter ended March 31, 2022, any material changes in risk factors that were disclosed in the Company's report on Form 10-K for the year ended December 31, 2021 are set forth herein.</w:t>
      </w:r>
    </w:p>
    <w:p>
      <w:pPr>
        <w:spacing w:after="0" w:line="11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and Chinese Yuan Renminbi accounts, which currently are not significant overall to the Company as a whole. Because the Company sells its automotive mirrors throughout the world, and automotive manufacturing is highly dependent on general economic conditions and the global supply chain, the Company has been and will continue to be affected by uncertain economic conditions in North American and foreign markets that have and could continue to reduce demand for its products.</w:t>
      </w:r>
    </w:p>
    <w:p>
      <w:pPr>
        <w:spacing w:after="0" w:line="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March 31, 2022, and have concluded that as of that date, the Company's disclosure controls and procedures are effective.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March 31, 2022 that materially affected, or are reasonably likely to materially affect, the Company's internal control over financial reporting.</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This Quarterly Report contains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w:t>
      </w:r>
      <w:r>
        <w:rPr>
          <w:rFonts w:ascii="Arial" w:cs="Arial" w:eastAsia="Arial" w:hAnsi="Arial"/>
          <w:sz w:val="18"/>
          <w:szCs w:val="18"/>
          <w:color w:val="0A0A0A"/>
        </w:rPr>
        <w:t>These</w:t>
      </w:r>
      <w:r>
        <w:rPr>
          <w:rFonts w:ascii="Arial" w:cs="Arial" w:eastAsia="Arial" w:hAnsi="Arial"/>
          <w:sz w:val="18"/>
          <w:szCs w:val="18"/>
          <w:color w:val="auto"/>
        </w:rPr>
        <w:t xml:space="preserve"> </w:t>
      </w:r>
      <w:r>
        <w:rPr>
          <w:rFonts w:ascii="Arial" w:cs="Arial" w:eastAsia="Arial" w:hAnsi="Arial"/>
          <w:sz w:val="18"/>
          <w:szCs w:val="18"/>
          <w:color w:val="0A0A0A"/>
        </w:rPr>
        <w:t>forward-looking statements generally can be identified by the use of words such as “anticipate,” “believe,” “could,” “estimate,” “expect,” “forecast,” “future,” “goal,” “guidance,” “hope,” “intend,” “may,” “opinion,” “optimistic,” “plan,” “poised,” “predict,” “project,” “should,” “strategy,” “target,” “will,”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w:t>
      </w:r>
    </w:p>
    <w:p>
      <w:pPr>
        <w:sectPr>
          <w:pgSz w:w="11900" w:h="16838" w:orient="portrait"/>
          <w:cols w:equalWidth="0" w:num="1">
            <w:col w:w="11240"/>
          </w:cols>
          <w:pgMar w:left="320" w:top="1187"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30" w:name="page31"/>
    <w:bookmarkEnd w:id="30"/>
    <w:p>
      <w:pPr>
        <w:jc w:val="both"/>
        <w:spacing w:after="0" w:line="253" w:lineRule="auto"/>
        <w:rPr>
          <w:sz w:val="20"/>
          <w:szCs w:val="20"/>
          <w:color w:val="auto"/>
        </w:rPr>
      </w:pPr>
      <w:r>
        <w:rPr>
          <w:rFonts w:ascii="Arial" w:cs="Arial" w:eastAsia="Arial" w:hAnsi="Arial"/>
          <w:sz w:val="18"/>
          <w:szCs w:val="18"/>
          <w:color w:val="0A0A0A"/>
        </w:rPr>
        <w:t>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the length and severity of the COVID-19 (coronavirus) pandemic, including its impact across our business on demand, operations, and the global supply chain. Readers are cautioned not to place undue reliance on these forward-looking statements, which speak only as of the date they are made.</w:t>
      </w:r>
    </w:p>
    <w:p>
      <w:pPr>
        <w:spacing w:after="0" w:line="21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now include the impacts of COVID-19 (coronavirus) pandemic and supply chain constraints that have affected, are affecting, and will continue to affect, general economic and industry conditions, customers, suppliers, and the regulatory environment in which the Company operates. Includes content supplied by IHS Markit Light Vehicle Production Forecast of April 18, 2022 (http://www.gentex.com/forecast-disclaimer).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2021. There have been no material changes to the risk factors previously disclosed in the Company’s report on Form 10-K for the year ended December 31, 2021, except to the extent described in Part I – Item 2 and Item 3 of this Form 10-Q, and otherwise herein.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 of Equity Securities</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During the first quarter of 2022, the Company repurchased 2.4 million shares under the share repurchase plan. As previously disclosed, the Company will consider the appropriateness of continuing to repurchase additional shares of common stock in the future in support of the capital allocation strategy, but share repurchases may vary from time to time and will take into account macroeconomic events (including the COVID-19 pandemic and shutdowns related to the microchip shortage as well as other supply chain constraints), market trends, and other factors the Company deems appropriate (including the market price of the stock, anti-dilutive effect of repurchases, and available cash).</w:t>
      </w:r>
    </w:p>
    <w:p>
      <w:pPr>
        <w:spacing w:after="0" w:line="21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As previously announced, the Company's Board of Directors recently authorized the repurchase of an additional 25,000,000 shares under the plan. After the Company repurchased 2,440,190 shares during the first three months of 2022, the Company has 22.4 million shares remaining under the plan as of March 31, 2022.</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2600" w:type="dxa"/>
            <w:vAlign w:val="bottom"/>
            <w:gridSpan w:val="2"/>
          </w:tcPr>
          <w:p>
            <w:pPr>
              <w:spacing w:after="0"/>
              <w:rPr>
                <w:sz w:val="20"/>
                <w:szCs w:val="20"/>
                <w:color w:val="auto"/>
              </w:rPr>
            </w:pPr>
            <w:r>
              <w:rPr>
                <w:rFonts w:ascii="Arial" w:cs="Arial" w:eastAsia="Arial" w:hAnsi="Arial"/>
                <w:sz w:val="18"/>
                <w:szCs w:val="18"/>
                <w:color w:val="auto"/>
              </w:rPr>
              <w:t>The  following  is  a  summary</w:t>
            </w:r>
          </w:p>
        </w:tc>
        <w:tc>
          <w:tcPr>
            <w:tcW w:w="5120" w:type="dxa"/>
            <w:vAlign w:val="bottom"/>
            <w:gridSpan w:val="3"/>
          </w:tcPr>
          <w:p>
            <w:pPr>
              <w:jc w:val="right"/>
              <w:ind w:right="38"/>
              <w:spacing w:after="0"/>
              <w:rPr>
                <w:sz w:val="20"/>
                <w:szCs w:val="20"/>
                <w:color w:val="auto"/>
              </w:rPr>
            </w:pPr>
            <w:r>
              <w:rPr>
                <w:rFonts w:ascii="Arial" w:cs="Arial" w:eastAsia="Arial" w:hAnsi="Arial"/>
                <w:sz w:val="18"/>
                <w:szCs w:val="18"/>
                <w:color w:val="auto"/>
              </w:rPr>
              <w:t>of  share  repurchase  activity  during  each  month  of  the</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quarter  ended  March  31,  2022:</w:t>
            </w:r>
          </w:p>
        </w:tc>
        <w:tc>
          <w:tcPr>
            <w:tcW w:w="0" w:type="dxa"/>
            <w:vAlign w:val="bottom"/>
          </w:tcPr>
          <w:p>
            <w:pPr>
              <w:spacing w:after="0"/>
              <w:rPr>
                <w:sz w:val="1"/>
                <w:szCs w:val="1"/>
                <w:color w:val="auto"/>
              </w:rPr>
            </w:pPr>
          </w:p>
        </w:tc>
      </w:tr>
      <w:tr>
        <w:trPr>
          <w:trHeight w:val="224"/>
        </w:trPr>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20" w:type="dxa"/>
            <w:vAlign w:val="bottom"/>
            <w:gridSpan w:val="3"/>
          </w:tcPr>
          <w:p>
            <w:pPr>
              <w:jc w:val="right"/>
              <w:ind w:right="1498"/>
              <w:spacing w:after="0"/>
              <w:rPr>
                <w:sz w:val="20"/>
                <w:szCs w:val="20"/>
                <w:color w:val="auto"/>
              </w:rPr>
            </w:pPr>
            <w:r>
              <w:rPr>
                <w:rFonts w:ascii="Arial" w:cs="Arial" w:eastAsia="Arial" w:hAnsi="Arial"/>
                <w:sz w:val="14"/>
                <w:szCs w:val="14"/>
                <w:b w:val="1"/>
                <w:bCs w:val="1"/>
                <w:color w:val="auto"/>
              </w:rPr>
              <w:t>Issuer Purchase of Equity Securities</w:t>
            </w:r>
          </w:p>
        </w:tc>
        <w:tc>
          <w:tcPr>
            <w:tcW w:w="2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8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80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rPr>
              <w:t>Total Number of Shares</w:t>
            </w:r>
          </w:p>
        </w:tc>
        <w:tc>
          <w:tcPr>
            <w:tcW w:w="1440" w:type="dxa"/>
            <w:vAlign w:val="bottom"/>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 a</w:t>
            </w:r>
          </w:p>
        </w:tc>
        <w:tc>
          <w:tcPr>
            <w:tcW w:w="2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Average Price Paid</w:t>
            </w:r>
          </w:p>
        </w:tc>
        <w:tc>
          <w:tcPr>
            <w:tcW w:w="2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Publicly Announced Plan or</w:t>
            </w:r>
          </w:p>
        </w:tc>
        <w:tc>
          <w:tcPr>
            <w:tcW w:w="2840" w:type="dxa"/>
            <w:vAlign w:val="bottom"/>
            <w:gridSpan w:val="2"/>
          </w:tcPr>
          <w:p>
            <w:pPr>
              <w:jc w:val="center"/>
              <w:ind w:right="760"/>
              <w:spacing w:after="0" w:line="145"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89"/>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620" w:type="dxa"/>
            <w:vAlign w:val="bottom"/>
          </w:tcPr>
          <w:p>
            <w:pPr>
              <w:jc w:val="right"/>
              <w:ind w:right="455"/>
              <w:spacing w:after="0"/>
              <w:rPr>
                <w:sz w:val="20"/>
                <w:szCs w:val="20"/>
                <w:color w:val="auto"/>
              </w:rPr>
            </w:pPr>
            <w:r>
              <w:rPr>
                <w:rFonts w:ascii="Arial" w:cs="Arial" w:eastAsia="Arial" w:hAnsi="Arial"/>
                <w:sz w:val="14"/>
                <w:szCs w:val="14"/>
                <w:b w:val="1"/>
                <w:bCs w:val="1"/>
                <w:color w:val="auto"/>
              </w:rPr>
              <w:t>Purchased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Program</w:t>
            </w:r>
          </w:p>
        </w:tc>
        <w:tc>
          <w:tcPr>
            <w:tcW w:w="28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2022</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24,824,068</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gridSpan w:val="2"/>
          </w:tcPr>
          <w:p>
            <w:pPr>
              <w:ind w:left="20"/>
              <w:spacing w:after="0"/>
              <w:rPr>
                <w:sz w:val="20"/>
                <w:szCs w:val="20"/>
                <w:color w:val="auto"/>
              </w:rPr>
            </w:pPr>
            <w:r>
              <w:rPr>
                <w:rFonts w:ascii="Arial" w:cs="Arial" w:eastAsia="Arial" w:hAnsi="Arial"/>
                <w:sz w:val="18"/>
                <w:szCs w:val="18"/>
                <w:color w:val="auto"/>
              </w:rPr>
              <w:t>February 2022</w:t>
            </w:r>
          </w:p>
        </w:tc>
        <w:tc>
          <w:tcPr>
            <w:tcW w:w="1620" w:type="dxa"/>
            <w:vAlign w:val="bottom"/>
          </w:tcPr>
          <w:p>
            <w:pPr>
              <w:jc w:val="right"/>
              <w:spacing w:after="0"/>
              <w:rPr>
                <w:sz w:val="20"/>
                <w:szCs w:val="20"/>
                <w:color w:val="auto"/>
              </w:rPr>
            </w:pPr>
            <w:r>
              <w:rPr>
                <w:rFonts w:ascii="Arial" w:cs="Arial" w:eastAsia="Arial" w:hAnsi="Arial"/>
                <w:sz w:val="18"/>
                <w:szCs w:val="18"/>
                <w:color w:val="auto"/>
              </w:rPr>
              <w:t>490,021</w:t>
            </w:r>
          </w:p>
        </w:tc>
        <w:tc>
          <w:tcPr>
            <w:tcW w:w="1440" w:type="dxa"/>
            <w:vAlign w:val="bottom"/>
          </w:tcPr>
          <w:p>
            <w:pPr>
              <w:jc w:val="right"/>
              <w:spacing w:after="0"/>
              <w:rPr>
                <w:sz w:val="20"/>
                <w:szCs w:val="20"/>
                <w:color w:val="auto"/>
              </w:rPr>
            </w:pPr>
            <w:r>
              <w:rPr>
                <w:rFonts w:ascii="Arial" w:cs="Arial" w:eastAsia="Arial" w:hAnsi="Arial"/>
                <w:sz w:val="18"/>
                <w:szCs w:val="18"/>
                <w:color w:val="auto"/>
              </w:rPr>
              <w:t>30.63</w:t>
            </w:r>
          </w:p>
        </w:tc>
        <w:tc>
          <w:tcPr>
            <w:tcW w:w="2060" w:type="dxa"/>
            <w:vAlign w:val="bottom"/>
          </w:tcPr>
          <w:p>
            <w:pPr>
              <w:jc w:val="right"/>
              <w:spacing w:after="0"/>
              <w:rPr>
                <w:sz w:val="20"/>
                <w:szCs w:val="20"/>
                <w:color w:val="auto"/>
              </w:rPr>
            </w:pPr>
            <w:r>
              <w:rPr>
                <w:rFonts w:ascii="Arial" w:cs="Arial" w:eastAsia="Arial" w:hAnsi="Arial"/>
                <w:sz w:val="18"/>
                <w:szCs w:val="18"/>
                <w:color w:val="auto"/>
              </w:rPr>
              <w:t>490,021</w:t>
            </w:r>
          </w:p>
        </w:tc>
        <w:tc>
          <w:tcPr>
            <w:tcW w:w="2060" w:type="dxa"/>
            <w:vAlign w:val="bottom"/>
          </w:tcPr>
          <w:p>
            <w:pPr>
              <w:jc w:val="right"/>
              <w:spacing w:after="0"/>
              <w:rPr>
                <w:sz w:val="20"/>
                <w:szCs w:val="20"/>
                <w:color w:val="auto"/>
              </w:rPr>
            </w:pPr>
            <w:r>
              <w:rPr>
                <w:rFonts w:ascii="Arial" w:cs="Arial" w:eastAsia="Arial" w:hAnsi="Arial"/>
                <w:sz w:val="18"/>
                <w:szCs w:val="18"/>
                <w:color w:val="auto"/>
              </w:rPr>
              <w:t>24,334,047</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2022</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1,950,169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1,950,169</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22,383,878</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1st Quarter 2022 Total</w:t>
            </w:r>
          </w:p>
        </w:tc>
        <w:tc>
          <w:tcPr>
            <w:tcW w:w="18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2,440,190</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29.20</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2,440,190</w:t>
            </w:r>
          </w:p>
        </w:tc>
        <w:tc>
          <w:tcPr>
            <w:tcW w:w="2060" w:type="dxa"/>
            <w:vAlign w:val="bottom"/>
            <w:tcBorders>
              <w:bottom w:val="single" w:sz="8" w:color="CCEEFF"/>
            </w:tcBorders>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00" w:type="dxa"/>
            <w:vAlign w:val="bottom"/>
            <w:gridSpan w:val="2"/>
          </w:tcPr>
          <w:p>
            <w:pPr>
              <w:ind w:left="20"/>
              <w:spacing w:after="0"/>
              <w:rPr>
                <w:sz w:val="20"/>
                <w:szCs w:val="20"/>
                <w:color w:val="auto"/>
              </w:rPr>
            </w:pPr>
            <w:r>
              <w:rPr>
                <w:rFonts w:ascii="Arial" w:cs="Arial" w:eastAsia="Arial" w:hAnsi="Arial"/>
                <w:sz w:val="18"/>
                <w:szCs w:val="18"/>
                <w:color w:val="auto"/>
              </w:rPr>
              <w:t>2022 Total</w:t>
            </w:r>
          </w:p>
        </w:tc>
        <w:tc>
          <w:tcPr>
            <w:tcW w:w="1620" w:type="dxa"/>
            <w:vAlign w:val="bottom"/>
          </w:tcPr>
          <w:p>
            <w:pPr>
              <w:jc w:val="right"/>
              <w:spacing w:after="0"/>
              <w:rPr>
                <w:sz w:val="20"/>
                <w:szCs w:val="20"/>
                <w:color w:val="auto"/>
              </w:rPr>
            </w:pPr>
            <w:r>
              <w:rPr>
                <w:rFonts w:ascii="Arial" w:cs="Arial" w:eastAsia="Arial" w:hAnsi="Arial"/>
                <w:sz w:val="18"/>
                <w:szCs w:val="18"/>
                <w:color w:val="auto"/>
              </w:rPr>
              <w:t>2,440,190</w:t>
            </w:r>
          </w:p>
        </w:tc>
        <w:tc>
          <w:tcPr>
            <w:tcW w:w="1440" w:type="dxa"/>
            <w:vAlign w:val="bottom"/>
          </w:tcPr>
          <w:p>
            <w:pPr>
              <w:jc w:val="right"/>
              <w:spacing w:after="0"/>
              <w:rPr>
                <w:sz w:val="20"/>
                <w:szCs w:val="20"/>
                <w:color w:val="auto"/>
              </w:rPr>
            </w:pPr>
            <w:r>
              <w:rPr>
                <w:rFonts w:ascii="Arial" w:cs="Arial" w:eastAsia="Arial" w:hAnsi="Arial"/>
                <w:sz w:val="18"/>
                <w:szCs w:val="18"/>
                <w:color w:val="auto"/>
              </w:rPr>
              <w:t>29.20</w:t>
            </w:r>
          </w:p>
        </w:tc>
        <w:tc>
          <w:tcPr>
            <w:tcW w:w="2060" w:type="dxa"/>
            <w:vAlign w:val="bottom"/>
          </w:tcPr>
          <w:p>
            <w:pPr>
              <w:jc w:val="right"/>
              <w:spacing w:after="0"/>
              <w:rPr>
                <w:sz w:val="20"/>
                <w:szCs w:val="20"/>
                <w:color w:val="auto"/>
              </w:rPr>
            </w:pPr>
            <w:r>
              <w:rPr>
                <w:rFonts w:ascii="Arial" w:cs="Arial" w:eastAsia="Arial" w:hAnsi="Arial"/>
                <w:sz w:val="18"/>
                <w:szCs w:val="18"/>
                <w:color w:val="auto"/>
              </w:rPr>
              <w:t>2,440,190</w:t>
            </w:r>
          </w:p>
        </w:tc>
        <w:tc>
          <w:tcPr>
            <w:tcW w:w="2060" w:type="dxa"/>
            <w:vAlign w:val="bottom"/>
          </w:tcPr>
          <w:p>
            <w:pPr>
              <w:jc w:val="right"/>
              <w:spacing w:after="0"/>
              <w:rPr>
                <w:sz w:val="20"/>
                <w:szCs w:val="20"/>
                <w:color w:val="auto"/>
              </w:rPr>
            </w:pPr>
            <w:r>
              <w:rPr>
                <w:rFonts w:ascii="Arial" w:cs="Arial" w:eastAsia="Arial" w:hAnsi="Arial"/>
                <w:sz w:val="18"/>
                <w:szCs w:val="18"/>
                <w:color w:val="auto"/>
              </w:rPr>
              <w:t>22,383,878</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660" w:right="860"/>
        <w:spacing w:after="0" w:line="287" w:lineRule="auto"/>
        <w:rPr>
          <w:sz w:val="20"/>
          <w:szCs w:val="20"/>
          <w:color w:val="auto"/>
        </w:rPr>
      </w:pPr>
      <w:r>
        <w:rPr>
          <w:rFonts w:ascii="Arial" w:cs="Arial" w:eastAsia="Arial" w:hAnsi="Arial"/>
          <w:sz w:val="18"/>
          <w:szCs w:val="18"/>
          <w:color w:val="auto"/>
        </w:rPr>
        <w:t>As of March 31, 2022 the Company has repurchased 149,615,850 shares at a total cost of $2,558,006,127 under its share repurchase plan or as otherwise previously disclosed.</w:t>
      </w:r>
    </w:p>
    <w:p>
      <w:pPr>
        <w:spacing w:after="0" w:line="200" w:lineRule="exact"/>
        <w:rPr>
          <w:sz w:val="20"/>
          <w:szCs w:val="20"/>
          <w:color w:val="auto"/>
        </w:rPr>
      </w:pPr>
    </w:p>
    <w:p>
      <w:pPr>
        <w:spacing w:after="0" w:line="2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See Exhibit Index on Page </w:t>
      </w:r>
      <w:r>
        <w:rPr>
          <w:rFonts w:ascii="Arial" w:cs="Arial" w:eastAsia="Arial" w:hAnsi="Arial"/>
          <w:sz w:val="18"/>
          <w:szCs w:val="18"/>
          <w:u w:val="single" w:color="auto"/>
          <w:color w:val="0000FF"/>
        </w:rPr>
        <w:t>34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2" w:name="page33"/>
    <w:bookmarkEnd w:id="32"/>
    <w:p>
      <w:pPr>
        <w:spacing w:after="0" w:line="382"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120"/>
              <w:spacing w:after="0"/>
              <w:rPr>
                <w:sz w:val="20"/>
                <w:szCs w:val="20"/>
                <w:color w:val="auto"/>
              </w:rPr>
            </w:pPr>
            <w:r>
              <w:rPr>
                <w:rFonts w:ascii="Arial" w:cs="Arial" w:eastAsia="Arial" w:hAnsi="Arial"/>
                <w:sz w:val="18"/>
                <w:szCs w:val="18"/>
                <w:color w:val="auto"/>
              </w:rPr>
              <w:t>May 5, 2022</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Downing</w:t>
            </w:r>
          </w:p>
        </w:tc>
      </w:tr>
      <w:tr>
        <w:trPr>
          <w:trHeight w:val="218"/>
        </w:trPr>
        <w:tc>
          <w:tcPr>
            <w:tcW w:w="5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Steven R. Downing</w:t>
            </w:r>
          </w:p>
        </w:tc>
      </w:tr>
      <w:tr>
        <w:trPr>
          <w:trHeight w:val="229"/>
        </w:trPr>
        <w:tc>
          <w:tcPr>
            <w:tcW w:w="5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(Principal Executive Officer) on behalf of 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120"/>
              <w:spacing w:after="0"/>
              <w:rPr>
                <w:sz w:val="20"/>
                <w:szCs w:val="20"/>
                <w:color w:val="auto"/>
              </w:rPr>
            </w:pPr>
            <w:r>
              <w:rPr>
                <w:rFonts w:ascii="Arial" w:cs="Arial" w:eastAsia="Arial" w:hAnsi="Arial"/>
                <w:sz w:val="18"/>
                <w:szCs w:val="18"/>
                <w:color w:val="auto"/>
              </w:rPr>
              <w:t>May 5, 2022</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r>
      <w:tr>
        <w:trPr>
          <w:trHeight w:val="218"/>
        </w:trPr>
        <w:tc>
          <w:tcPr>
            <w:tcW w:w="5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Kevin C. Nash</w:t>
            </w:r>
          </w:p>
        </w:tc>
      </w:tr>
      <w:tr>
        <w:trPr>
          <w:trHeight w:val="239"/>
        </w:trPr>
        <w:tc>
          <w:tcPr>
            <w:tcW w:w="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Vice President, Finance, Chief Financial Officer and Treasurer</w:t>
            </w:r>
          </w:p>
        </w:tc>
      </w:tr>
    </w:tbl>
    <w:p>
      <w:pPr>
        <w:ind w:left="3480" w:right="1360"/>
        <w:spacing w:after="0" w:line="234" w:lineRule="auto"/>
        <w:rPr>
          <w:sz w:val="20"/>
          <w:szCs w:val="20"/>
          <w:color w:val="auto"/>
        </w:rPr>
      </w:pPr>
      <w:r>
        <w:rPr>
          <w:rFonts w:ascii="Arial" w:cs="Arial" w:eastAsia="Arial" w:hAnsi="Arial"/>
          <w:sz w:val="18"/>
          <w:szCs w:val="18"/>
          <w:color w:val="auto"/>
        </w:rPr>
        <w:t>(Principal Financial Officer and Principal Accounting Officer) on behalf of Gentex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7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6"/>
        </w:trPr>
        <w:tc>
          <w:tcPr>
            <w:tcW w:w="1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80" w:type="dxa"/>
            <w:vAlign w:val="bottom"/>
            <w:gridSpan w:val="3"/>
          </w:tcPr>
          <w:p>
            <w:pPr>
              <w:ind w:left="2240"/>
              <w:spacing w:after="0"/>
              <w:rPr>
                <w:sz w:val="20"/>
                <w:szCs w:val="20"/>
                <w:color w:val="auto"/>
              </w:rPr>
            </w:pPr>
            <w:r>
              <w:rPr>
                <w:rFonts w:ascii="Arial" w:cs="Arial" w:eastAsia="Arial" w:hAnsi="Arial"/>
                <w:sz w:val="18"/>
                <w:szCs w:val="18"/>
                <w:b w:val="1"/>
                <w:bCs w:val="1"/>
                <w:color w:val="auto"/>
              </w:rPr>
              <w:t>EXHIBIT INDEX</w:t>
            </w:r>
          </w:p>
        </w:tc>
      </w:tr>
      <w:tr>
        <w:trPr>
          <w:trHeight w:val="401"/>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480" w:type="dxa"/>
            <w:vAlign w:val="bottom"/>
            <w:gridSpan w:val="3"/>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194"/>
        </w:trPr>
        <w:tc>
          <w:tcPr>
            <w:tcW w:w="1320" w:type="dxa"/>
            <w:vAlign w:val="bottom"/>
          </w:tcPr>
          <w:p>
            <w:pPr>
              <w:ind w:left="20"/>
              <w:spacing w:after="0" w:line="195" w:lineRule="exact"/>
              <w:rPr>
                <w:sz w:val="20"/>
                <w:szCs w:val="20"/>
                <w:color w:val="auto"/>
              </w:rPr>
            </w:pPr>
            <w:r>
              <w:rPr>
                <w:rFonts w:ascii="Arial" w:cs="Arial" w:eastAsia="Arial" w:hAnsi="Arial"/>
                <w:sz w:val="18"/>
                <w:szCs w:val="18"/>
                <w:color w:val="auto"/>
              </w:rPr>
              <w:t>31.1</w:t>
            </w:r>
          </w:p>
        </w:tc>
        <w:tc>
          <w:tcPr>
            <w:tcW w:w="9880" w:type="dxa"/>
            <w:vAlign w:val="bottom"/>
            <w:gridSpan w:val="4"/>
          </w:tcPr>
          <w:p>
            <w:pPr>
              <w:spacing w:after="0" w:line="195" w:lineRule="exact"/>
              <w:rPr>
                <w:sz w:val="20"/>
                <w:szCs w:val="20"/>
                <w:color w:val="auto"/>
              </w:rPr>
            </w:pPr>
            <w:r>
              <w:rPr>
                <w:rFonts w:ascii="Arial" w:cs="Arial" w:eastAsia="Arial" w:hAnsi="Arial"/>
                <w:sz w:val="18"/>
                <w:szCs w:val="18"/>
                <w:color w:val="0000FF"/>
              </w:rPr>
              <w:t>Certificate of the Chief Executive Officer of Gentex Corporation pursuant to Section 302 of the Sarbanes-Oxley Act of 2002</w:t>
            </w:r>
          </w:p>
        </w:tc>
      </w:tr>
      <w:tr>
        <w:trPr>
          <w:trHeight w:val="169"/>
        </w:trPr>
        <w:tc>
          <w:tcPr>
            <w:tcW w:w="1320" w:type="dxa"/>
            <w:vAlign w:val="bottom"/>
          </w:tcPr>
          <w:p>
            <w:pPr>
              <w:spacing w:after="0"/>
              <w:rPr>
                <w:sz w:val="14"/>
                <w:szCs w:val="14"/>
                <w:color w:val="auto"/>
              </w:rPr>
            </w:pPr>
          </w:p>
        </w:tc>
        <w:tc>
          <w:tcPr>
            <w:tcW w:w="976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8"/>
                <w:szCs w:val="18"/>
                <w:color w:val="0000FF"/>
              </w:rPr>
              <w:t>(18 U.S.C. 1350).</w:t>
            </w:r>
          </w:p>
        </w:tc>
        <w:tc>
          <w:tcPr>
            <w:tcW w:w="120" w:type="dxa"/>
            <w:vAlign w:val="bottom"/>
          </w:tcPr>
          <w:p>
            <w:pPr>
              <w:spacing w:after="0"/>
              <w:rPr>
                <w:sz w:val="14"/>
                <w:szCs w:val="14"/>
                <w:color w:val="auto"/>
              </w:rPr>
            </w:pPr>
          </w:p>
        </w:tc>
      </w:tr>
      <w:tr>
        <w:trPr>
          <w:trHeight w:val="21"/>
        </w:trPr>
        <w:tc>
          <w:tcPr>
            <w:tcW w:w="13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988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rPr>
              <w:t>Certificate of the Chief Financial Officer of Gentex Corporation pursuant to Section 302 of the Sarbanes-Oxley Act of 2002</w:t>
            </w:r>
          </w:p>
        </w:tc>
      </w:tr>
      <w:tr>
        <w:trPr>
          <w:trHeight w:val="169"/>
        </w:trPr>
        <w:tc>
          <w:tcPr>
            <w:tcW w:w="132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2"/>
            <w:shd w:val="clear" w:color="auto" w:fill="CCEEFF"/>
          </w:tcPr>
          <w:p>
            <w:pPr>
              <w:spacing w:after="0" w:line="169" w:lineRule="exact"/>
              <w:rPr>
                <w:sz w:val="20"/>
                <w:szCs w:val="20"/>
                <w:color w:val="auto"/>
              </w:rPr>
            </w:pPr>
            <w:r>
              <w:rPr>
                <w:rFonts w:ascii="Arial" w:cs="Arial" w:eastAsia="Arial" w:hAnsi="Arial"/>
                <w:sz w:val="18"/>
                <w:szCs w:val="18"/>
                <w:color w:val="0000FF"/>
              </w:rPr>
              <w:t>(18 U.S.C. 1350).</w:t>
            </w:r>
          </w:p>
        </w:tc>
        <w:tc>
          <w:tcPr>
            <w:tcW w:w="180" w:type="dxa"/>
            <w:vAlign w:val="bottom"/>
            <w:tcBorders>
              <w:top w:val="single" w:sz="8" w:color="CCEEFF"/>
            </w:tcBorders>
            <w:gridSpan w:val="2"/>
            <w:shd w:val="clear" w:color="auto" w:fill="CCEEFF"/>
          </w:tcPr>
          <w:p>
            <w:pPr>
              <w:spacing w:after="0"/>
              <w:rPr>
                <w:sz w:val="14"/>
                <w:szCs w:val="14"/>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ind w:left="1320" w:right="260" w:hanging="1294"/>
        <w:spacing w:after="0" w:line="245" w:lineRule="auto"/>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0000FF"/>
        </w:rPr>
        <w:t>Certificate of the Chief Executive Officer and Chief Financial Officer of Gentex Corporation pursuant to Section 906 of the Sarbanes-Oxley Act of 2002 (18 U.S.C. 1350).</w:t>
      </w:r>
    </w:p>
    <w:tbl>
      <w:tblPr>
        <w:tblLayout w:type="fixed"/>
        <w:tblInd w:w="0" w:type="dxa"/>
        <w:tblCellMar>
          <w:top w:w="0" w:type="dxa"/>
          <w:left w:w="0" w:type="dxa"/>
          <w:bottom w:w="0" w:type="dxa"/>
          <w:right w:w="0" w:type="dxa"/>
        </w:tblCellMar>
      </w:tblPr>
      <w:tr>
        <w:trPr>
          <w:trHeight w:val="180"/>
        </w:trPr>
        <w:tc>
          <w:tcPr>
            <w:tcW w:w="104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101.INS</w:t>
            </w:r>
          </w:p>
        </w:tc>
        <w:tc>
          <w:tcPr>
            <w:tcW w:w="10160" w:type="dxa"/>
            <w:vAlign w:val="bottom"/>
            <w:shd w:val="clear" w:color="auto" w:fill="CCEEFF"/>
          </w:tcPr>
          <w:p>
            <w:pPr>
              <w:ind w:left="280"/>
              <w:spacing w:after="0" w:line="180"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5"/>
        </w:trPr>
        <w:tc>
          <w:tcPr>
            <w:tcW w:w="1040" w:type="dxa"/>
            <w:vAlign w:val="bottom"/>
            <w:shd w:val="clear" w:color="auto" w:fill="CCEEFF"/>
          </w:tcPr>
          <w:p>
            <w:pPr>
              <w:spacing w:after="0"/>
              <w:rPr>
                <w:sz w:val="20"/>
                <w:szCs w:val="20"/>
                <w:color w:val="auto"/>
              </w:rPr>
            </w:pP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39"/>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ectPr>
          <w:pgSz w:w="11900" w:h="16838" w:orient="portrait"/>
          <w:cols w:equalWidth="0" w:num="1">
            <w:col w:w="11200"/>
          </w:cols>
          <w:pgMar w:left="320" w:top="121" w:right="37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3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3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80" w:lineRule="exact"/>
        <w:rPr>
          <w:sz w:val="20"/>
          <w:szCs w:val="20"/>
          <w:color w:val="auto"/>
        </w:rPr>
      </w:pPr>
    </w:p>
    <w:p>
      <w:pPr>
        <w:ind w:left="240" w:hanging="232"/>
        <w:spacing w:after="0" w:line="287" w:lineRule="auto"/>
        <w:tabs>
          <w:tab w:leader="none" w:pos="2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31, 2022, which this statement accompanies, fully complies with the requirements of Section 13(a) or 15(d) of the Securities Exchange Act of 1934; and</w:t>
      </w:r>
    </w:p>
    <w:p>
      <w:pPr>
        <w:spacing w:after="0" w:line="179" w:lineRule="exact"/>
        <w:rPr>
          <w:rFonts w:ascii="Arial" w:cs="Arial" w:eastAsia="Arial" w:hAnsi="Arial"/>
          <w:sz w:val="18"/>
          <w:szCs w:val="18"/>
          <w:color w:val="auto"/>
        </w:rPr>
      </w:pPr>
    </w:p>
    <w:p>
      <w:pPr>
        <w:ind w:left="240" w:hanging="232"/>
        <w:spacing w:after="0" w:line="287" w:lineRule="auto"/>
        <w:tabs>
          <w:tab w:leader="none" w:pos="3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March 31, 2022,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Dated: May 5,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4"/>
    </w:lvl>
  </w:abstractNum>
  <w:abstractNum w:abstractNumId="9">
    <w:nsid w:val="3F2DBA31"/>
    <w:multiLevelType w:val="hybridMultilevel"/>
    <w:lvl w:ilvl="0">
      <w:lvlJc w:val="left"/>
      <w:lvlText w:val="(%1)"/>
      <w:numFmt w:val="decimal"/>
      <w:start w:val="5"/>
    </w:lvl>
  </w:abstractNum>
  <w:abstractNum w:abstractNumId="10">
    <w:nsid w:val="7C83E458"/>
    <w:multiLevelType w:val="hybridMultilevel"/>
    <w:lvl w:ilvl="0">
      <w:lvlJc w:val="left"/>
      <w:lvlText w:val="(%1)"/>
      <w:numFmt w:val="decimal"/>
      <w:start w:val="6"/>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7"/>
    </w:lvl>
  </w:abstractNum>
  <w:abstractNum w:abstractNumId="13">
    <w:nsid w:val="436C6125"/>
    <w:multiLevelType w:val="hybridMultilevel"/>
    <w:lvl w:ilvl="0">
      <w:lvlJc w:val="left"/>
      <w:lvlText w:val="(%1)"/>
      <w:numFmt w:val="decimal"/>
      <w:start w:val="8"/>
    </w:lvl>
  </w:abstractNum>
  <w:abstractNum w:abstractNumId="14">
    <w:nsid w:val="628C895D"/>
    <w:multiLevelType w:val="hybridMultilevel"/>
    <w:lvl w:ilvl="0">
      <w:lvlJc w:val="left"/>
      <w:lvlText w:val="(%1)"/>
      <w:numFmt w:val="decimal"/>
      <w:start w:val="9"/>
    </w:lvl>
  </w:abstractNum>
  <w:abstractNum w:abstractNumId="15">
    <w:nsid w:val="333AB105"/>
    <w:multiLevelType w:val="hybridMultilevel"/>
    <w:lvl w:ilvl="0">
      <w:lvlJc w:val="left"/>
      <w:lvlText w:val="(%1)"/>
      <w:numFmt w:val="decimal"/>
      <w:start w:val="10"/>
    </w:lvl>
  </w:abstractNum>
  <w:abstractNum w:abstractNumId="16">
    <w:nsid w:val="721DA317"/>
    <w:multiLevelType w:val="hybridMultilevel"/>
    <w:lvl w:ilvl="0">
      <w:lvlJc w:val="left"/>
      <w:lvlText w:val="(%1)"/>
      <w:numFmt w:val="decimal"/>
      <w:start w:val="11"/>
    </w:lvl>
  </w:abstractNum>
  <w:abstractNum w:abstractNumId="17">
    <w:nsid w:val="2443A858"/>
    <w:multiLevelType w:val="hybridMultilevel"/>
    <w:lvl w:ilvl="0">
      <w:lvlJc w:val="left"/>
      <w:lvlText w:val="(%1)"/>
      <w:numFmt w:val="decimal"/>
      <w:start w:val="12"/>
    </w:lvl>
  </w:abstractNum>
  <w:abstractNum w:abstractNumId="18">
    <w:nsid w:val="2D1D5AE9"/>
    <w:multiLevelType w:val="hybridMultilevel"/>
    <w:lvl w:ilvl="0">
      <w:lvlJc w:val="left"/>
      <w:lvlText w:val="(%1)"/>
      <w:numFmt w:val="decimal"/>
      <w:start w:val="13"/>
    </w:lvl>
  </w:abstractNum>
  <w:abstractNum w:abstractNumId="19">
    <w:nsid w:val="6763845E"/>
    <w:multiLevelType w:val="hybridMultilevel"/>
    <w:lvl w:ilvl="0">
      <w:lvlJc w:val="left"/>
      <w:lvlText w:val="(%1)"/>
      <w:numFmt w:val="decimal"/>
      <w:start w:val="14"/>
    </w:lvl>
  </w:abstractNum>
  <w:abstractNum w:abstractNumId="20">
    <w:nsid w:val="75A2A8D4"/>
    <w:multiLevelType w:val="hybridMultilevel"/>
    <w:lvl w:ilvl="0">
      <w:lvlJc w:val="left"/>
      <w:lvlText w:val="(%1)"/>
      <w:numFmt w:val="decimal"/>
      <w:start w:val="15"/>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Letter"/>
      <w:start w:val="3"/>
    </w:lvl>
  </w:abstractNum>
  <w:abstractNum w:abstractNumId="23">
    <w:nsid w:val="4353D0CD"/>
    <w:multiLevelType w:val="hybridMultilevel"/>
    <w:lvl w:ilvl="0">
      <w:lvlJc w:val="left"/>
      <w:lvlText w:val="%1"/>
      <w:numFmt w:val="decimal"/>
      <w:start w:val="32"/>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2022-05-05T10:13:24Z</dcterms:created>
  <dcterms:modified xsi:type="dcterms:W3CDTF">2022-05-05T10:13:24Z</dcterms:modified>
</cp:coreProperties>
</file>