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Washington, D.C. 20549</w:t>
      </w:r>
    </w:p>
    <w:p>
      <w:pPr>
        <w:spacing w:after="0" w:line="234" w:lineRule="exact"/>
        <w:rPr>
          <w:sz w:val="24"/>
          <w:szCs w:val="24"/>
          <w:color w:val="auto"/>
        </w:rPr>
      </w:pPr>
    </w:p>
    <w:p>
      <w:pPr>
        <w:jc w:val="center"/>
        <w:ind w:right="60"/>
        <w:spacing w:after="0"/>
        <w:rPr>
          <w:sz w:val="20"/>
          <w:szCs w:val="20"/>
          <w:color w:val="auto"/>
        </w:rPr>
      </w:pPr>
      <w:r>
        <w:rPr>
          <w:rFonts w:ascii="Arial" w:cs="Arial" w:eastAsia="Arial" w:hAnsi="Arial"/>
          <w:sz w:val="18"/>
          <w:szCs w:val="18"/>
          <w:b w:val="1"/>
          <w:bCs w:val="1"/>
          <w:color w:val="auto"/>
        </w:rPr>
        <w:t>FORM 10-Q</w:t>
      </w:r>
    </w:p>
    <w:p>
      <w:pPr>
        <w:spacing w:after="0" w:line="27" w:lineRule="exact"/>
        <w:rPr>
          <w:sz w:val="24"/>
          <w:szCs w:val="24"/>
          <w:color w:val="auto"/>
        </w:rPr>
      </w:pPr>
    </w:p>
    <w:p>
      <w:pPr>
        <w:spacing w:after="0"/>
        <w:rPr>
          <w:sz w:val="20"/>
          <w:szCs w:val="20"/>
          <w:color w:val="auto"/>
        </w:rPr>
      </w:pPr>
      <w:r>
        <w:rPr>
          <w:rFonts w:ascii="Arial" w:cs="Arial" w:eastAsia="Arial" w:hAnsi="Arial"/>
          <w:sz w:val="18"/>
          <w:szCs w:val="18"/>
          <w:color w:val="auto"/>
        </w:rPr>
        <w:t>(Mark one)</w:t>
      </w:r>
    </w:p>
    <w:p>
      <w:pPr>
        <w:spacing w:after="0" w:line="36" w:lineRule="exact"/>
        <w:rPr>
          <w:sz w:val="24"/>
          <w:szCs w:val="24"/>
          <w:color w:val="auto"/>
        </w:rPr>
      </w:pPr>
    </w:p>
    <w:p>
      <w:pPr>
        <w:ind w:left="680" w:hanging="654"/>
        <w:spacing w:after="0"/>
        <w:tabs>
          <w:tab w:leader="none" w:pos="680" w:val="left"/>
        </w:tabs>
        <w:numPr>
          <w:ilvl w:val="0"/>
          <w:numId w:val="1"/>
        </w:numPr>
        <w:rPr>
          <w:rFonts w:ascii="MS PGothic" w:cs="MS PGothic" w:eastAsia="MS PGothic" w:hAnsi="MS PGothic"/>
          <w:sz w:val="16"/>
          <w:szCs w:val="16"/>
          <w:color w:val="auto"/>
        </w:rPr>
      </w:pPr>
      <w:r>
        <w:rPr>
          <w:rFonts w:ascii="Arial" w:cs="Arial" w:eastAsia="Arial" w:hAnsi="Arial"/>
          <w:sz w:val="16"/>
          <w:szCs w:val="16"/>
          <w:b w:val="1"/>
          <w:bCs w:val="1"/>
          <w:color w:val="auto"/>
        </w:rPr>
        <w:t>QUARTERLY REPORT PURSUANT TO SECTION 13 OR 15(d) OF THE SECURITIES EXCHANGE ACT OF 1934</w:t>
      </w:r>
    </w:p>
    <w:p>
      <w:pPr>
        <w:spacing w:after="0" w:line="113" w:lineRule="exact"/>
        <w:rPr>
          <w:sz w:val="24"/>
          <w:szCs w:val="24"/>
          <w:color w:val="auto"/>
        </w:rPr>
      </w:pPr>
    </w:p>
    <w:p>
      <w:pPr>
        <w:spacing w:after="0"/>
        <w:rPr>
          <w:sz w:val="20"/>
          <w:szCs w:val="20"/>
          <w:color w:val="auto"/>
        </w:rPr>
      </w:pPr>
      <w:r>
        <w:rPr>
          <w:rFonts w:ascii="Arial" w:cs="Arial" w:eastAsia="Arial" w:hAnsi="Arial"/>
          <w:sz w:val="16"/>
          <w:szCs w:val="16"/>
          <w:color w:val="auto"/>
        </w:rPr>
        <w:t>For the quarterly period ended March 31, 2025 or</w:t>
      </w:r>
    </w:p>
    <w:p>
      <w:pPr>
        <w:spacing w:after="0" w:line="289" w:lineRule="exact"/>
        <w:rPr>
          <w:sz w:val="24"/>
          <w:szCs w:val="24"/>
          <w:color w:val="auto"/>
        </w:rPr>
      </w:pPr>
    </w:p>
    <w:p>
      <w:pPr>
        <w:ind w:left="720" w:hanging="694"/>
        <w:spacing w:after="0"/>
        <w:tabs>
          <w:tab w:leader="none" w:pos="720" w:val="left"/>
        </w:tabs>
        <w:numPr>
          <w:ilvl w:val="0"/>
          <w:numId w:val="2"/>
        </w:numPr>
        <w:rPr>
          <w:rFonts w:ascii="MS PGothic" w:cs="MS PGothic" w:eastAsia="MS PGothic" w:hAnsi="MS PGothic"/>
          <w:sz w:val="16"/>
          <w:szCs w:val="16"/>
          <w:color w:val="auto"/>
        </w:rPr>
      </w:pPr>
      <w:r>
        <w:rPr>
          <w:rFonts w:ascii="Arial" w:cs="Arial" w:eastAsia="Arial" w:hAnsi="Arial"/>
          <w:sz w:val="16"/>
          <w:szCs w:val="16"/>
          <w:b w:val="1"/>
          <w:bCs w:val="1"/>
          <w:color w:val="auto"/>
        </w:rPr>
        <w:t>TRANSITION REPORT PURSUANT TO SECTION 13 OR 15(d) OF THE SECURITIES EXCHANGE ACT OF 1934</w:t>
      </w:r>
    </w:p>
    <w:p>
      <w:pPr>
        <w:spacing w:after="0" w:line="105" w:lineRule="exact"/>
        <w:rPr>
          <w:sz w:val="24"/>
          <w:szCs w:val="24"/>
          <w:color w:val="auto"/>
        </w:rPr>
      </w:pPr>
    </w:p>
    <w:tbl>
      <w:tblPr>
        <w:tblLayout w:type="fixed"/>
        <w:tblInd w:w="10" w:type="dxa"/>
        <w:tblCellMar>
          <w:top w:w="0" w:type="dxa"/>
          <w:left w:w="0" w:type="dxa"/>
          <w:bottom w:w="0" w:type="dxa"/>
          <w:right w:w="0" w:type="dxa"/>
        </w:tblCellMar>
      </w:tblPr>
      <w:tr>
        <w:trPr>
          <w:trHeight w:val="184"/>
        </w:trPr>
        <w:tc>
          <w:tcPr>
            <w:tcW w:w="2420" w:type="dxa"/>
            <w:vAlign w:val="bottom"/>
          </w:tcPr>
          <w:p>
            <w:pPr>
              <w:ind w:left="340"/>
              <w:spacing w:after="0"/>
              <w:rPr>
                <w:sz w:val="20"/>
                <w:szCs w:val="20"/>
                <w:color w:val="auto"/>
              </w:rPr>
            </w:pPr>
            <w:r>
              <w:rPr>
                <w:rFonts w:ascii="Arial" w:cs="Arial" w:eastAsia="Arial" w:hAnsi="Arial"/>
                <w:sz w:val="16"/>
                <w:szCs w:val="16"/>
                <w:color w:val="auto"/>
              </w:rPr>
              <w:t>For the transition period from</w:t>
            </w:r>
          </w:p>
        </w:tc>
        <w:tc>
          <w:tcPr>
            <w:tcW w:w="40" w:type="dxa"/>
            <w:vAlign w:val="bottom"/>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80" w:type="dxa"/>
            <w:vAlign w:val="bottom"/>
          </w:tcPr>
          <w:p>
            <w:pPr>
              <w:spacing w:after="0"/>
              <w:rPr>
                <w:sz w:val="20"/>
                <w:szCs w:val="20"/>
                <w:color w:val="auto"/>
              </w:rPr>
            </w:pPr>
            <w:r>
              <w:rPr>
                <w:rFonts w:ascii="Arial" w:cs="Arial" w:eastAsia="Arial" w:hAnsi="Arial"/>
                <w:sz w:val="16"/>
                <w:szCs w:val="16"/>
                <w:color w:val="auto"/>
              </w:rPr>
              <w:t>to</w:t>
            </w:r>
          </w:p>
        </w:tc>
        <w:tc>
          <w:tcPr>
            <w:tcW w:w="540" w:type="dxa"/>
            <w:vAlign w:val="bottom"/>
            <w:tcBorders>
              <w:bottom w:val="single" w:sz="8" w:color="auto"/>
            </w:tcBorders>
          </w:tcPr>
          <w:p>
            <w:pPr>
              <w:spacing w:after="0"/>
              <w:rPr>
                <w:sz w:val="16"/>
                <w:szCs w:val="16"/>
                <w:color w:val="auto"/>
              </w:rPr>
            </w:pPr>
          </w:p>
        </w:tc>
        <w:tc>
          <w:tcPr>
            <w:tcW w:w="56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4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64"/>
        </w:trPr>
        <w:tc>
          <w:tcPr>
            <w:tcW w:w="4280" w:type="dxa"/>
            <w:vAlign w:val="bottom"/>
            <w:gridSpan w:val="6"/>
          </w:tcPr>
          <w:p>
            <w:pPr>
              <w:ind w:left="340"/>
              <w:spacing w:after="0"/>
              <w:rPr>
                <w:sz w:val="20"/>
                <w:szCs w:val="20"/>
                <w:color w:val="auto"/>
              </w:rPr>
            </w:pPr>
            <w:r>
              <w:rPr>
                <w:rFonts w:ascii="Arial" w:cs="Arial" w:eastAsia="Arial" w:hAnsi="Arial"/>
                <w:sz w:val="16"/>
                <w:szCs w:val="16"/>
                <w:color w:val="auto"/>
              </w:rPr>
              <w:t>Commission File Number</w:t>
            </w:r>
            <w:r>
              <w:rPr>
                <w:rFonts w:ascii="Arial" w:cs="Arial" w:eastAsia="Arial" w:hAnsi="Arial"/>
                <w:sz w:val="16"/>
                <w:szCs w:val="16"/>
                <w:b w:val="1"/>
                <w:bCs w:val="1"/>
                <w:color w:val="auto"/>
              </w:rPr>
              <w:t>: 0-10235</w:t>
            </w:r>
          </w:p>
        </w:tc>
        <w:tc>
          <w:tcPr>
            <w:tcW w:w="6980" w:type="dxa"/>
            <w:vAlign w:val="bottom"/>
            <w:gridSpan w:val="2"/>
            <w:vMerge w:val="restart"/>
          </w:tcPr>
          <w:p>
            <w:pPr>
              <w:jc w:val="center"/>
              <w:ind w:right="4223"/>
              <w:spacing w:after="0"/>
              <w:rPr>
                <w:sz w:val="20"/>
                <w:szCs w:val="20"/>
                <w:color w:val="auto"/>
              </w:rPr>
            </w:pPr>
            <w:r>
              <w:rPr>
                <w:rFonts w:ascii="Arial" w:cs="Arial" w:eastAsia="Arial" w:hAnsi="Arial"/>
                <w:sz w:val="22"/>
                <w:szCs w:val="22"/>
                <w:b w:val="1"/>
                <w:bCs w:val="1"/>
                <w:color w:val="auto"/>
                <w:w w:val="97"/>
              </w:rPr>
              <w:t>GENTEX CORPORATION</w:t>
            </w:r>
          </w:p>
        </w:tc>
        <w:tc>
          <w:tcPr>
            <w:tcW w:w="0" w:type="dxa"/>
            <w:vAlign w:val="bottom"/>
          </w:tcPr>
          <w:p>
            <w:pPr>
              <w:spacing w:after="0"/>
              <w:rPr>
                <w:sz w:val="1"/>
                <w:szCs w:val="1"/>
                <w:color w:val="auto"/>
              </w:rPr>
            </w:pPr>
          </w:p>
        </w:tc>
      </w:tr>
      <w:tr>
        <w:trPr>
          <w:trHeight w:val="228"/>
        </w:trPr>
        <w:tc>
          <w:tcPr>
            <w:tcW w:w="24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98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24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7540" w:type="dxa"/>
            <w:vAlign w:val="bottom"/>
            <w:gridSpan w:val="3"/>
          </w:tcPr>
          <w:p>
            <w:pPr>
              <w:jc w:val="center"/>
              <w:ind w:right="3663"/>
              <w:spacing w:after="0"/>
              <w:rPr>
                <w:sz w:val="20"/>
                <w:szCs w:val="20"/>
                <w:color w:val="auto"/>
              </w:rPr>
            </w:pPr>
            <w:r>
              <w:rPr>
                <w:rFonts w:ascii="Arial" w:cs="Arial" w:eastAsia="Arial" w:hAnsi="Arial"/>
                <w:sz w:val="14"/>
                <w:szCs w:val="14"/>
                <w:color w:val="auto"/>
              </w:rPr>
              <w:t>(Exact name of registrant as specified in its charter)</w:t>
            </w:r>
          </w:p>
        </w:tc>
        <w:tc>
          <w:tcPr>
            <w:tcW w:w="0" w:type="dxa"/>
            <w:vAlign w:val="bottom"/>
          </w:tcPr>
          <w:p>
            <w:pPr>
              <w:spacing w:after="0"/>
              <w:rPr>
                <w:sz w:val="1"/>
                <w:szCs w:val="1"/>
                <w:color w:val="auto"/>
              </w:rPr>
            </w:pPr>
          </w:p>
        </w:tc>
      </w:tr>
      <w:tr>
        <w:trPr>
          <w:trHeight w:val="255"/>
        </w:trPr>
        <w:tc>
          <w:tcPr>
            <w:tcW w:w="4280" w:type="dxa"/>
            <w:vAlign w:val="bottom"/>
            <w:gridSpan w:val="6"/>
          </w:tcPr>
          <w:p>
            <w:pPr>
              <w:jc w:val="center"/>
              <w:ind w:left="1224"/>
              <w:spacing w:after="0"/>
              <w:rPr>
                <w:sz w:val="20"/>
                <w:szCs w:val="20"/>
                <w:color w:val="auto"/>
              </w:rPr>
            </w:pPr>
            <w:r>
              <w:rPr>
                <w:rFonts w:ascii="Arial" w:cs="Arial" w:eastAsia="Arial" w:hAnsi="Arial"/>
                <w:sz w:val="18"/>
                <w:szCs w:val="18"/>
                <w:b w:val="1"/>
                <w:bCs w:val="1"/>
                <w:color w:val="auto"/>
                <w:w w:val="99"/>
              </w:rPr>
              <w:t>Michigan</w:t>
            </w:r>
          </w:p>
        </w:tc>
        <w:tc>
          <w:tcPr>
            <w:tcW w:w="2200" w:type="dxa"/>
            <w:vAlign w:val="bottom"/>
          </w:tcPr>
          <w:p>
            <w:pPr>
              <w:spacing w:after="0"/>
              <w:rPr>
                <w:sz w:val="22"/>
                <w:szCs w:val="22"/>
                <w:color w:val="auto"/>
              </w:rPr>
            </w:pPr>
          </w:p>
        </w:tc>
        <w:tc>
          <w:tcPr>
            <w:tcW w:w="4780" w:type="dxa"/>
            <w:vAlign w:val="bottom"/>
          </w:tcPr>
          <w:p>
            <w:pPr>
              <w:jc w:val="right"/>
              <w:ind w:right="2263"/>
              <w:spacing w:after="0"/>
              <w:rPr>
                <w:sz w:val="20"/>
                <w:szCs w:val="20"/>
                <w:color w:val="auto"/>
              </w:rPr>
            </w:pPr>
            <w:r>
              <w:rPr>
                <w:rFonts w:ascii="Arial" w:cs="Arial" w:eastAsia="Arial" w:hAnsi="Arial"/>
                <w:sz w:val="18"/>
                <w:szCs w:val="18"/>
                <w:b w:val="1"/>
                <w:bCs w:val="1"/>
                <w:color w:val="auto"/>
              </w:rPr>
              <w:t>38-2030505</w:t>
            </w:r>
          </w:p>
        </w:tc>
        <w:tc>
          <w:tcPr>
            <w:tcW w:w="0" w:type="dxa"/>
            <w:vAlign w:val="bottom"/>
          </w:tcPr>
          <w:p>
            <w:pPr>
              <w:spacing w:after="0"/>
              <w:rPr>
                <w:sz w:val="1"/>
                <w:szCs w:val="1"/>
                <w:color w:val="auto"/>
              </w:rPr>
            </w:pPr>
          </w:p>
        </w:tc>
      </w:tr>
      <w:tr>
        <w:trPr>
          <w:trHeight w:val="148"/>
        </w:trPr>
        <w:tc>
          <w:tcPr>
            <w:tcW w:w="4280" w:type="dxa"/>
            <w:vAlign w:val="bottom"/>
            <w:gridSpan w:val="6"/>
          </w:tcPr>
          <w:p>
            <w:pPr>
              <w:jc w:val="center"/>
              <w:ind w:left="1244"/>
              <w:spacing w:after="0" w:line="149" w:lineRule="exact"/>
              <w:rPr>
                <w:sz w:val="20"/>
                <w:szCs w:val="20"/>
                <w:color w:val="auto"/>
              </w:rPr>
            </w:pPr>
            <w:r>
              <w:rPr>
                <w:rFonts w:ascii="Arial" w:cs="Arial" w:eastAsia="Arial" w:hAnsi="Arial"/>
                <w:sz w:val="14"/>
                <w:szCs w:val="14"/>
                <w:color w:val="auto"/>
              </w:rPr>
              <w:t>(State or other jurisdiction of</w:t>
            </w:r>
          </w:p>
        </w:tc>
        <w:tc>
          <w:tcPr>
            <w:tcW w:w="2200" w:type="dxa"/>
            <w:vAlign w:val="bottom"/>
          </w:tcPr>
          <w:p>
            <w:pPr>
              <w:spacing w:after="0"/>
              <w:rPr>
                <w:sz w:val="12"/>
                <w:szCs w:val="12"/>
                <w:color w:val="auto"/>
              </w:rPr>
            </w:pPr>
          </w:p>
        </w:tc>
        <w:tc>
          <w:tcPr>
            <w:tcW w:w="4780" w:type="dxa"/>
            <w:vAlign w:val="bottom"/>
          </w:tcPr>
          <w:p>
            <w:pPr>
              <w:jc w:val="center"/>
              <w:ind w:right="783"/>
              <w:spacing w:after="0" w:line="149" w:lineRule="exact"/>
              <w:rPr>
                <w:sz w:val="20"/>
                <w:szCs w:val="20"/>
                <w:color w:val="auto"/>
              </w:rPr>
            </w:pPr>
            <w:r>
              <w:rPr>
                <w:rFonts w:ascii="Arial" w:cs="Arial" w:eastAsia="Arial" w:hAnsi="Arial"/>
                <w:sz w:val="14"/>
                <w:szCs w:val="14"/>
                <w:color w:val="auto"/>
              </w:rPr>
              <w:t>(I.R.S. Employer</w:t>
            </w:r>
          </w:p>
        </w:tc>
        <w:tc>
          <w:tcPr>
            <w:tcW w:w="0" w:type="dxa"/>
            <w:vAlign w:val="bottom"/>
          </w:tcPr>
          <w:p>
            <w:pPr>
              <w:spacing w:after="0"/>
              <w:rPr>
                <w:sz w:val="1"/>
                <w:szCs w:val="1"/>
                <w:color w:val="auto"/>
              </w:rPr>
            </w:pPr>
          </w:p>
        </w:tc>
      </w:tr>
      <w:tr>
        <w:trPr>
          <w:trHeight w:val="190"/>
        </w:trPr>
        <w:tc>
          <w:tcPr>
            <w:tcW w:w="4280" w:type="dxa"/>
            <w:vAlign w:val="bottom"/>
            <w:gridSpan w:val="6"/>
          </w:tcPr>
          <w:p>
            <w:pPr>
              <w:jc w:val="center"/>
              <w:ind w:left="1244"/>
              <w:spacing w:after="0"/>
              <w:rPr>
                <w:sz w:val="20"/>
                <w:szCs w:val="20"/>
                <w:color w:val="auto"/>
              </w:rPr>
            </w:pPr>
            <w:r>
              <w:rPr>
                <w:rFonts w:ascii="Arial" w:cs="Arial" w:eastAsia="Arial" w:hAnsi="Arial"/>
                <w:sz w:val="14"/>
                <w:szCs w:val="14"/>
                <w:color w:val="auto"/>
              </w:rPr>
              <w:t>incorporation or organization)</w:t>
            </w:r>
          </w:p>
        </w:tc>
        <w:tc>
          <w:tcPr>
            <w:tcW w:w="2200" w:type="dxa"/>
            <w:vAlign w:val="bottom"/>
          </w:tcPr>
          <w:p>
            <w:pPr>
              <w:spacing w:after="0"/>
              <w:rPr>
                <w:sz w:val="16"/>
                <w:szCs w:val="16"/>
                <w:color w:val="auto"/>
              </w:rPr>
            </w:pPr>
          </w:p>
        </w:tc>
        <w:tc>
          <w:tcPr>
            <w:tcW w:w="4780" w:type="dxa"/>
            <w:vAlign w:val="bottom"/>
          </w:tcPr>
          <w:p>
            <w:pPr>
              <w:jc w:val="center"/>
              <w:ind w:right="783"/>
              <w:spacing w:after="0"/>
              <w:rPr>
                <w:sz w:val="20"/>
                <w:szCs w:val="20"/>
                <w:color w:val="auto"/>
              </w:rPr>
            </w:pPr>
            <w:r>
              <w:rPr>
                <w:rFonts w:ascii="Arial" w:cs="Arial" w:eastAsia="Arial" w:hAnsi="Arial"/>
                <w:sz w:val="14"/>
                <w:szCs w:val="14"/>
                <w:color w:val="auto"/>
              </w:rPr>
              <w:t>Identification No.)</w:t>
            </w:r>
          </w:p>
        </w:tc>
        <w:tc>
          <w:tcPr>
            <w:tcW w:w="0" w:type="dxa"/>
            <w:vAlign w:val="bottom"/>
          </w:tcPr>
          <w:p>
            <w:pPr>
              <w:spacing w:after="0"/>
              <w:rPr>
                <w:sz w:val="1"/>
                <w:szCs w:val="1"/>
                <w:color w:val="auto"/>
              </w:rPr>
            </w:pPr>
          </w:p>
        </w:tc>
      </w:tr>
      <w:tr>
        <w:trPr>
          <w:trHeight w:val="264"/>
        </w:trPr>
        <w:tc>
          <w:tcPr>
            <w:tcW w:w="4280" w:type="dxa"/>
            <w:vAlign w:val="bottom"/>
            <w:gridSpan w:val="6"/>
          </w:tcPr>
          <w:p>
            <w:pPr>
              <w:jc w:val="center"/>
              <w:ind w:left="1244"/>
              <w:spacing w:after="0"/>
              <w:rPr>
                <w:sz w:val="20"/>
                <w:szCs w:val="20"/>
                <w:color w:val="auto"/>
              </w:rPr>
            </w:pPr>
            <w:r>
              <w:rPr>
                <w:rFonts w:ascii="Arial" w:cs="Arial" w:eastAsia="Arial" w:hAnsi="Arial"/>
                <w:sz w:val="16"/>
                <w:szCs w:val="16"/>
                <w:b w:val="1"/>
                <w:bCs w:val="1"/>
                <w:color w:val="auto"/>
              </w:rPr>
              <w:t>600 N. Centennial</w:t>
            </w:r>
          </w:p>
        </w:tc>
        <w:tc>
          <w:tcPr>
            <w:tcW w:w="2200" w:type="dxa"/>
            <w:vAlign w:val="bottom"/>
          </w:tcPr>
          <w:p>
            <w:pPr>
              <w:spacing w:after="0"/>
              <w:rPr>
                <w:sz w:val="22"/>
                <w:szCs w:val="22"/>
                <w:color w:val="auto"/>
              </w:rPr>
            </w:pPr>
          </w:p>
        </w:tc>
        <w:tc>
          <w:tcPr>
            <w:tcW w:w="47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20" w:type="dxa"/>
            <w:vAlign w:val="bottom"/>
            <w:gridSpan w:val="4"/>
          </w:tcPr>
          <w:p>
            <w:pPr>
              <w:jc w:val="center"/>
              <w:ind w:right="1088"/>
              <w:spacing w:after="0"/>
              <w:rPr>
                <w:sz w:val="20"/>
                <w:szCs w:val="20"/>
                <w:color w:val="auto"/>
              </w:rPr>
            </w:pPr>
            <w:r>
              <w:rPr>
                <w:rFonts w:ascii="Arial" w:cs="Arial" w:eastAsia="Arial" w:hAnsi="Arial"/>
                <w:sz w:val="16"/>
                <w:szCs w:val="16"/>
                <w:b w:val="1"/>
                <w:bCs w:val="1"/>
                <w:color w:val="auto"/>
              </w:rPr>
              <w:t>Zeeland</w:t>
            </w:r>
          </w:p>
        </w:tc>
        <w:tc>
          <w:tcPr>
            <w:tcW w:w="2200" w:type="dxa"/>
            <w:vAlign w:val="bottom"/>
          </w:tcPr>
          <w:p>
            <w:pPr>
              <w:spacing w:after="0"/>
              <w:rPr>
                <w:sz w:val="18"/>
                <w:szCs w:val="18"/>
                <w:color w:val="auto"/>
              </w:rPr>
            </w:pPr>
          </w:p>
        </w:tc>
        <w:tc>
          <w:tcPr>
            <w:tcW w:w="4780" w:type="dxa"/>
            <w:vAlign w:val="bottom"/>
            <w:vMerge w:val="restart"/>
          </w:tcPr>
          <w:p>
            <w:pPr>
              <w:jc w:val="right"/>
              <w:ind w:right="2503"/>
              <w:spacing w:after="0"/>
              <w:rPr>
                <w:sz w:val="20"/>
                <w:szCs w:val="20"/>
                <w:color w:val="auto"/>
              </w:rPr>
            </w:pPr>
            <w:r>
              <w:rPr>
                <w:rFonts w:ascii="Arial" w:cs="Arial" w:eastAsia="Arial" w:hAnsi="Arial"/>
                <w:sz w:val="18"/>
                <w:szCs w:val="18"/>
                <w:b w:val="1"/>
                <w:bCs w:val="1"/>
                <w:color w:val="auto"/>
              </w:rPr>
              <w:t>49464</w:t>
            </w:r>
          </w:p>
        </w:tc>
        <w:tc>
          <w:tcPr>
            <w:tcW w:w="0" w:type="dxa"/>
            <w:vAlign w:val="bottom"/>
          </w:tcPr>
          <w:p>
            <w:pPr>
              <w:spacing w:after="0"/>
              <w:rPr>
                <w:sz w:val="1"/>
                <w:szCs w:val="1"/>
                <w:color w:val="auto"/>
              </w:rPr>
            </w:pPr>
          </w:p>
        </w:tc>
      </w:tr>
      <w:tr>
        <w:trPr>
          <w:trHeight w:val="234"/>
        </w:trPr>
        <w:tc>
          <w:tcPr>
            <w:tcW w:w="2420" w:type="dxa"/>
            <w:vAlign w:val="bottom"/>
          </w:tcPr>
          <w:p>
            <w:pPr>
              <w:spacing w:after="0"/>
              <w:rPr>
                <w:sz w:val="20"/>
                <w:szCs w:val="20"/>
                <w:color w:val="auto"/>
              </w:rPr>
            </w:pPr>
          </w:p>
        </w:tc>
        <w:tc>
          <w:tcPr>
            <w:tcW w:w="1860" w:type="dxa"/>
            <w:vAlign w:val="bottom"/>
            <w:gridSpan w:val="5"/>
          </w:tcPr>
          <w:p>
            <w:pPr>
              <w:jc w:val="center"/>
              <w:ind w:right="1048"/>
              <w:spacing w:after="0"/>
              <w:rPr>
                <w:sz w:val="20"/>
                <w:szCs w:val="20"/>
                <w:color w:val="auto"/>
              </w:rPr>
            </w:pPr>
            <w:r>
              <w:rPr>
                <w:rFonts w:ascii="Arial" w:cs="Arial" w:eastAsia="Arial" w:hAnsi="Arial"/>
                <w:sz w:val="16"/>
                <w:szCs w:val="16"/>
                <w:b w:val="1"/>
                <w:bCs w:val="1"/>
                <w:color w:val="auto"/>
              </w:rPr>
              <w:t>Michigan</w:t>
            </w:r>
          </w:p>
        </w:tc>
        <w:tc>
          <w:tcPr>
            <w:tcW w:w="2200" w:type="dxa"/>
            <w:vAlign w:val="bottom"/>
          </w:tcPr>
          <w:p>
            <w:pPr>
              <w:spacing w:after="0"/>
              <w:rPr>
                <w:sz w:val="20"/>
                <w:szCs w:val="20"/>
                <w:color w:val="auto"/>
              </w:rPr>
            </w:pPr>
          </w:p>
        </w:tc>
        <w:tc>
          <w:tcPr>
            <w:tcW w:w="47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0"/>
        </w:trPr>
        <w:tc>
          <w:tcPr>
            <w:tcW w:w="4280" w:type="dxa"/>
            <w:vAlign w:val="bottom"/>
            <w:gridSpan w:val="6"/>
          </w:tcPr>
          <w:p>
            <w:pPr>
              <w:jc w:val="center"/>
              <w:ind w:left="1224"/>
              <w:spacing w:after="0"/>
              <w:rPr>
                <w:sz w:val="20"/>
                <w:szCs w:val="20"/>
                <w:color w:val="auto"/>
              </w:rPr>
            </w:pPr>
            <w:r>
              <w:rPr>
                <w:rFonts w:ascii="Arial" w:cs="Arial" w:eastAsia="Arial" w:hAnsi="Arial"/>
                <w:sz w:val="14"/>
                <w:szCs w:val="14"/>
                <w:color w:val="auto"/>
              </w:rPr>
              <w:t>(Address of principal executive offices)</w:t>
            </w:r>
          </w:p>
        </w:tc>
        <w:tc>
          <w:tcPr>
            <w:tcW w:w="2200" w:type="dxa"/>
            <w:vAlign w:val="bottom"/>
          </w:tcPr>
          <w:p>
            <w:pPr>
              <w:spacing w:after="0"/>
              <w:rPr>
                <w:sz w:val="16"/>
                <w:szCs w:val="16"/>
                <w:color w:val="auto"/>
              </w:rPr>
            </w:pPr>
          </w:p>
        </w:tc>
        <w:tc>
          <w:tcPr>
            <w:tcW w:w="4780" w:type="dxa"/>
            <w:vAlign w:val="bottom"/>
          </w:tcPr>
          <w:p>
            <w:pPr>
              <w:jc w:val="center"/>
              <w:ind w:right="783"/>
              <w:spacing w:after="0"/>
              <w:rPr>
                <w:sz w:val="20"/>
                <w:szCs w:val="20"/>
                <w:color w:val="auto"/>
              </w:rPr>
            </w:pPr>
            <w:r>
              <w:rPr>
                <w:rFonts w:ascii="Arial" w:cs="Arial" w:eastAsia="Arial" w:hAnsi="Arial"/>
                <w:sz w:val="14"/>
                <w:szCs w:val="14"/>
                <w:color w:val="auto"/>
              </w:rPr>
              <w:t>(Zip Code)</w:t>
            </w:r>
          </w:p>
        </w:tc>
        <w:tc>
          <w:tcPr>
            <w:tcW w:w="0" w:type="dxa"/>
            <w:vAlign w:val="bottom"/>
          </w:tcPr>
          <w:p>
            <w:pPr>
              <w:spacing w:after="0"/>
              <w:rPr>
                <w:sz w:val="1"/>
                <w:szCs w:val="1"/>
                <w:color w:val="auto"/>
              </w:rPr>
            </w:pPr>
          </w:p>
        </w:tc>
      </w:tr>
      <w:tr>
        <w:trPr>
          <w:trHeight w:val="309"/>
        </w:trPr>
        <w:tc>
          <w:tcPr>
            <w:tcW w:w="2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0" w:type="dxa"/>
            <w:vAlign w:val="bottom"/>
          </w:tcPr>
          <w:p>
            <w:pPr>
              <w:jc w:val="right"/>
              <w:ind w:right="155"/>
              <w:spacing w:after="0"/>
              <w:rPr>
                <w:sz w:val="20"/>
                <w:szCs w:val="20"/>
                <w:color w:val="auto"/>
              </w:rPr>
            </w:pPr>
            <w:r>
              <w:rPr>
                <w:rFonts w:ascii="Arial" w:cs="Arial" w:eastAsia="Arial" w:hAnsi="Arial"/>
                <w:sz w:val="18"/>
                <w:szCs w:val="18"/>
                <w:b w:val="1"/>
                <w:bCs w:val="1"/>
                <w:color w:val="auto"/>
              </w:rPr>
              <w:t>(616) 772-1800</w:t>
            </w:r>
          </w:p>
        </w:tc>
        <w:tc>
          <w:tcPr>
            <w:tcW w:w="4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24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540" w:type="dxa"/>
            <w:vAlign w:val="bottom"/>
            <w:gridSpan w:val="3"/>
          </w:tcPr>
          <w:p>
            <w:pPr>
              <w:jc w:val="center"/>
              <w:ind w:right="3643"/>
              <w:spacing w:after="0"/>
              <w:rPr>
                <w:sz w:val="20"/>
                <w:szCs w:val="20"/>
                <w:color w:val="auto"/>
              </w:rPr>
            </w:pPr>
            <w:r>
              <w:rPr>
                <w:rFonts w:ascii="Arial" w:cs="Arial" w:eastAsia="Arial" w:hAnsi="Arial"/>
                <w:sz w:val="14"/>
                <w:szCs w:val="14"/>
                <w:color w:val="auto"/>
              </w:rPr>
              <w:t>(Registrant’s telephone number, including area code)</w:t>
            </w:r>
          </w:p>
        </w:tc>
        <w:tc>
          <w:tcPr>
            <w:tcW w:w="0" w:type="dxa"/>
            <w:vAlign w:val="bottom"/>
          </w:tcPr>
          <w:p>
            <w:pPr>
              <w:spacing w:after="0"/>
              <w:rPr>
                <w:sz w:val="1"/>
                <w:szCs w:val="1"/>
                <w:color w:val="auto"/>
              </w:rPr>
            </w:pPr>
          </w:p>
        </w:tc>
      </w:tr>
      <w:tr>
        <w:trPr>
          <w:trHeight w:val="142"/>
        </w:trPr>
        <w:tc>
          <w:tcPr>
            <w:tcW w:w="2420" w:type="dxa"/>
            <w:vAlign w:val="bottom"/>
          </w:tcPr>
          <w:p>
            <w:pPr>
              <w:spacing w:after="0"/>
              <w:rPr>
                <w:sz w:val="12"/>
                <w:szCs w:val="12"/>
                <w:color w:val="auto"/>
              </w:rPr>
            </w:pPr>
          </w:p>
        </w:tc>
        <w:tc>
          <w:tcPr>
            <w:tcW w:w="8840" w:type="dxa"/>
            <w:vAlign w:val="bottom"/>
            <w:gridSpan w:val="7"/>
          </w:tcPr>
          <w:p>
            <w:pPr>
              <w:jc w:val="right"/>
              <w:ind w:right="3883"/>
              <w:spacing w:after="0"/>
              <w:rPr>
                <w:sz w:val="20"/>
                <w:szCs w:val="20"/>
                <w:color w:val="auto"/>
              </w:rPr>
            </w:pPr>
            <w:r>
              <w:rPr>
                <w:rFonts w:ascii="Arial" w:cs="Arial" w:eastAsia="Arial" w:hAnsi="Arial"/>
                <w:sz w:val="11"/>
                <w:szCs w:val="11"/>
                <w:color w:val="auto"/>
              </w:rPr>
              <w:t>________________________________________________________</w:t>
            </w:r>
          </w:p>
        </w:tc>
        <w:tc>
          <w:tcPr>
            <w:tcW w:w="0" w:type="dxa"/>
            <w:vAlign w:val="bottom"/>
          </w:tcPr>
          <w:p>
            <w:pPr>
              <w:spacing w:after="0"/>
              <w:rPr>
                <w:sz w:val="1"/>
                <w:szCs w:val="1"/>
                <w:color w:val="auto"/>
              </w:rPr>
            </w:pPr>
          </w:p>
        </w:tc>
      </w:tr>
      <w:tr>
        <w:trPr>
          <w:trHeight w:val="417"/>
        </w:trPr>
        <w:tc>
          <w:tcPr>
            <w:tcW w:w="2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260" w:type="dxa"/>
            <w:vAlign w:val="bottom"/>
            <w:gridSpan w:val="5"/>
          </w:tcPr>
          <w:p>
            <w:pPr>
              <w:jc w:val="center"/>
              <w:ind w:right="2923"/>
              <w:spacing w:after="0"/>
              <w:rPr>
                <w:sz w:val="20"/>
                <w:szCs w:val="20"/>
                <w:color w:val="auto"/>
              </w:rPr>
            </w:pPr>
            <w:r>
              <w:rPr>
                <w:rFonts w:ascii="Arial" w:cs="Arial" w:eastAsia="Arial" w:hAnsi="Arial"/>
                <w:sz w:val="14"/>
                <w:szCs w:val="14"/>
                <w:color w:val="auto"/>
              </w:rPr>
              <w:t>(Former name, former address and former fiscal year, if changed since last report)</w:t>
            </w:r>
          </w:p>
        </w:tc>
        <w:tc>
          <w:tcPr>
            <w:tcW w:w="0" w:type="dxa"/>
            <w:vAlign w:val="bottom"/>
          </w:tcPr>
          <w:p>
            <w:pPr>
              <w:spacing w:after="0"/>
              <w:rPr>
                <w:sz w:val="1"/>
                <w:szCs w:val="1"/>
                <w:color w:val="auto"/>
              </w:rPr>
            </w:pPr>
          </w:p>
        </w:tc>
      </w:tr>
      <w:tr>
        <w:trPr>
          <w:trHeight w:val="580"/>
        </w:trPr>
        <w:tc>
          <w:tcPr>
            <w:tcW w:w="4280" w:type="dxa"/>
            <w:vAlign w:val="bottom"/>
            <w:gridSpan w:val="6"/>
          </w:tcPr>
          <w:p>
            <w:pPr>
              <w:spacing w:after="0"/>
              <w:rPr>
                <w:sz w:val="20"/>
                <w:szCs w:val="20"/>
                <w:color w:val="auto"/>
              </w:rPr>
            </w:pPr>
            <w:r>
              <w:rPr>
                <w:rFonts w:ascii="Arial" w:cs="Arial" w:eastAsia="Arial" w:hAnsi="Arial"/>
                <w:sz w:val="14"/>
                <w:szCs w:val="14"/>
                <w:color w:val="auto"/>
              </w:rPr>
              <w:t>Securities registered pursuant to Section 12(b) of the Act:</w:t>
            </w:r>
          </w:p>
        </w:tc>
        <w:tc>
          <w:tcPr>
            <w:tcW w:w="2200" w:type="dxa"/>
            <w:vAlign w:val="bottom"/>
          </w:tcPr>
          <w:p>
            <w:pPr>
              <w:spacing w:after="0"/>
              <w:rPr>
                <w:sz w:val="24"/>
                <w:szCs w:val="24"/>
                <w:color w:val="auto"/>
              </w:rPr>
            </w:pPr>
          </w:p>
        </w:tc>
        <w:tc>
          <w:tcPr>
            <w:tcW w:w="4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
        </w:trPr>
        <w:tc>
          <w:tcPr>
            <w:tcW w:w="24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200" w:type="dxa"/>
            <w:vAlign w:val="bottom"/>
            <w:tcBorders>
              <w:bottom w:val="single" w:sz="8" w:color="auto"/>
            </w:tcBorders>
          </w:tcPr>
          <w:p>
            <w:pPr>
              <w:spacing w:after="0" w:line="20" w:lineRule="exact"/>
              <w:rPr>
                <w:sz w:val="1"/>
                <w:szCs w:val="1"/>
                <w:color w:val="auto"/>
              </w:rPr>
            </w:pPr>
          </w:p>
        </w:tc>
        <w:tc>
          <w:tcPr>
            <w:tcW w:w="4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242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4"/>
                <w:szCs w:val="14"/>
                <w:color w:val="auto"/>
              </w:rPr>
              <w:t>Title of each class</w:t>
            </w:r>
          </w:p>
        </w:tc>
        <w:tc>
          <w:tcPr>
            <w:tcW w:w="4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560" w:type="dxa"/>
            <w:vAlign w:val="bottom"/>
            <w:tcBorders>
              <w:bottom w:val="single" w:sz="8" w:color="auto"/>
              <w:right w:val="single" w:sz="8" w:color="auto"/>
            </w:tcBorders>
          </w:tcPr>
          <w:p>
            <w:pPr>
              <w:spacing w:after="0"/>
              <w:rPr>
                <w:sz w:val="16"/>
                <w:szCs w:val="16"/>
                <w:color w:val="auto"/>
              </w:rPr>
            </w:pPr>
          </w:p>
        </w:tc>
        <w:tc>
          <w:tcPr>
            <w:tcW w:w="22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Trading Symbol(s)</w:t>
            </w:r>
          </w:p>
        </w:tc>
        <w:tc>
          <w:tcPr>
            <w:tcW w:w="47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Name of each exchange on which registered</w:t>
            </w:r>
          </w:p>
        </w:tc>
        <w:tc>
          <w:tcPr>
            <w:tcW w:w="0" w:type="dxa"/>
            <w:vAlign w:val="bottom"/>
          </w:tcPr>
          <w:p>
            <w:pPr>
              <w:spacing w:after="0"/>
              <w:rPr>
                <w:sz w:val="1"/>
                <w:szCs w:val="1"/>
                <w:color w:val="auto"/>
              </w:rPr>
            </w:pPr>
          </w:p>
        </w:tc>
      </w:tr>
      <w:tr>
        <w:trPr>
          <w:trHeight w:val="196"/>
        </w:trPr>
        <w:tc>
          <w:tcPr>
            <w:tcW w:w="4280" w:type="dxa"/>
            <w:vAlign w:val="bottom"/>
            <w:tcBorders>
              <w:left w:val="single" w:sz="8" w:color="auto"/>
              <w:bottom w:val="single" w:sz="8" w:color="auto"/>
              <w:right w:val="single" w:sz="8" w:color="auto"/>
            </w:tcBorders>
            <w:gridSpan w:val="6"/>
          </w:tcPr>
          <w:p>
            <w:pPr>
              <w:ind w:left="40"/>
              <w:spacing w:after="0"/>
              <w:rPr>
                <w:sz w:val="20"/>
                <w:szCs w:val="20"/>
                <w:color w:val="auto"/>
              </w:rPr>
            </w:pPr>
            <w:r>
              <w:rPr>
                <w:rFonts w:ascii="Arial" w:cs="Arial" w:eastAsia="Arial" w:hAnsi="Arial"/>
                <w:sz w:val="14"/>
                <w:szCs w:val="14"/>
                <w:color w:val="auto"/>
              </w:rPr>
              <w:t>Common Stock, par value $0.06 per share</w:t>
            </w:r>
          </w:p>
        </w:tc>
        <w:tc>
          <w:tcPr>
            <w:tcW w:w="22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GNTX</w:t>
            </w:r>
          </w:p>
        </w:tc>
        <w:tc>
          <w:tcPr>
            <w:tcW w:w="47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NASDAQ Global Select Market</w:t>
            </w:r>
          </w:p>
        </w:tc>
        <w:tc>
          <w:tcPr>
            <w:tcW w:w="0" w:type="dxa"/>
            <w:vAlign w:val="bottom"/>
          </w:tcPr>
          <w:p>
            <w:pPr>
              <w:spacing w:after="0"/>
              <w:rPr>
                <w:sz w:val="1"/>
                <w:szCs w:val="1"/>
                <w:color w:val="auto"/>
              </w:rPr>
            </w:pPr>
          </w:p>
        </w:tc>
      </w:tr>
    </w:tbl>
    <w:p>
      <w:pPr>
        <w:spacing w:after="0" w:line="234" w:lineRule="exact"/>
        <w:rPr>
          <w:sz w:val="24"/>
          <w:szCs w:val="24"/>
          <w:color w:val="auto"/>
        </w:rPr>
      </w:pPr>
    </w:p>
    <w:p>
      <w:pPr>
        <w:ind w:right="120"/>
        <w:spacing w:after="0" w:line="269" w:lineRule="auto"/>
        <w:rPr>
          <w:sz w:val="20"/>
          <w:szCs w:val="20"/>
          <w:color w:val="auto"/>
        </w:rPr>
      </w:pPr>
      <w:r>
        <w:rPr>
          <w:rFonts w:ascii="Arial" w:cs="Arial" w:eastAsia="Arial" w:hAnsi="Arial"/>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 w:lineRule="exact"/>
        <w:rPr>
          <w:sz w:val="24"/>
          <w:szCs w:val="24"/>
          <w:color w:val="auto"/>
        </w:rPr>
      </w:pPr>
    </w:p>
    <w:p>
      <w:pPr>
        <w:spacing w:after="0" w:line="161" w:lineRule="exact"/>
        <w:tabs>
          <w:tab w:leader="none" w:pos="640" w:val="left"/>
        </w:tabs>
        <w:rPr>
          <w:sz w:val="20"/>
          <w:szCs w:val="20"/>
          <w:color w:val="auto"/>
        </w:rPr>
      </w:pPr>
      <w:r>
        <w:rPr>
          <w:rFonts w:ascii="Arial" w:cs="Arial" w:eastAsia="Arial" w:hAnsi="Arial"/>
          <w:sz w:val="14"/>
          <w:szCs w:val="14"/>
          <w:color w:val="auto"/>
        </w:rPr>
        <w:t xml:space="preserve">Yes: </w:t>
      </w:r>
      <w:r>
        <w:rPr>
          <w:rFonts w:ascii="MS PGothic" w:cs="MS PGothic" w:eastAsia="MS PGothic" w:hAnsi="MS PGothic"/>
          <w:sz w:val="14"/>
          <w:szCs w:val="14"/>
          <w:color w:val="auto"/>
        </w:rPr>
        <w:t>☑</w:t>
      </w:r>
      <w:r>
        <w:rPr>
          <w:rFonts w:ascii="Arial" w:cs="Arial" w:eastAsia="Arial" w:hAnsi="Arial"/>
          <w:sz w:val="14"/>
          <w:szCs w:val="14"/>
          <w:color w:val="auto"/>
        </w:rPr>
        <w:tab/>
        <w:t xml:space="preserve">No: </w:t>
      </w:r>
      <w:r>
        <w:rPr>
          <w:rFonts w:ascii="Wingdings" w:cs="Wingdings" w:eastAsia="Wingdings" w:hAnsi="Wingdings"/>
          <w:sz w:val="14"/>
          <w:szCs w:val="14"/>
          <w:b w:val="1"/>
          <w:bCs w:val="1"/>
          <w:color w:val="auto"/>
        </w:rPr>
        <w:t>o</w:t>
      </w:r>
    </w:p>
    <w:p>
      <w:pPr>
        <w:spacing w:after="0" w:line="166" w:lineRule="exact"/>
        <w:rPr>
          <w:sz w:val="24"/>
          <w:szCs w:val="24"/>
          <w:color w:val="auto"/>
        </w:rPr>
      </w:pPr>
    </w:p>
    <w:p>
      <w:pPr>
        <w:ind w:right="540"/>
        <w:spacing w:after="0" w:line="193"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Wingdings" w:cs="Wingdings" w:eastAsia="Wingdings" w:hAnsi="Wingdings"/>
          <w:sz w:val="14"/>
          <w:szCs w:val="14"/>
          <w:b w:val="1"/>
          <w:bCs w:val="1"/>
          <w:color w:val="auto"/>
        </w:rPr>
        <w:t>o</w:t>
      </w:r>
    </w:p>
    <w:p>
      <w:pPr>
        <w:spacing w:after="0" w:line="114" w:lineRule="exact"/>
        <w:rPr>
          <w:sz w:val="24"/>
          <w:szCs w:val="24"/>
          <w:color w:val="auto"/>
        </w:rPr>
      </w:pPr>
    </w:p>
    <w:p>
      <w:pPr>
        <w:ind w:right="260"/>
        <w:spacing w:after="0" w:line="272"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 w:lineRule="exact"/>
        <w:rPr>
          <w:sz w:val="24"/>
          <w:szCs w:val="24"/>
          <w:color w:val="auto"/>
        </w:rPr>
      </w:pPr>
    </w:p>
    <w:tbl>
      <w:tblPr>
        <w:tblLayout w:type="fixed"/>
        <w:tblInd w:w="20" w:type="dxa"/>
        <w:tblCellMar>
          <w:top w:w="0" w:type="dxa"/>
          <w:left w:w="0" w:type="dxa"/>
          <w:bottom w:w="0" w:type="dxa"/>
          <w:right w:w="0" w:type="dxa"/>
        </w:tblCellMar>
      </w:tblPr>
      <w:tr>
        <w:trPr>
          <w:trHeight w:val="260"/>
        </w:trPr>
        <w:tc>
          <w:tcPr>
            <w:tcW w:w="180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3480" w:type="dxa"/>
            <w:vAlign w:val="bottom"/>
          </w:tcPr>
          <w:p>
            <w:pPr>
              <w:ind w:left="360"/>
              <w:spacing w:after="0" w:line="181" w:lineRule="exact"/>
              <w:rPr>
                <w:sz w:val="20"/>
                <w:szCs w:val="20"/>
                <w:color w:val="auto"/>
              </w:rPr>
            </w:pPr>
            <w:r>
              <w:rPr>
                <w:rFonts w:ascii="MS PGothic" w:cs="MS PGothic" w:eastAsia="MS PGothic" w:hAnsi="MS PGothic"/>
                <w:sz w:val="18"/>
                <w:szCs w:val="18"/>
                <w:color w:val="auto"/>
              </w:rPr>
              <w:t>☑</w:t>
            </w:r>
          </w:p>
        </w:tc>
        <w:tc>
          <w:tcPr>
            <w:tcW w:w="5140" w:type="dxa"/>
            <w:vAlign w:val="bottom"/>
          </w:tcPr>
          <w:p>
            <w:pPr>
              <w:ind w:left="2940"/>
              <w:spacing w:after="0"/>
              <w:rPr>
                <w:sz w:val="20"/>
                <w:szCs w:val="20"/>
                <w:color w:val="auto"/>
              </w:rPr>
            </w:pPr>
            <w:r>
              <w:rPr>
                <w:rFonts w:ascii="Arial" w:cs="Arial" w:eastAsia="Arial" w:hAnsi="Arial"/>
                <w:sz w:val="14"/>
                <w:szCs w:val="14"/>
                <w:color w:val="auto"/>
              </w:rPr>
              <w:t>Accelerated filer</w:t>
            </w:r>
          </w:p>
        </w:tc>
        <w:tc>
          <w:tcPr>
            <w:tcW w:w="660" w:type="dxa"/>
            <w:vAlign w:val="bottom"/>
          </w:tcPr>
          <w:p>
            <w:pPr>
              <w:ind w:left="5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1800" w:type="dxa"/>
            <w:vAlign w:val="bottom"/>
          </w:tcPr>
          <w:p>
            <w:pPr>
              <w:spacing w:after="0"/>
              <w:rPr>
                <w:sz w:val="20"/>
                <w:szCs w:val="20"/>
                <w:color w:val="auto"/>
              </w:rPr>
            </w:pPr>
            <w:r>
              <w:rPr>
                <w:rFonts w:ascii="Arial" w:cs="Arial" w:eastAsia="Arial" w:hAnsi="Arial"/>
                <w:sz w:val="14"/>
                <w:szCs w:val="14"/>
                <w:color w:val="auto"/>
              </w:rPr>
              <w:t>Non-accelerated filer</w:t>
            </w:r>
          </w:p>
        </w:tc>
        <w:tc>
          <w:tcPr>
            <w:tcW w:w="3480" w:type="dxa"/>
            <w:vAlign w:val="bottom"/>
          </w:tcPr>
          <w:p>
            <w:pPr>
              <w:ind w:left="360"/>
              <w:spacing w:after="0" w:line="181" w:lineRule="exact"/>
              <w:rPr>
                <w:sz w:val="20"/>
                <w:szCs w:val="20"/>
                <w:color w:val="auto"/>
              </w:rPr>
            </w:pPr>
            <w:r>
              <w:rPr>
                <w:rFonts w:ascii="MS PGothic" w:cs="MS PGothic" w:eastAsia="MS PGothic" w:hAnsi="MS PGothic"/>
                <w:sz w:val="18"/>
                <w:szCs w:val="18"/>
                <w:color w:val="auto"/>
              </w:rPr>
              <w:t>☐</w:t>
            </w:r>
          </w:p>
        </w:tc>
        <w:tc>
          <w:tcPr>
            <w:tcW w:w="5140" w:type="dxa"/>
            <w:vAlign w:val="bottom"/>
          </w:tcPr>
          <w:p>
            <w:pPr>
              <w:ind w:left="2940"/>
              <w:spacing w:after="0"/>
              <w:rPr>
                <w:sz w:val="20"/>
                <w:szCs w:val="20"/>
                <w:color w:val="auto"/>
              </w:rPr>
            </w:pPr>
            <w:r>
              <w:rPr>
                <w:rFonts w:ascii="Arial" w:cs="Arial" w:eastAsia="Arial" w:hAnsi="Arial"/>
                <w:sz w:val="14"/>
                <w:szCs w:val="14"/>
                <w:color w:val="auto"/>
              </w:rPr>
              <w:t>Smaller reporting company</w:t>
            </w:r>
          </w:p>
        </w:tc>
        <w:tc>
          <w:tcPr>
            <w:tcW w:w="660" w:type="dxa"/>
            <w:vAlign w:val="bottom"/>
          </w:tcPr>
          <w:p>
            <w:pPr>
              <w:ind w:left="5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3"/>
        </w:trPr>
        <w:tc>
          <w:tcPr>
            <w:tcW w:w="180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5140" w:type="dxa"/>
            <w:vAlign w:val="bottom"/>
          </w:tcPr>
          <w:p>
            <w:pPr>
              <w:ind w:left="2940"/>
              <w:spacing w:after="0"/>
              <w:rPr>
                <w:sz w:val="20"/>
                <w:szCs w:val="20"/>
                <w:color w:val="auto"/>
              </w:rPr>
            </w:pPr>
            <w:r>
              <w:rPr>
                <w:rFonts w:ascii="Arial" w:cs="Arial" w:eastAsia="Arial" w:hAnsi="Arial"/>
                <w:sz w:val="14"/>
                <w:szCs w:val="14"/>
                <w:color w:val="auto"/>
              </w:rPr>
              <w:t>Emerging growth company</w:t>
            </w:r>
          </w:p>
        </w:tc>
        <w:tc>
          <w:tcPr>
            <w:tcW w:w="660" w:type="dxa"/>
            <w:vAlign w:val="bottom"/>
          </w:tcPr>
          <w:p>
            <w:pPr>
              <w:ind w:left="50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57" w:lineRule="exact"/>
        <w:rPr>
          <w:sz w:val="24"/>
          <w:szCs w:val="24"/>
          <w:color w:val="auto"/>
        </w:rPr>
      </w:pPr>
    </w:p>
    <w:p>
      <w:pPr>
        <w:ind w:right="20"/>
        <w:spacing w:after="0" w:line="285" w:lineRule="auto"/>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4"/>
          <w:szCs w:val="14"/>
          <w:b w:val="1"/>
          <w:bCs w:val="1"/>
          <w:color w:val="auto"/>
        </w:rPr>
        <w:t>o</w:t>
      </w:r>
    </w:p>
    <w:p>
      <w:pPr>
        <w:spacing w:after="0" w:line="167" w:lineRule="exact"/>
        <w:rPr>
          <w:sz w:val="24"/>
          <w:szCs w:val="24"/>
          <w:color w:val="auto"/>
        </w:rPr>
      </w:pPr>
    </w:p>
    <w:p>
      <w:pPr>
        <w:spacing w:after="0" w:line="161" w:lineRule="exact"/>
        <w:tabs>
          <w:tab w:leader="none" w:pos="8040" w:val="left"/>
          <w:tab w:leader="none" w:pos="8400" w:val="left"/>
        </w:tabs>
        <w:rPr>
          <w:sz w:val="20"/>
          <w:szCs w:val="20"/>
          <w:color w:val="auto"/>
        </w:rPr>
      </w:pPr>
      <w:r>
        <w:rPr>
          <w:rFonts w:ascii="Arial" w:cs="Arial" w:eastAsia="Arial" w:hAnsi="Arial"/>
          <w:sz w:val="14"/>
          <w:szCs w:val="14"/>
          <w:color w:val="auto"/>
        </w:rPr>
        <w:t xml:space="preserve">Indicate by a check mark whether the registrant is a shell company (as defined in Rule 12b-2 of the Exchange Act). Yes: </w:t>
      </w:r>
      <w:r>
        <w:rPr>
          <w:rFonts w:ascii="MS PGothic" w:cs="MS PGothic" w:eastAsia="MS PGothic" w:hAnsi="MS PGothic"/>
          <w:sz w:val="14"/>
          <w:szCs w:val="14"/>
          <w:color w:val="auto"/>
        </w:rPr>
        <w:t>☐</w:t>
      </w:r>
      <w:r>
        <w:rPr>
          <w:rFonts w:ascii="Arial" w:cs="Arial" w:eastAsia="Arial" w:hAnsi="Arial"/>
          <w:sz w:val="14"/>
          <w:szCs w:val="14"/>
          <w:color w:val="auto"/>
        </w:rPr>
        <w:tab/>
        <w:t>No:</w:t>
      </w:r>
      <w:r>
        <w:rPr>
          <w:sz w:val="20"/>
          <w:szCs w:val="20"/>
          <w:color w:val="auto"/>
        </w:rPr>
        <w:tab/>
      </w:r>
      <w:r>
        <w:rPr>
          <w:rFonts w:ascii="MS PGothic" w:cs="MS PGothic" w:eastAsia="MS PGothic" w:hAnsi="MS PGothic"/>
          <w:sz w:val="12"/>
          <w:szCs w:val="12"/>
          <w:color w:val="auto"/>
        </w:rPr>
        <w:t>☑</w:t>
      </w:r>
    </w:p>
    <w:p>
      <w:pPr>
        <w:spacing w:after="0" w:line="208" w:lineRule="exact"/>
        <w:rPr>
          <w:sz w:val="24"/>
          <w:szCs w:val="24"/>
          <w:color w:val="auto"/>
        </w:rPr>
      </w:pPr>
    </w:p>
    <w:p>
      <w:pPr>
        <w:spacing w:after="0"/>
        <w:rPr>
          <w:sz w:val="20"/>
          <w:szCs w:val="20"/>
          <w:color w:val="auto"/>
        </w:rPr>
      </w:pPr>
      <w:r>
        <w:rPr>
          <w:rFonts w:ascii="Arial" w:cs="Arial" w:eastAsia="Arial" w:hAnsi="Arial"/>
          <w:sz w:val="14"/>
          <w:szCs w:val="14"/>
          <w:color w:val="auto"/>
        </w:rPr>
        <w:t>APPLICABLE ONLY TO ISSUERS INVOLVED IN BANKRUPTCY PROCEEDINGS DURING THE PRECEDING FIVE YEARS:</w:t>
      </w:r>
    </w:p>
    <w:p>
      <w:pPr>
        <w:spacing w:after="0" w:line="177" w:lineRule="exact"/>
        <w:rPr>
          <w:sz w:val="24"/>
          <w:szCs w:val="24"/>
          <w:color w:val="auto"/>
        </w:rPr>
      </w:pPr>
    </w:p>
    <w:p>
      <w:pPr>
        <w:ind w:right="560"/>
        <w:spacing w:after="0" w:line="193" w:lineRule="exact"/>
        <w:rPr>
          <w:sz w:val="20"/>
          <w:szCs w:val="20"/>
          <w:color w:val="auto"/>
        </w:rPr>
      </w:pPr>
      <w:r>
        <w:rPr>
          <w:rFonts w:ascii="Arial" w:cs="Arial" w:eastAsia="Arial" w:hAnsi="Arial"/>
          <w:sz w:val="14"/>
          <w:szCs w:val="14"/>
          <w:color w:val="auto"/>
        </w:rPr>
        <w:t xml:space="preserve">Indicate by check mark whether the registrant has filed all documents and reports required to be filed by Sections 12, 13 or 15(d) of the Securities Exchange Act of 1934 subsequent to the distribution of securities under a plan confirmed by a court.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Wingdings" w:cs="Wingdings" w:eastAsia="Wingdings" w:hAnsi="Wingdings"/>
          <w:sz w:val="14"/>
          <w:szCs w:val="14"/>
          <w:b w:val="1"/>
          <w:bCs w:val="1"/>
          <w:color w:val="auto"/>
        </w:rPr>
        <w:t>o</w:t>
      </w:r>
    </w:p>
    <w:p>
      <w:pPr>
        <w:spacing w:after="0" w:line="114" w:lineRule="exact"/>
        <w:rPr>
          <w:sz w:val="24"/>
          <w:szCs w:val="24"/>
          <w:color w:val="auto"/>
        </w:rPr>
      </w:pPr>
    </w:p>
    <w:p>
      <w:pPr>
        <w:spacing w:after="0"/>
        <w:rPr>
          <w:sz w:val="20"/>
          <w:szCs w:val="20"/>
          <w:color w:val="auto"/>
        </w:rPr>
      </w:pPr>
      <w:r>
        <w:rPr>
          <w:rFonts w:ascii="Arial" w:cs="Arial" w:eastAsia="Arial" w:hAnsi="Arial"/>
          <w:sz w:val="14"/>
          <w:szCs w:val="14"/>
          <w:color w:val="auto"/>
        </w:rPr>
        <w:t>APPLICABLE ONLY TO CORPORATE ISSUERS:</w:t>
      </w:r>
    </w:p>
    <w:p>
      <w:pPr>
        <w:spacing w:after="0" w:line="29" w:lineRule="exact"/>
        <w:rPr>
          <w:sz w:val="24"/>
          <w:szCs w:val="24"/>
          <w:color w:val="auto"/>
        </w:rPr>
      </w:pPr>
    </w:p>
    <w:p>
      <w:pPr>
        <w:spacing w:after="0"/>
        <w:rPr>
          <w:sz w:val="20"/>
          <w:szCs w:val="20"/>
          <w:color w:val="auto"/>
        </w:rPr>
      </w:pPr>
      <w:r>
        <w:rPr>
          <w:rFonts w:ascii="Arial" w:cs="Arial" w:eastAsia="Arial" w:hAnsi="Arial"/>
          <w:sz w:val="14"/>
          <w:szCs w:val="14"/>
          <w:color w:val="auto"/>
        </w:rPr>
        <w:t>Indicate the number of shares outstanding of each of the issuer’s classes of common stock, as of the latest practicable date.</w:t>
      </w:r>
    </w:p>
    <w:p>
      <w:pPr>
        <w:spacing w:after="0" w:line="41" w:lineRule="exact"/>
        <w:rPr>
          <w:sz w:val="24"/>
          <w:szCs w:val="24"/>
          <w:color w:val="auto"/>
        </w:rPr>
      </w:pPr>
    </w:p>
    <w:tbl>
      <w:tblPr>
        <w:tblLayout w:type="fixed"/>
        <w:tblInd w:w="0" w:type="dxa"/>
        <w:tblCellMar>
          <w:top w:w="0" w:type="dxa"/>
          <w:left w:w="0" w:type="dxa"/>
          <w:bottom w:w="0" w:type="dxa"/>
          <w:right w:w="0" w:type="dxa"/>
        </w:tblCellMar>
      </w:tblPr>
      <w:tr>
        <w:trPr>
          <w:trHeight w:val="197"/>
        </w:trPr>
        <w:tc>
          <w:tcPr>
            <w:tcW w:w="51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Class</w:t>
            </w:r>
          </w:p>
        </w:tc>
        <w:tc>
          <w:tcPr>
            <w:tcW w:w="100" w:type="dxa"/>
            <w:vAlign w:val="bottom"/>
          </w:tcPr>
          <w:p>
            <w:pPr>
              <w:spacing w:after="0"/>
              <w:rPr>
                <w:sz w:val="17"/>
                <w:szCs w:val="17"/>
                <w:color w:val="auto"/>
              </w:rPr>
            </w:pPr>
          </w:p>
        </w:tc>
        <w:tc>
          <w:tcPr>
            <w:tcW w:w="5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Shares Outstanding, April 25, 2025</w:t>
            </w:r>
          </w:p>
        </w:tc>
      </w:tr>
      <w:tr>
        <w:trPr>
          <w:trHeight w:val="189"/>
        </w:trPr>
        <w:tc>
          <w:tcPr>
            <w:tcW w:w="5280" w:type="dxa"/>
            <w:vAlign w:val="bottom"/>
            <w:gridSpan w:val="2"/>
          </w:tcPr>
          <w:p>
            <w:pPr>
              <w:jc w:val="center"/>
              <w:ind w:right="80"/>
              <w:spacing w:after="0"/>
              <w:rPr>
                <w:sz w:val="20"/>
                <w:szCs w:val="20"/>
                <w:color w:val="auto"/>
              </w:rPr>
            </w:pPr>
            <w:r>
              <w:rPr>
                <w:rFonts w:ascii="Arial" w:cs="Arial" w:eastAsia="Arial" w:hAnsi="Arial"/>
                <w:sz w:val="14"/>
                <w:szCs w:val="14"/>
                <w:color w:val="auto"/>
              </w:rPr>
              <w:t>Common Stock, $.06 Par Value</w:t>
            </w:r>
          </w:p>
        </w:tc>
        <w:tc>
          <w:tcPr>
            <w:tcW w:w="5520" w:type="dxa"/>
            <w:vAlign w:val="bottom"/>
          </w:tcPr>
          <w:p>
            <w:pPr>
              <w:jc w:val="right"/>
              <w:ind w:right="2288"/>
              <w:spacing w:after="0"/>
              <w:rPr>
                <w:sz w:val="20"/>
                <w:szCs w:val="20"/>
                <w:color w:val="auto"/>
              </w:rPr>
            </w:pPr>
            <w:r>
              <w:rPr>
                <w:rFonts w:ascii="Arial" w:cs="Arial" w:eastAsia="Arial" w:hAnsi="Arial"/>
                <w:sz w:val="14"/>
                <w:szCs w:val="14"/>
                <w:color w:val="auto"/>
              </w:rPr>
              <w:t>224,803,331</w:t>
            </w:r>
          </w:p>
        </w:tc>
      </w:tr>
    </w:tbl>
    <w:p>
      <w:pPr>
        <w:spacing w:after="0" w:line="200" w:lineRule="exact"/>
        <w:rPr>
          <w:sz w:val="24"/>
          <w:szCs w:val="24"/>
          <w:color w:val="auto"/>
        </w:rPr>
      </w:pPr>
    </w:p>
    <w:p>
      <w:pPr>
        <w:sectPr>
          <w:pgSz w:w="11900" w:h="16838" w:orient="portrait"/>
          <w:cols w:equalWidth="0" w:num="1">
            <w:col w:w="11260"/>
          </w:cols>
          <w:pgMar w:left="320" w:top="607" w:right="31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321" w:lineRule="exact"/>
        <w:rPr>
          <w:sz w:val="24"/>
          <w:szCs w:val="24"/>
          <w:color w:val="auto"/>
        </w:rPr>
      </w:pPr>
    </w:p>
    <w:p>
      <w:pPr>
        <w:ind w:left="11140"/>
        <w:spacing w:after="0"/>
        <w:rPr>
          <w:sz w:val="20"/>
          <w:szCs w:val="20"/>
          <w:color w:val="auto"/>
        </w:rPr>
      </w:pPr>
      <w:r>
        <w:rPr>
          <w:rFonts w:ascii="Arial" w:cs="Arial" w:eastAsia="Arial" w:hAnsi="Arial"/>
          <w:sz w:val="17"/>
          <w:szCs w:val="17"/>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607" w:right="319" w:bottom="1440" w:gutter="0" w:footer="0" w:header="0"/>
          <w:type w:val="continuous"/>
        </w:sectPr>
      </w:pPr>
    </w:p>
    <w:bookmarkStart w:id="1" w:name="page2"/>
    <w:bookmarkEnd w:id="1"/>
    <w:p>
      <w:pPr>
        <w:jc w:val="center"/>
        <w:ind w:right="80"/>
        <w:spacing w:after="0"/>
        <w:rPr>
          <w:sz w:val="20"/>
          <w:szCs w:val="20"/>
          <w:color w:val="auto"/>
        </w:rPr>
      </w:pPr>
      <w:r>
        <w:rPr>
          <w:rFonts w:ascii="Arial" w:cs="Arial" w:eastAsia="Arial" w:hAnsi="Arial"/>
          <w:sz w:val="18"/>
          <w:szCs w:val="18"/>
          <w:b w:val="1"/>
          <w:bCs w:val="1"/>
          <w:color w:val="auto"/>
        </w:rPr>
        <w:t>GENTEX CORPORATION AND SUBSIDIARIES</w:t>
      </w:r>
    </w:p>
    <w:p>
      <w:pPr>
        <w:spacing w:after="0" w:line="27" w:lineRule="exact"/>
        <w:rPr>
          <w:sz w:val="20"/>
          <w:szCs w:val="20"/>
          <w:color w:val="auto"/>
        </w:rPr>
      </w:pPr>
    </w:p>
    <w:p>
      <w:pPr>
        <w:jc w:val="center"/>
        <w:ind w:right="80"/>
        <w:spacing w:after="0"/>
        <w:rPr>
          <w:sz w:val="20"/>
          <w:szCs w:val="20"/>
          <w:color w:val="auto"/>
        </w:rPr>
      </w:pPr>
      <w:r>
        <w:rPr>
          <w:rFonts w:ascii="Arial" w:cs="Arial" w:eastAsia="Arial" w:hAnsi="Arial"/>
          <w:sz w:val="18"/>
          <w:szCs w:val="18"/>
          <w:b w:val="1"/>
          <w:bCs w:val="1"/>
          <w:color w:val="auto"/>
        </w:rPr>
        <w:t>For the Three Months Ended March 31, 2025</w:t>
      </w:r>
    </w:p>
    <w:p>
      <w:pPr>
        <w:spacing w:after="0" w:line="9" w:lineRule="exact"/>
        <w:rPr>
          <w:sz w:val="20"/>
          <w:szCs w:val="20"/>
          <w:color w:val="auto"/>
        </w:rPr>
      </w:pPr>
    </w:p>
    <w:p>
      <w:pPr>
        <w:jc w:val="center"/>
        <w:ind w:right="80"/>
        <w:spacing w:after="0"/>
        <w:rPr>
          <w:sz w:val="20"/>
          <w:szCs w:val="20"/>
          <w:color w:val="auto"/>
        </w:rPr>
      </w:pPr>
      <w:r>
        <w:rPr>
          <w:rFonts w:ascii="Arial" w:cs="Arial" w:eastAsia="Arial" w:hAnsi="Arial"/>
          <w:sz w:val="18"/>
          <w:szCs w:val="18"/>
          <w:b w:val="1"/>
          <w:bCs w:val="1"/>
          <w:color w:val="auto"/>
        </w:rPr>
        <w:t>FORM 10-Q</w:t>
      </w:r>
    </w:p>
    <w:p>
      <w:pPr>
        <w:spacing w:after="0" w:line="9" w:lineRule="exact"/>
        <w:rPr>
          <w:sz w:val="20"/>
          <w:szCs w:val="20"/>
          <w:color w:val="auto"/>
        </w:rPr>
      </w:pPr>
    </w:p>
    <w:p>
      <w:pPr>
        <w:jc w:val="center"/>
        <w:ind w:right="80"/>
        <w:spacing w:after="0"/>
        <w:rPr>
          <w:sz w:val="20"/>
          <w:szCs w:val="20"/>
          <w:color w:val="auto"/>
        </w:rPr>
      </w:pPr>
      <w:r>
        <w:rPr>
          <w:rFonts w:ascii="Arial" w:cs="Arial" w:eastAsia="Arial" w:hAnsi="Arial"/>
          <w:sz w:val="18"/>
          <w:szCs w:val="18"/>
          <w:b w:val="1"/>
          <w:bCs w:val="1"/>
          <w:color w:val="auto"/>
        </w:rPr>
        <w:t>Index</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280"/>
        </w:trPr>
        <w:tc>
          <w:tcPr>
            <w:tcW w:w="9040" w:type="dxa"/>
            <w:vAlign w:val="bottom"/>
            <w:gridSpan w:val="16"/>
          </w:tcPr>
          <w:p>
            <w:pPr>
              <w:spacing w:after="0"/>
              <w:rPr>
                <w:sz w:val="20"/>
                <w:szCs w:val="20"/>
                <w:color w:val="auto"/>
              </w:rPr>
            </w:pPr>
            <w:r>
              <w:rPr>
                <w:rFonts w:ascii="Arial" w:cs="Arial" w:eastAsia="Arial" w:hAnsi="Arial"/>
                <w:sz w:val="22"/>
                <w:szCs w:val="22"/>
                <w:b w:val="1"/>
                <w:bCs w:val="1"/>
                <w:color w:val="auto"/>
              </w:rPr>
              <w:t>Part I - Financial Information</w:t>
            </w:r>
          </w:p>
        </w:tc>
        <w:tc>
          <w:tcPr>
            <w:tcW w:w="1480" w:type="dxa"/>
            <w:vAlign w:val="bottom"/>
            <w:gridSpan w:val="3"/>
          </w:tcPr>
          <w:p>
            <w:pPr>
              <w:ind w:left="960"/>
              <w:spacing w:after="0"/>
              <w:rPr>
                <w:sz w:val="20"/>
                <w:szCs w:val="20"/>
                <w:color w:val="auto"/>
              </w:rPr>
            </w:pPr>
            <w:r>
              <w:rPr>
                <w:rFonts w:ascii="Arial" w:cs="Arial" w:eastAsia="Arial" w:hAnsi="Arial"/>
                <w:sz w:val="22"/>
                <w:szCs w:val="22"/>
                <w:b w:val="1"/>
                <w:bCs w:val="1"/>
                <w:color w:val="auto"/>
                <w:w w:val="94"/>
              </w:rPr>
              <w:t>Page</w:t>
            </w:r>
          </w:p>
        </w:tc>
      </w:tr>
      <w:tr>
        <w:trPr>
          <w:trHeight w:val="194"/>
        </w:trPr>
        <w:tc>
          <w:tcPr>
            <w:tcW w:w="1000" w:type="dxa"/>
            <w:vAlign w:val="bottom"/>
          </w:tcPr>
          <w:p>
            <w:pPr>
              <w:spacing w:after="0" w:line="195" w:lineRule="exact"/>
              <w:rPr>
                <w:sz w:val="20"/>
                <w:szCs w:val="20"/>
                <w:color w:val="auto"/>
              </w:rPr>
            </w:pPr>
            <w:r>
              <w:rPr>
                <w:rFonts w:ascii="Arial" w:cs="Arial" w:eastAsia="Arial" w:hAnsi="Arial"/>
                <w:sz w:val="18"/>
                <w:szCs w:val="18"/>
                <w:color w:val="auto"/>
              </w:rPr>
              <w:t>Item 1.</w:t>
            </w:r>
          </w:p>
        </w:tc>
        <w:tc>
          <w:tcPr>
            <w:tcW w:w="4620" w:type="dxa"/>
            <w:vAlign w:val="bottom"/>
            <w:gridSpan w:val="6"/>
          </w:tcPr>
          <w:p>
            <w:pPr>
              <w:spacing w:after="0" w:line="195" w:lineRule="exact"/>
              <w:rPr>
                <w:sz w:val="20"/>
                <w:szCs w:val="20"/>
                <w:color w:val="auto"/>
              </w:rPr>
            </w:pPr>
            <w:r>
              <w:rPr>
                <w:rFonts w:ascii="Arial" w:cs="Arial" w:eastAsia="Arial" w:hAnsi="Arial"/>
                <w:sz w:val="18"/>
                <w:szCs w:val="18"/>
                <w:color w:val="0000FF"/>
                <w:w w:val="99"/>
              </w:rPr>
              <w:t>Unaudited Condensed Consolidated Financial Statements</w:t>
            </w:r>
          </w:p>
        </w:tc>
        <w:tc>
          <w:tcPr>
            <w:tcW w:w="3420" w:type="dxa"/>
            <w:vAlign w:val="bottom"/>
            <w:gridSpan w:val="9"/>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jc w:val="center"/>
              <w:spacing w:after="0" w:line="195" w:lineRule="exact"/>
              <w:rPr>
                <w:sz w:val="20"/>
                <w:szCs w:val="20"/>
                <w:color w:val="auto"/>
              </w:rPr>
            </w:pPr>
            <w:r>
              <w:rPr>
                <w:rFonts w:ascii="Arial" w:cs="Arial" w:eastAsia="Arial" w:hAnsi="Arial"/>
                <w:sz w:val="18"/>
                <w:szCs w:val="18"/>
                <w:color w:val="0000FF"/>
                <w:w w:val="99"/>
              </w:rPr>
              <w:t>3</w:t>
            </w:r>
          </w:p>
        </w:tc>
        <w:tc>
          <w:tcPr>
            <w:tcW w:w="220" w:type="dxa"/>
            <w:vAlign w:val="bottom"/>
          </w:tcPr>
          <w:p>
            <w:pPr>
              <w:spacing w:after="0"/>
              <w:rPr>
                <w:sz w:val="16"/>
                <w:szCs w:val="16"/>
                <w:color w:val="auto"/>
              </w:rPr>
            </w:pPr>
          </w:p>
        </w:tc>
      </w:tr>
      <w:tr>
        <w:trPr>
          <w:trHeight w:val="20"/>
        </w:trPr>
        <w:tc>
          <w:tcPr>
            <w:tcW w:w="100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980" w:type="dxa"/>
            <w:vAlign w:val="bottom"/>
            <w:tcBorders>
              <w:left w:val="single" w:sz="8" w:color="0000FF"/>
            </w:tcBorders>
            <w:shd w:val="clear" w:color="auto" w:fill="0000FF"/>
          </w:tcPr>
          <w:p>
            <w:pPr>
              <w:spacing w:after="0" w:line="20" w:lineRule="exact"/>
              <w:rPr>
                <w:sz w:val="1"/>
                <w:szCs w:val="1"/>
                <w:color w:val="auto"/>
              </w:rPr>
            </w:pPr>
          </w:p>
        </w:tc>
        <w:tc>
          <w:tcPr>
            <w:tcW w:w="22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10"/>
        </w:trPr>
        <w:tc>
          <w:tcPr>
            <w:tcW w:w="1000" w:type="dxa"/>
            <w:vAlign w:val="bottom"/>
          </w:tcPr>
          <w:p>
            <w:pPr>
              <w:spacing w:after="0"/>
              <w:rPr>
                <w:sz w:val="18"/>
                <w:szCs w:val="18"/>
                <w:color w:val="auto"/>
              </w:rPr>
            </w:pPr>
          </w:p>
        </w:tc>
        <w:tc>
          <w:tcPr>
            <w:tcW w:w="4200" w:type="dxa"/>
            <w:vAlign w:val="bottom"/>
            <w:gridSpan w:val="5"/>
          </w:tcPr>
          <w:p>
            <w:pPr>
              <w:spacing w:after="0"/>
              <w:rPr>
                <w:sz w:val="20"/>
                <w:szCs w:val="20"/>
                <w:color w:val="auto"/>
              </w:rPr>
            </w:pPr>
            <w:r>
              <w:rPr>
                <w:rFonts w:ascii="Arial" w:cs="Arial" w:eastAsia="Arial" w:hAnsi="Arial"/>
                <w:sz w:val="18"/>
                <w:szCs w:val="18"/>
                <w:color w:val="0000FF"/>
                <w:w w:val="99"/>
              </w:rPr>
              <w:t>Unaudited Condensed Consolidated Balance Sheets</w:t>
            </w:r>
          </w:p>
        </w:tc>
        <w:tc>
          <w:tcPr>
            <w:tcW w:w="420" w:type="dxa"/>
            <w:vAlign w:val="bottom"/>
          </w:tcPr>
          <w:p>
            <w:pPr>
              <w:spacing w:after="0"/>
              <w:rPr>
                <w:sz w:val="18"/>
                <w:szCs w:val="18"/>
                <w:color w:val="auto"/>
              </w:rPr>
            </w:pPr>
          </w:p>
        </w:tc>
        <w:tc>
          <w:tcPr>
            <w:tcW w:w="3420" w:type="dxa"/>
            <w:vAlign w:val="bottom"/>
            <w:gridSpan w:val="9"/>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jc w:val="center"/>
              <w:spacing w:after="0"/>
              <w:rPr>
                <w:sz w:val="20"/>
                <w:szCs w:val="20"/>
                <w:color w:val="auto"/>
              </w:rPr>
            </w:pPr>
            <w:r>
              <w:rPr>
                <w:rFonts w:ascii="Arial" w:cs="Arial" w:eastAsia="Arial" w:hAnsi="Arial"/>
                <w:sz w:val="18"/>
                <w:szCs w:val="18"/>
                <w:color w:val="0000FF"/>
                <w:w w:val="99"/>
              </w:rPr>
              <w:t>3</w:t>
            </w:r>
          </w:p>
        </w:tc>
        <w:tc>
          <w:tcPr>
            <w:tcW w:w="220" w:type="dxa"/>
            <w:vAlign w:val="bottom"/>
          </w:tcPr>
          <w:p>
            <w:pPr>
              <w:spacing w:after="0"/>
              <w:rPr>
                <w:sz w:val="18"/>
                <w:szCs w:val="18"/>
                <w:color w:val="auto"/>
              </w:rPr>
            </w:pPr>
          </w:p>
        </w:tc>
      </w:tr>
      <w:tr>
        <w:trPr>
          <w:trHeight w:val="20"/>
        </w:trPr>
        <w:tc>
          <w:tcPr>
            <w:tcW w:w="100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980" w:type="dxa"/>
            <w:vAlign w:val="bottom"/>
            <w:tcBorders>
              <w:left w:val="single" w:sz="8" w:color="0000FF"/>
            </w:tcBorders>
            <w:shd w:val="clear" w:color="auto" w:fill="0000FF"/>
          </w:tcPr>
          <w:p>
            <w:pPr>
              <w:spacing w:after="0" w:line="20" w:lineRule="exact"/>
              <w:rPr>
                <w:sz w:val="1"/>
                <w:szCs w:val="1"/>
                <w:color w:val="auto"/>
              </w:rPr>
            </w:pPr>
          </w:p>
        </w:tc>
        <w:tc>
          <w:tcPr>
            <w:tcW w:w="2220" w:type="dxa"/>
            <w:vAlign w:val="bottom"/>
            <w:shd w:val="clear" w:color="auto" w:fill="0000FF"/>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09"/>
        </w:trPr>
        <w:tc>
          <w:tcPr>
            <w:tcW w:w="1000" w:type="dxa"/>
            <w:vAlign w:val="bottom"/>
          </w:tcPr>
          <w:p>
            <w:pPr>
              <w:spacing w:after="0"/>
              <w:rPr>
                <w:sz w:val="18"/>
                <w:szCs w:val="18"/>
                <w:color w:val="auto"/>
              </w:rPr>
            </w:pPr>
          </w:p>
        </w:tc>
        <w:tc>
          <w:tcPr>
            <w:tcW w:w="8040" w:type="dxa"/>
            <w:vAlign w:val="bottom"/>
            <w:gridSpan w:val="15"/>
          </w:tcPr>
          <w:p>
            <w:pPr>
              <w:spacing w:after="0"/>
              <w:rPr>
                <w:sz w:val="20"/>
                <w:szCs w:val="20"/>
                <w:color w:val="auto"/>
              </w:rPr>
            </w:pPr>
            <w:r>
              <w:rPr>
                <w:rFonts w:ascii="Arial" w:cs="Arial" w:eastAsia="Arial" w:hAnsi="Arial"/>
                <w:sz w:val="18"/>
                <w:szCs w:val="18"/>
                <w:color w:val="0000FF"/>
              </w:rPr>
              <w:t>Unaudited Condensed Consolidated Statements of Income</w:t>
            </w:r>
          </w:p>
        </w:tc>
        <w:tc>
          <w:tcPr>
            <w:tcW w:w="1260" w:type="dxa"/>
            <w:vAlign w:val="bottom"/>
            <w:gridSpan w:val="2"/>
          </w:tcPr>
          <w:p>
            <w:pPr>
              <w:jc w:val="center"/>
              <w:ind w:left="1068"/>
              <w:spacing w:after="0"/>
              <w:rPr>
                <w:sz w:val="20"/>
                <w:szCs w:val="20"/>
                <w:color w:val="auto"/>
              </w:rPr>
            </w:pPr>
            <w:r>
              <w:rPr>
                <w:rFonts w:ascii="Arial" w:cs="Arial" w:eastAsia="Arial" w:hAnsi="Arial"/>
                <w:sz w:val="18"/>
                <w:szCs w:val="18"/>
                <w:color w:val="0000FF"/>
                <w:w w:val="99"/>
              </w:rPr>
              <w:t>4</w:t>
            </w:r>
          </w:p>
        </w:tc>
        <w:tc>
          <w:tcPr>
            <w:tcW w:w="220" w:type="dxa"/>
            <w:vAlign w:val="bottom"/>
          </w:tcPr>
          <w:p>
            <w:pPr>
              <w:spacing w:after="0"/>
              <w:rPr>
                <w:sz w:val="18"/>
                <w:szCs w:val="18"/>
                <w:color w:val="auto"/>
              </w:rPr>
            </w:pPr>
          </w:p>
        </w:tc>
      </w:tr>
      <w:tr>
        <w:trPr>
          <w:trHeight w:val="20"/>
        </w:trPr>
        <w:tc>
          <w:tcPr>
            <w:tcW w:w="100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980" w:type="dxa"/>
            <w:vAlign w:val="bottom"/>
            <w:tcBorders>
              <w:left w:val="single" w:sz="8" w:color="0000FF"/>
            </w:tcBorders>
            <w:shd w:val="clear" w:color="auto" w:fill="0000FF"/>
          </w:tcPr>
          <w:p>
            <w:pPr>
              <w:spacing w:after="0" w:line="20" w:lineRule="exact"/>
              <w:rPr>
                <w:sz w:val="1"/>
                <w:szCs w:val="1"/>
                <w:color w:val="auto"/>
              </w:rPr>
            </w:pPr>
          </w:p>
        </w:tc>
        <w:tc>
          <w:tcPr>
            <w:tcW w:w="270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09"/>
        </w:trPr>
        <w:tc>
          <w:tcPr>
            <w:tcW w:w="1000" w:type="dxa"/>
            <w:vAlign w:val="bottom"/>
          </w:tcPr>
          <w:p>
            <w:pPr>
              <w:spacing w:after="0"/>
              <w:rPr>
                <w:sz w:val="18"/>
                <w:szCs w:val="18"/>
                <w:color w:val="auto"/>
              </w:rPr>
            </w:pPr>
          </w:p>
        </w:tc>
        <w:tc>
          <w:tcPr>
            <w:tcW w:w="6000" w:type="dxa"/>
            <w:vAlign w:val="bottom"/>
            <w:gridSpan w:val="12"/>
          </w:tcPr>
          <w:p>
            <w:pPr>
              <w:spacing w:after="0"/>
              <w:rPr>
                <w:sz w:val="20"/>
                <w:szCs w:val="20"/>
                <w:color w:val="auto"/>
              </w:rPr>
            </w:pPr>
            <w:r>
              <w:rPr>
                <w:rFonts w:ascii="Arial" w:cs="Arial" w:eastAsia="Arial" w:hAnsi="Arial"/>
                <w:sz w:val="18"/>
                <w:szCs w:val="18"/>
                <w:color w:val="0000FF"/>
                <w:w w:val="99"/>
              </w:rPr>
              <w:t>Unaudited Condensed Consolidated Statements of Comprehensive Income</w:t>
            </w:r>
          </w:p>
        </w:tc>
        <w:tc>
          <w:tcPr>
            <w:tcW w:w="2040" w:type="dxa"/>
            <w:vAlign w:val="bottom"/>
            <w:gridSpan w:val="3"/>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jc w:val="center"/>
              <w:spacing w:after="0"/>
              <w:rPr>
                <w:sz w:val="20"/>
                <w:szCs w:val="20"/>
                <w:color w:val="auto"/>
              </w:rPr>
            </w:pPr>
            <w:r>
              <w:rPr>
                <w:rFonts w:ascii="Arial" w:cs="Arial" w:eastAsia="Arial" w:hAnsi="Arial"/>
                <w:sz w:val="18"/>
                <w:szCs w:val="18"/>
                <w:color w:val="0000FF"/>
                <w:w w:val="99"/>
              </w:rPr>
              <w:t>5</w:t>
            </w:r>
          </w:p>
        </w:tc>
        <w:tc>
          <w:tcPr>
            <w:tcW w:w="220" w:type="dxa"/>
            <w:vAlign w:val="bottom"/>
          </w:tcPr>
          <w:p>
            <w:pPr>
              <w:spacing w:after="0"/>
              <w:rPr>
                <w:sz w:val="18"/>
                <w:szCs w:val="18"/>
                <w:color w:val="auto"/>
              </w:rPr>
            </w:pPr>
          </w:p>
        </w:tc>
      </w:tr>
      <w:tr>
        <w:trPr>
          <w:trHeight w:val="20"/>
        </w:trPr>
        <w:tc>
          <w:tcPr>
            <w:tcW w:w="100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980" w:type="dxa"/>
            <w:vAlign w:val="bottom"/>
            <w:tcBorders>
              <w:left w:val="single" w:sz="8" w:color="0000FF"/>
            </w:tcBorders>
            <w:shd w:val="clear" w:color="auto" w:fill="0000FF"/>
          </w:tcPr>
          <w:p>
            <w:pPr>
              <w:spacing w:after="0" w:line="20" w:lineRule="exact"/>
              <w:rPr>
                <w:sz w:val="1"/>
                <w:szCs w:val="1"/>
                <w:color w:val="auto"/>
              </w:rPr>
            </w:pPr>
          </w:p>
        </w:tc>
        <w:tc>
          <w:tcPr>
            <w:tcW w:w="2720" w:type="dxa"/>
            <w:vAlign w:val="bottom"/>
            <w:gridSpan w:val="4"/>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10"/>
        </w:trPr>
        <w:tc>
          <w:tcPr>
            <w:tcW w:w="1000" w:type="dxa"/>
            <w:vAlign w:val="bottom"/>
          </w:tcPr>
          <w:p>
            <w:pPr>
              <w:spacing w:after="0"/>
              <w:rPr>
                <w:sz w:val="18"/>
                <w:szCs w:val="18"/>
                <w:color w:val="auto"/>
              </w:rPr>
            </w:pPr>
          </w:p>
        </w:tc>
        <w:tc>
          <w:tcPr>
            <w:tcW w:w="8040" w:type="dxa"/>
            <w:vAlign w:val="bottom"/>
            <w:gridSpan w:val="15"/>
          </w:tcPr>
          <w:p>
            <w:pPr>
              <w:spacing w:after="0"/>
              <w:rPr>
                <w:sz w:val="20"/>
                <w:szCs w:val="20"/>
                <w:color w:val="auto"/>
              </w:rPr>
            </w:pPr>
            <w:r>
              <w:rPr>
                <w:rFonts w:ascii="Arial" w:cs="Arial" w:eastAsia="Arial" w:hAnsi="Arial"/>
                <w:sz w:val="18"/>
                <w:szCs w:val="18"/>
                <w:color w:val="0000FF"/>
              </w:rPr>
              <w:t>Unaudited Condensed Consolidated Statements of Shareholders' Investment</w:t>
            </w:r>
          </w:p>
        </w:tc>
        <w:tc>
          <w:tcPr>
            <w:tcW w:w="1260" w:type="dxa"/>
            <w:vAlign w:val="bottom"/>
            <w:gridSpan w:val="2"/>
          </w:tcPr>
          <w:p>
            <w:pPr>
              <w:jc w:val="center"/>
              <w:ind w:left="1068"/>
              <w:spacing w:after="0"/>
              <w:rPr>
                <w:sz w:val="20"/>
                <w:szCs w:val="20"/>
                <w:color w:val="auto"/>
              </w:rPr>
            </w:pPr>
            <w:r>
              <w:rPr>
                <w:rFonts w:ascii="Arial" w:cs="Arial" w:eastAsia="Arial" w:hAnsi="Arial"/>
                <w:sz w:val="18"/>
                <w:szCs w:val="18"/>
                <w:color w:val="0000FF"/>
                <w:w w:val="99"/>
              </w:rPr>
              <w:t>6</w:t>
            </w:r>
          </w:p>
        </w:tc>
        <w:tc>
          <w:tcPr>
            <w:tcW w:w="220" w:type="dxa"/>
            <w:vAlign w:val="bottom"/>
          </w:tcPr>
          <w:p>
            <w:pPr>
              <w:spacing w:after="0"/>
              <w:rPr>
                <w:sz w:val="18"/>
                <w:szCs w:val="18"/>
                <w:color w:val="auto"/>
              </w:rPr>
            </w:pPr>
          </w:p>
        </w:tc>
      </w:tr>
      <w:tr>
        <w:trPr>
          <w:trHeight w:val="20"/>
        </w:trPr>
        <w:tc>
          <w:tcPr>
            <w:tcW w:w="100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980" w:type="dxa"/>
            <w:vAlign w:val="bottom"/>
            <w:tcBorders>
              <w:left w:val="single" w:sz="8" w:color="0000FF"/>
            </w:tcBorders>
            <w:shd w:val="clear" w:color="auto" w:fill="0000FF"/>
          </w:tcPr>
          <w:p>
            <w:pPr>
              <w:spacing w:after="0" w:line="20" w:lineRule="exact"/>
              <w:rPr>
                <w:sz w:val="1"/>
                <w:szCs w:val="1"/>
                <w:color w:val="auto"/>
              </w:rPr>
            </w:pPr>
          </w:p>
        </w:tc>
        <w:tc>
          <w:tcPr>
            <w:tcW w:w="2720" w:type="dxa"/>
            <w:vAlign w:val="bottom"/>
            <w:gridSpan w:val="4"/>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780" w:type="dxa"/>
            <w:vAlign w:val="bottom"/>
            <w:gridSpan w:val="2"/>
            <w:shd w:val="clear" w:color="auto" w:fill="0000FF"/>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09"/>
        </w:trPr>
        <w:tc>
          <w:tcPr>
            <w:tcW w:w="1000" w:type="dxa"/>
            <w:vAlign w:val="bottom"/>
          </w:tcPr>
          <w:p>
            <w:pPr>
              <w:spacing w:after="0"/>
              <w:rPr>
                <w:sz w:val="18"/>
                <w:szCs w:val="18"/>
                <w:color w:val="auto"/>
              </w:rPr>
            </w:pPr>
          </w:p>
        </w:tc>
        <w:tc>
          <w:tcPr>
            <w:tcW w:w="5040" w:type="dxa"/>
            <w:vAlign w:val="bottom"/>
            <w:gridSpan w:val="10"/>
          </w:tcPr>
          <w:p>
            <w:pPr>
              <w:spacing w:after="0"/>
              <w:rPr>
                <w:sz w:val="20"/>
                <w:szCs w:val="20"/>
                <w:color w:val="auto"/>
              </w:rPr>
            </w:pPr>
            <w:r>
              <w:rPr>
                <w:rFonts w:ascii="Arial" w:cs="Arial" w:eastAsia="Arial" w:hAnsi="Arial"/>
                <w:sz w:val="18"/>
                <w:szCs w:val="18"/>
                <w:color w:val="0000FF"/>
                <w:w w:val="99"/>
              </w:rPr>
              <w:t>Unaudited Condensed Consolidated Statements of Cash Flows</w:t>
            </w:r>
          </w:p>
        </w:tc>
        <w:tc>
          <w:tcPr>
            <w:tcW w:w="1080" w:type="dxa"/>
            <w:vAlign w:val="bottom"/>
            <w:gridSpan w:val="3"/>
          </w:tcPr>
          <w:p>
            <w:pPr>
              <w:spacing w:after="0"/>
              <w:rPr>
                <w:sz w:val="18"/>
                <w:szCs w:val="18"/>
                <w:color w:val="auto"/>
              </w:rPr>
            </w:pPr>
          </w:p>
        </w:tc>
        <w:tc>
          <w:tcPr>
            <w:tcW w:w="1920" w:type="dxa"/>
            <w:vAlign w:val="bottom"/>
            <w:gridSpan w:val="2"/>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jc w:val="center"/>
              <w:spacing w:after="0"/>
              <w:rPr>
                <w:sz w:val="20"/>
                <w:szCs w:val="20"/>
                <w:color w:val="auto"/>
              </w:rPr>
            </w:pPr>
            <w:r>
              <w:rPr>
                <w:rFonts w:ascii="Arial" w:cs="Arial" w:eastAsia="Arial" w:hAnsi="Arial"/>
                <w:sz w:val="18"/>
                <w:szCs w:val="18"/>
                <w:color w:val="0000FF"/>
                <w:w w:val="99"/>
              </w:rPr>
              <w:t>7</w:t>
            </w:r>
          </w:p>
        </w:tc>
        <w:tc>
          <w:tcPr>
            <w:tcW w:w="220" w:type="dxa"/>
            <w:vAlign w:val="bottom"/>
          </w:tcPr>
          <w:p>
            <w:pPr>
              <w:spacing w:after="0"/>
              <w:rPr>
                <w:sz w:val="18"/>
                <w:szCs w:val="18"/>
                <w:color w:val="auto"/>
              </w:rPr>
            </w:pPr>
          </w:p>
        </w:tc>
      </w:tr>
      <w:tr>
        <w:trPr>
          <w:trHeight w:val="20"/>
        </w:trPr>
        <w:tc>
          <w:tcPr>
            <w:tcW w:w="100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980" w:type="dxa"/>
            <w:vAlign w:val="bottom"/>
            <w:tcBorders>
              <w:left w:val="single" w:sz="8" w:color="0000FF"/>
            </w:tcBorders>
            <w:shd w:val="clear" w:color="auto" w:fill="0000FF"/>
          </w:tcPr>
          <w:p>
            <w:pPr>
              <w:spacing w:after="0" w:line="20" w:lineRule="exact"/>
              <w:rPr>
                <w:sz w:val="1"/>
                <w:szCs w:val="1"/>
                <w:color w:val="auto"/>
              </w:rPr>
            </w:pPr>
          </w:p>
        </w:tc>
        <w:tc>
          <w:tcPr>
            <w:tcW w:w="2720" w:type="dxa"/>
            <w:vAlign w:val="bottom"/>
            <w:gridSpan w:val="4"/>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720" w:type="dxa"/>
            <w:vAlign w:val="bottom"/>
            <w:gridSpan w:val="3"/>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09"/>
        </w:trPr>
        <w:tc>
          <w:tcPr>
            <w:tcW w:w="1000" w:type="dxa"/>
            <w:vAlign w:val="bottom"/>
          </w:tcPr>
          <w:p>
            <w:pPr>
              <w:spacing w:after="0"/>
              <w:rPr>
                <w:sz w:val="18"/>
                <w:szCs w:val="18"/>
                <w:color w:val="auto"/>
              </w:rPr>
            </w:pPr>
          </w:p>
        </w:tc>
        <w:tc>
          <w:tcPr>
            <w:tcW w:w="5340" w:type="dxa"/>
            <w:vAlign w:val="bottom"/>
            <w:gridSpan w:val="11"/>
          </w:tcPr>
          <w:p>
            <w:pPr>
              <w:spacing w:after="0"/>
              <w:rPr>
                <w:sz w:val="20"/>
                <w:szCs w:val="20"/>
                <w:color w:val="auto"/>
              </w:rPr>
            </w:pPr>
            <w:r>
              <w:rPr>
                <w:rFonts w:ascii="Arial" w:cs="Arial" w:eastAsia="Arial" w:hAnsi="Arial"/>
                <w:sz w:val="18"/>
                <w:szCs w:val="18"/>
                <w:color w:val="0000FF"/>
                <w:w w:val="99"/>
              </w:rPr>
              <w:t>Notes to Unaudited Condensed Consolidated Financial Statements</w:t>
            </w:r>
          </w:p>
        </w:tc>
        <w:tc>
          <w:tcPr>
            <w:tcW w:w="2700" w:type="dxa"/>
            <w:vAlign w:val="bottom"/>
            <w:gridSpan w:val="4"/>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jc w:val="center"/>
              <w:spacing w:after="0"/>
              <w:rPr>
                <w:sz w:val="20"/>
                <w:szCs w:val="20"/>
                <w:color w:val="auto"/>
              </w:rPr>
            </w:pPr>
            <w:r>
              <w:rPr>
                <w:rFonts w:ascii="Arial" w:cs="Arial" w:eastAsia="Arial" w:hAnsi="Arial"/>
                <w:sz w:val="18"/>
                <w:szCs w:val="18"/>
                <w:color w:val="0000FF"/>
                <w:w w:val="99"/>
              </w:rPr>
              <w:t>8</w:t>
            </w:r>
          </w:p>
        </w:tc>
        <w:tc>
          <w:tcPr>
            <w:tcW w:w="220" w:type="dxa"/>
            <w:vAlign w:val="bottom"/>
          </w:tcPr>
          <w:p>
            <w:pPr>
              <w:spacing w:after="0"/>
              <w:rPr>
                <w:sz w:val="18"/>
                <w:szCs w:val="18"/>
                <w:color w:val="auto"/>
              </w:rPr>
            </w:pPr>
          </w:p>
        </w:tc>
      </w:tr>
      <w:tr>
        <w:trPr>
          <w:trHeight w:val="20"/>
        </w:trPr>
        <w:tc>
          <w:tcPr>
            <w:tcW w:w="100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980" w:type="dxa"/>
            <w:vAlign w:val="bottom"/>
            <w:tcBorders>
              <w:left w:val="single" w:sz="8" w:color="0000FF"/>
            </w:tcBorders>
            <w:shd w:val="clear" w:color="auto" w:fill="0000FF"/>
          </w:tcPr>
          <w:p>
            <w:pPr>
              <w:spacing w:after="0" w:line="20" w:lineRule="exact"/>
              <w:rPr>
                <w:sz w:val="1"/>
                <w:szCs w:val="1"/>
                <w:color w:val="auto"/>
              </w:rPr>
            </w:pPr>
          </w:p>
        </w:tc>
        <w:tc>
          <w:tcPr>
            <w:tcW w:w="2720" w:type="dxa"/>
            <w:vAlign w:val="bottom"/>
            <w:gridSpan w:val="4"/>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1720" w:type="dxa"/>
            <w:vAlign w:val="bottom"/>
            <w:gridSpan w:val="3"/>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10"/>
        </w:trPr>
        <w:tc>
          <w:tcPr>
            <w:tcW w:w="1000" w:type="dxa"/>
            <w:vAlign w:val="bottom"/>
          </w:tcPr>
          <w:p>
            <w:pPr>
              <w:spacing w:after="0"/>
              <w:rPr>
                <w:sz w:val="20"/>
                <w:szCs w:val="20"/>
                <w:color w:val="auto"/>
              </w:rPr>
            </w:pPr>
            <w:r>
              <w:rPr>
                <w:rFonts w:ascii="Arial" w:cs="Arial" w:eastAsia="Arial" w:hAnsi="Arial"/>
                <w:sz w:val="18"/>
                <w:szCs w:val="18"/>
                <w:color w:val="auto"/>
              </w:rPr>
              <w:t>Item 2.</w:t>
            </w:r>
          </w:p>
        </w:tc>
        <w:tc>
          <w:tcPr>
            <w:tcW w:w="8040" w:type="dxa"/>
            <w:vAlign w:val="bottom"/>
            <w:gridSpan w:val="15"/>
          </w:tcPr>
          <w:p>
            <w:pPr>
              <w:spacing w:after="0"/>
              <w:rPr>
                <w:sz w:val="20"/>
                <w:szCs w:val="20"/>
                <w:color w:val="auto"/>
              </w:rPr>
            </w:pPr>
            <w:r>
              <w:rPr>
                <w:rFonts w:ascii="Arial" w:cs="Arial" w:eastAsia="Arial" w:hAnsi="Arial"/>
                <w:sz w:val="18"/>
                <w:szCs w:val="18"/>
                <w:color w:val="0000FF"/>
              </w:rPr>
              <w:t>Management's Discussion and Analysis of Financial Condition and Results of Operations</w:t>
            </w:r>
          </w:p>
        </w:tc>
        <w:tc>
          <w:tcPr>
            <w:tcW w:w="1480" w:type="dxa"/>
            <w:vAlign w:val="bottom"/>
            <w:gridSpan w:val="3"/>
          </w:tcPr>
          <w:p>
            <w:pPr>
              <w:jc w:val="center"/>
              <w:ind w:left="868"/>
              <w:spacing w:after="0"/>
              <w:rPr>
                <w:sz w:val="20"/>
                <w:szCs w:val="20"/>
                <w:color w:val="auto"/>
              </w:rPr>
            </w:pPr>
            <w:r>
              <w:rPr>
                <w:rFonts w:ascii="Arial" w:cs="Arial" w:eastAsia="Arial" w:hAnsi="Arial"/>
                <w:sz w:val="18"/>
                <w:szCs w:val="18"/>
                <w:color w:val="0000FF"/>
                <w:w w:val="99"/>
              </w:rPr>
              <w:t>25</w:t>
            </w:r>
          </w:p>
        </w:tc>
      </w:tr>
      <w:tr>
        <w:trPr>
          <w:trHeight w:val="20"/>
        </w:trPr>
        <w:tc>
          <w:tcPr>
            <w:tcW w:w="100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980" w:type="dxa"/>
            <w:vAlign w:val="bottom"/>
            <w:tcBorders>
              <w:left w:val="single" w:sz="8" w:color="0000FF"/>
            </w:tcBorders>
            <w:shd w:val="clear" w:color="auto" w:fill="0000FF"/>
          </w:tcPr>
          <w:p>
            <w:pPr>
              <w:spacing w:after="0" w:line="20" w:lineRule="exact"/>
              <w:rPr>
                <w:sz w:val="1"/>
                <w:szCs w:val="1"/>
                <w:color w:val="auto"/>
              </w:rPr>
            </w:pPr>
          </w:p>
        </w:tc>
        <w:tc>
          <w:tcPr>
            <w:tcW w:w="22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16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tcPr>
          <w:p>
            <w:pPr>
              <w:spacing w:after="0" w:line="20" w:lineRule="exact"/>
              <w:rPr>
                <w:sz w:val="1"/>
                <w:szCs w:val="1"/>
                <w:color w:val="auto"/>
              </w:rPr>
            </w:pPr>
          </w:p>
        </w:tc>
      </w:tr>
      <w:tr>
        <w:trPr>
          <w:trHeight w:val="209"/>
        </w:trPr>
        <w:tc>
          <w:tcPr>
            <w:tcW w:w="1000" w:type="dxa"/>
            <w:vAlign w:val="bottom"/>
          </w:tcPr>
          <w:p>
            <w:pPr>
              <w:spacing w:after="0"/>
              <w:rPr>
                <w:sz w:val="20"/>
                <w:szCs w:val="20"/>
                <w:color w:val="auto"/>
              </w:rPr>
            </w:pPr>
            <w:r>
              <w:rPr>
                <w:rFonts w:ascii="Arial" w:cs="Arial" w:eastAsia="Arial" w:hAnsi="Arial"/>
                <w:sz w:val="18"/>
                <w:szCs w:val="18"/>
                <w:color w:val="auto"/>
              </w:rPr>
              <w:t>Item 3.</w:t>
            </w:r>
          </w:p>
        </w:tc>
        <w:tc>
          <w:tcPr>
            <w:tcW w:w="7060" w:type="dxa"/>
            <w:vAlign w:val="bottom"/>
            <w:gridSpan w:val="14"/>
          </w:tcPr>
          <w:p>
            <w:pPr>
              <w:spacing w:after="0"/>
              <w:rPr>
                <w:sz w:val="20"/>
                <w:szCs w:val="20"/>
                <w:color w:val="auto"/>
              </w:rPr>
            </w:pPr>
            <w:r>
              <w:rPr>
                <w:rFonts w:ascii="Arial" w:cs="Arial" w:eastAsia="Arial" w:hAnsi="Arial"/>
                <w:sz w:val="18"/>
                <w:szCs w:val="18"/>
                <w:color w:val="0000FF"/>
              </w:rPr>
              <w:t>Quantitative and Qualitative Disclosures About Market Risk</w:t>
            </w:r>
          </w:p>
        </w:tc>
        <w:tc>
          <w:tcPr>
            <w:tcW w:w="980" w:type="dxa"/>
            <w:vAlign w:val="bottom"/>
          </w:tcPr>
          <w:p>
            <w:pPr>
              <w:spacing w:after="0"/>
              <w:rPr>
                <w:sz w:val="18"/>
                <w:szCs w:val="18"/>
                <w:color w:val="auto"/>
              </w:rPr>
            </w:pPr>
          </w:p>
        </w:tc>
        <w:tc>
          <w:tcPr>
            <w:tcW w:w="1480" w:type="dxa"/>
            <w:vAlign w:val="bottom"/>
            <w:gridSpan w:val="3"/>
          </w:tcPr>
          <w:p>
            <w:pPr>
              <w:jc w:val="center"/>
              <w:ind w:left="868"/>
              <w:spacing w:after="0"/>
              <w:rPr>
                <w:sz w:val="20"/>
                <w:szCs w:val="20"/>
                <w:color w:val="auto"/>
              </w:rPr>
            </w:pPr>
            <w:r>
              <w:rPr>
                <w:rFonts w:ascii="Arial" w:cs="Arial" w:eastAsia="Arial" w:hAnsi="Arial"/>
                <w:sz w:val="18"/>
                <w:szCs w:val="18"/>
                <w:color w:val="0000FF"/>
                <w:w w:val="99"/>
              </w:rPr>
              <w:t>35</w:t>
            </w:r>
          </w:p>
        </w:tc>
      </w:tr>
      <w:tr>
        <w:trPr>
          <w:trHeight w:val="20"/>
        </w:trPr>
        <w:tc>
          <w:tcPr>
            <w:tcW w:w="100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980" w:type="dxa"/>
            <w:vAlign w:val="bottom"/>
            <w:tcBorders>
              <w:left w:val="single" w:sz="8" w:color="0000FF"/>
            </w:tcBorders>
            <w:shd w:val="clear" w:color="auto" w:fill="0000FF"/>
          </w:tcPr>
          <w:p>
            <w:pPr>
              <w:spacing w:after="0" w:line="20" w:lineRule="exact"/>
              <w:rPr>
                <w:sz w:val="1"/>
                <w:szCs w:val="1"/>
                <w:color w:val="auto"/>
              </w:rPr>
            </w:pPr>
          </w:p>
        </w:tc>
        <w:tc>
          <w:tcPr>
            <w:tcW w:w="2720" w:type="dxa"/>
            <w:vAlign w:val="bottom"/>
            <w:gridSpan w:val="4"/>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0" w:type="dxa"/>
            <w:vAlign w:val="bottom"/>
            <w:gridSpan w:val="6"/>
          </w:tcPr>
          <w:p>
            <w:pPr>
              <w:spacing w:after="0" w:line="20" w:lineRule="exact"/>
              <w:rPr>
                <w:sz w:val="1"/>
                <w:szCs w:val="1"/>
                <w:color w:val="auto"/>
              </w:rPr>
            </w:pPr>
          </w:p>
        </w:tc>
        <w:tc>
          <w:tcPr>
            <w:tcW w:w="116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tcPr>
          <w:p>
            <w:pPr>
              <w:spacing w:after="0" w:line="20" w:lineRule="exact"/>
              <w:rPr>
                <w:sz w:val="1"/>
                <w:szCs w:val="1"/>
                <w:color w:val="auto"/>
              </w:rPr>
            </w:pPr>
          </w:p>
        </w:tc>
      </w:tr>
      <w:tr>
        <w:trPr>
          <w:trHeight w:val="210"/>
        </w:trPr>
        <w:tc>
          <w:tcPr>
            <w:tcW w:w="1000" w:type="dxa"/>
            <w:vAlign w:val="bottom"/>
          </w:tcPr>
          <w:p>
            <w:pPr>
              <w:spacing w:after="0"/>
              <w:rPr>
                <w:sz w:val="20"/>
                <w:szCs w:val="20"/>
                <w:color w:val="auto"/>
              </w:rPr>
            </w:pPr>
            <w:r>
              <w:rPr>
                <w:rFonts w:ascii="Arial" w:cs="Arial" w:eastAsia="Arial" w:hAnsi="Arial"/>
                <w:sz w:val="18"/>
                <w:szCs w:val="18"/>
                <w:color w:val="auto"/>
              </w:rPr>
              <w:t>Item 4.</w:t>
            </w:r>
          </w:p>
        </w:tc>
        <w:tc>
          <w:tcPr>
            <w:tcW w:w="4700" w:type="dxa"/>
            <w:vAlign w:val="bottom"/>
            <w:gridSpan w:val="8"/>
          </w:tcPr>
          <w:p>
            <w:pPr>
              <w:spacing w:after="0"/>
              <w:rPr>
                <w:sz w:val="20"/>
                <w:szCs w:val="20"/>
                <w:color w:val="auto"/>
              </w:rPr>
            </w:pPr>
            <w:r>
              <w:rPr>
                <w:rFonts w:ascii="Arial" w:cs="Arial" w:eastAsia="Arial" w:hAnsi="Arial"/>
                <w:sz w:val="18"/>
                <w:szCs w:val="18"/>
                <w:color w:val="0000FF"/>
              </w:rPr>
              <w:t>Controls and Procedures</w:t>
            </w:r>
          </w:p>
        </w:tc>
        <w:tc>
          <w:tcPr>
            <w:tcW w:w="3340" w:type="dxa"/>
            <w:vAlign w:val="bottom"/>
            <w:gridSpan w:val="7"/>
          </w:tcPr>
          <w:p>
            <w:pPr>
              <w:spacing w:after="0"/>
              <w:rPr>
                <w:sz w:val="18"/>
                <w:szCs w:val="18"/>
                <w:color w:val="auto"/>
              </w:rPr>
            </w:pPr>
          </w:p>
        </w:tc>
        <w:tc>
          <w:tcPr>
            <w:tcW w:w="1480" w:type="dxa"/>
            <w:vAlign w:val="bottom"/>
            <w:gridSpan w:val="3"/>
          </w:tcPr>
          <w:p>
            <w:pPr>
              <w:jc w:val="center"/>
              <w:ind w:left="868"/>
              <w:spacing w:after="0"/>
              <w:rPr>
                <w:sz w:val="20"/>
                <w:szCs w:val="20"/>
                <w:color w:val="auto"/>
              </w:rPr>
            </w:pPr>
            <w:r>
              <w:rPr>
                <w:rFonts w:ascii="Arial" w:cs="Arial" w:eastAsia="Arial" w:hAnsi="Arial"/>
                <w:sz w:val="18"/>
                <w:szCs w:val="18"/>
                <w:color w:val="0000FF"/>
                <w:w w:val="99"/>
              </w:rPr>
              <w:t>35</w:t>
            </w:r>
          </w:p>
        </w:tc>
      </w:tr>
      <w:tr>
        <w:trPr>
          <w:trHeight w:val="20"/>
        </w:trPr>
        <w:tc>
          <w:tcPr>
            <w:tcW w:w="100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980" w:type="dxa"/>
            <w:vAlign w:val="bottom"/>
            <w:tcBorders>
              <w:left w:val="single" w:sz="8" w:color="0000FF"/>
            </w:tcBorders>
            <w:shd w:val="clear" w:color="auto" w:fill="0000FF"/>
          </w:tcPr>
          <w:p>
            <w:pPr>
              <w:spacing w:after="0" w:line="20" w:lineRule="exact"/>
              <w:rPr>
                <w:sz w:val="1"/>
                <w:szCs w:val="1"/>
                <w:color w:val="auto"/>
              </w:rPr>
            </w:pPr>
          </w:p>
        </w:tc>
        <w:tc>
          <w:tcPr>
            <w:tcW w:w="2860" w:type="dxa"/>
            <w:vAlign w:val="bottom"/>
            <w:gridSpan w:val="5"/>
          </w:tcPr>
          <w:p>
            <w:pPr>
              <w:spacing w:after="0" w:line="20" w:lineRule="exact"/>
              <w:rPr>
                <w:sz w:val="1"/>
                <w:szCs w:val="1"/>
                <w:color w:val="auto"/>
              </w:rPr>
            </w:pPr>
          </w:p>
        </w:tc>
        <w:tc>
          <w:tcPr>
            <w:tcW w:w="3200" w:type="dxa"/>
            <w:vAlign w:val="bottom"/>
            <w:gridSpan w:val="6"/>
          </w:tcPr>
          <w:p>
            <w:pPr>
              <w:spacing w:after="0" w:line="20" w:lineRule="exact"/>
              <w:rPr>
                <w:sz w:val="1"/>
                <w:szCs w:val="1"/>
                <w:color w:val="auto"/>
              </w:rPr>
            </w:pPr>
          </w:p>
        </w:tc>
        <w:tc>
          <w:tcPr>
            <w:tcW w:w="116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tcPr>
          <w:p>
            <w:pPr>
              <w:spacing w:after="0" w:line="20" w:lineRule="exact"/>
              <w:rPr>
                <w:sz w:val="1"/>
                <w:szCs w:val="1"/>
                <w:color w:val="auto"/>
              </w:rPr>
            </w:pPr>
          </w:p>
        </w:tc>
      </w:tr>
      <w:tr>
        <w:trPr>
          <w:trHeight w:val="555"/>
        </w:trPr>
        <w:tc>
          <w:tcPr>
            <w:tcW w:w="9040" w:type="dxa"/>
            <w:vAlign w:val="bottom"/>
            <w:gridSpan w:val="16"/>
          </w:tcPr>
          <w:p>
            <w:pPr>
              <w:spacing w:after="0"/>
              <w:rPr>
                <w:sz w:val="20"/>
                <w:szCs w:val="20"/>
                <w:color w:val="auto"/>
              </w:rPr>
            </w:pPr>
            <w:r>
              <w:rPr>
                <w:rFonts w:ascii="Arial" w:cs="Arial" w:eastAsia="Arial" w:hAnsi="Arial"/>
                <w:sz w:val="22"/>
                <w:szCs w:val="22"/>
                <w:b w:val="1"/>
                <w:bCs w:val="1"/>
                <w:color w:val="auto"/>
              </w:rPr>
              <w:t>Part II - Other Information</w:t>
            </w: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194"/>
        </w:trPr>
        <w:tc>
          <w:tcPr>
            <w:tcW w:w="1000" w:type="dxa"/>
            <w:vAlign w:val="bottom"/>
          </w:tcPr>
          <w:p>
            <w:pPr>
              <w:spacing w:after="0" w:line="195" w:lineRule="exact"/>
              <w:rPr>
                <w:sz w:val="20"/>
                <w:szCs w:val="20"/>
                <w:color w:val="auto"/>
              </w:rPr>
            </w:pPr>
            <w:r>
              <w:rPr>
                <w:rFonts w:ascii="Arial" w:cs="Arial" w:eastAsia="Arial" w:hAnsi="Arial"/>
                <w:sz w:val="18"/>
                <w:szCs w:val="18"/>
                <w:color w:val="auto"/>
              </w:rPr>
              <w:t>Item 1A.</w:t>
            </w:r>
          </w:p>
        </w:tc>
        <w:tc>
          <w:tcPr>
            <w:tcW w:w="1000" w:type="dxa"/>
            <w:vAlign w:val="bottom"/>
            <w:gridSpan w:val="3"/>
          </w:tcPr>
          <w:p>
            <w:pPr>
              <w:spacing w:after="0" w:line="195" w:lineRule="exact"/>
              <w:rPr>
                <w:sz w:val="20"/>
                <w:szCs w:val="20"/>
                <w:color w:val="auto"/>
              </w:rPr>
            </w:pPr>
            <w:r>
              <w:rPr>
                <w:rFonts w:ascii="Arial" w:cs="Arial" w:eastAsia="Arial" w:hAnsi="Arial"/>
                <w:sz w:val="18"/>
                <w:szCs w:val="18"/>
                <w:color w:val="0000FF"/>
                <w:w w:val="95"/>
              </w:rPr>
              <w:t>Risk Factors</w:t>
            </w:r>
          </w:p>
        </w:tc>
        <w:tc>
          <w:tcPr>
            <w:tcW w:w="7040" w:type="dxa"/>
            <w:vAlign w:val="bottom"/>
            <w:gridSpan w:val="12"/>
          </w:tcPr>
          <w:p>
            <w:pPr>
              <w:spacing w:after="0"/>
              <w:rPr>
                <w:sz w:val="16"/>
                <w:szCs w:val="16"/>
                <w:color w:val="auto"/>
              </w:rPr>
            </w:pPr>
          </w:p>
        </w:tc>
        <w:tc>
          <w:tcPr>
            <w:tcW w:w="1480" w:type="dxa"/>
            <w:vAlign w:val="bottom"/>
            <w:gridSpan w:val="3"/>
          </w:tcPr>
          <w:p>
            <w:pPr>
              <w:jc w:val="center"/>
              <w:ind w:left="868"/>
              <w:spacing w:after="0" w:line="195" w:lineRule="exact"/>
              <w:rPr>
                <w:sz w:val="20"/>
                <w:szCs w:val="20"/>
                <w:color w:val="auto"/>
              </w:rPr>
            </w:pPr>
            <w:r>
              <w:rPr>
                <w:rFonts w:ascii="Arial" w:cs="Arial" w:eastAsia="Arial" w:hAnsi="Arial"/>
                <w:sz w:val="18"/>
                <w:szCs w:val="18"/>
                <w:color w:val="0000FF"/>
                <w:w w:val="99"/>
              </w:rPr>
              <w:t>37</w:t>
            </w:r>
          </w:p>
        </w:tc>
      </w:tr>
      <w:tr>
        <w:trPr>
          <w:trHeight w:val="20"/>
        </w:trPr>
        <w:tc>
          <w:tcPr>
            <w:tcW w:w="100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840" w:type="dxa"/>
            <w:vAlign w:val="bottom"/>
            <w:gridSpan w:val="6"/>
          </w:tcPr>
          <w:p>
            <w:pPr>
              <w:spacing w:after="0" w:line="20" w:lineRule="exact"/>
              <w:rPr>
                <w:sz w:val="1"/>
                <w:szCs w:val="1"/>
                <w:color w:val="auto"/>
              </w:rPr>
            </w:pPr>
          </w:p>
        </w:tc>
        <w:tc>
          <w:tcPr>
            <w:tcW w:w="3200" w:type="dxa"/>
            <w:vAlign w:val="bottom"/>
            <w:gridSpan w:val="6"/>
          </w:tcPr>
          <w:p>
            <w:pPr>
              <w:spacing w:after="0" w:line="20" w:lineRule="exact"/>
              <w:rPr>
                <w:sz w:val="1"/>
                <w:szCs w:val="1"/>
                <w:color w:val="auto"/>
              </w:rPr>
            </w:pPr>
          </w:p>
        </w:tc>
        <w:tc>
          <w:tcPr>
            <w:tcW w:w="116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tcPr>
          <w:p>
            <w:pPr>
              <w:spacing w:after="0" w:line="20" w:lineRule="exact"/>
              <w:rPr>
                <w:sz w:val="1"/>
                <w:szCs w:val="1"/>
                <w:color w:val="auto"/>
              </w:rPr>
            </w:pPr>
          </w:p>
        </w:tc>
      </w:tr>
      <w:tr>
        <w:trPr>
          <w:trHeight w:val="209"/>
        </w:trPr>
        <w:tc>
          <w:tcPr>
            <w:tcW w:w="1000" w:type="dxa"/>
            <w:vAlign w:val="bottom"/>
          </w:tcPr>
          <w:p>
            <w:pPr>
              <w:spacing w:after="0"/>
              <w:rPr>
                <w:sz w:val="20"/>
                <w:szCs w:val="20"/>
                <w:color w:val="auto"/>
              </w:rPr>
            </w:pPr>
            <w:r>
              <w:rPr>
                <w:rFonts w:ascii="Arial" w:cs="Arial" w:eastAsia="Arial" w:hAnsi="Arial"/>
                <w:sz w:val="18"/>
                <w:szCs w:val="18"/>
                <w:color w:val="auto"/>
              </w:rPr>
              <w:t>Item 2.</w:t>
            </w:r>
          </w:p>
        </w:tc>
        <w:tc>
          <w:tcPr>
            <w:tcW w:w="8040" w:type="dxa"/>
            <w:vAlign w:val="bottom"/>
            <w:gridSpan w:val="15"/>
          </w:tcPr>
          <w:p>
            <w:pPr>
              <w:spacing w:after="0"/>
              <w:rPr>
                <w:sz w:val="20"/>
                <w:szCs w:val="20"/>
                <w:color w:val="auto"/>
              </w:rPr>
            </w:pPr>
            <w:r>
              <w:rPr>
                <w:rFonts w:ascii="Arial" w:cs="Arial" w:eastAsia="Arial" w:hAnsi="Arial"/>
                <w:sz w:val="18"/>
                <w:szCs w:val="18"/>
                <w:color w:val="0000FF"/>
              </w:rPr>
              <w:t>Unregistered Sales of Equity Securities and Use of Proceeds</w:t>
            </w:r>
          </w:p>
        </w:tc>
        <w:tc>
          <w:tcPr>
            <w:tcW w:w="1480" w:type="dxa"/>
            <w:vAlign w:val="bottom"/>
            <w:gridSpan w:val="3"/>
          </w:tcPr>
          <w:p>
            <w:pPr>
              <w:jc w:val="center"/>
              <w:ind w:left="868"/>
              <w:spacing w:after="0"/>
              <w:rPr>
                <w:sz w:val="20"/>
                <w:szCs w:val="20"/>
                <w:color w:val="auto"/>
              </w:rPr>
            </w:pPr>
            <w:r>
              <w:rPr>
                <w:rFonts w:ascii="Arial" w:cs="Arial" w:eastAsia="Arial" w:hAnsi="Arial"/>
                <w:sz w:val="18"/>
                <w:szCs w:val="18"/>
                <w:color w:val="0000FF"/>
                <w:w w:val="99"/>
              </w:rPr>
              <w:t>37</w:t>
            </w:r>
          </w:p>
        </w:tc>
      </w:tr>
      <w:tr>
        <w:trPr>
          <w:trHeight w:val="20"/>
        </w:trPr>
        <w:tc>
          <w:tcPr>
            <w:tcW w:w="100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840" w:type="dxa"/>
            <w:vAlign w:val="bottom"/>
            <w:tcBorders>
              <w:left w:val="single" w:sz="8" w:color="0000FF"/>
            </w:tcBorders>
            <w:gridSpan w:val="6"/>
            <w:shd w:val="clear" w:color="auto" w:fill="0000FF"/>
          </w:tcPr>
          <w:p>
            <w:pPr>
              <w:spacing w:after="0" w:line="20" w:lineRule="exact"/>
              <w:rPr>
                <w:sz w:val="1"/>
                <w:szCs w:val="1"/>
                <w:color w:val="auto"/>
              </w:rPr>
            </w:pPr>
          </w:p>
        </w:tc>
        <w:tc>
          <w:tcPr>
            <w:tcW w:w="3200" w:type="dxa"/>
            <w:vAlign w:val="bottom"/>
            <w:gridSpan w:val="6"/>
          </w:tcPr>
          <w:p>
            <w:pPr>
              <w:spacing w:after="0" w:line="20" w:lineRule="exact"/>
              <w:rPr>
                <w:sz w:val="1"/>
                <w:szCs w:val="1"/>
                <w:color w:val="auto"/>
              </w:rPr>
            </w:pPr>
          </w:p>
        </w:tc>
        <w:tc>
          <w:tcPr>
            <w:tcW w:w="116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tcPr>
          <w:p>
            <w:pPr>
              <w:spacing w:after="0" w:line="20" w:lineRule="exact"/>
              <w:rPr>
                <w:sz w:val="1"/>
                <w:szCs w:val="1"/>
                <w:color w:val="auto"/>
              </w:rPr>
            </w:pPr>
          </w:p>
        </w:tc>
      </w:tr>
      <w:tr>
        <w:trPr>
          <w:trHeight w:val="210"/>
        </w:trPr>
        <w:tc>
          <w:tcPr>
            <w:tcW w:w="1000" w:type="dxa"/>
            <w:vAlign w:val="bottom"/>
          </w:tcPr>
          <w:p>
            <w:pPr>
              <w:spacing w:after="0"/>
              <w:rPr>
                <w:sz w:val="20"/>
                <w:szCs w:val="20"/>
                <w:color w:val="auto"/>
              </w:rPr>
            </w:pPr>
            <w:r>
              <w:rPr>
                <w:rFonts w:ascii="Arial" w:cs="Arial" w:eastAsia="Arial" w:hAnsi="Arial"/>
                <w:sz w:val="18"/>
                <w:szCs w:val="18"/>
                <w:color w:val="auto"/>
              </w:rPr>
              <w:t>Item 6.</w:t>
            </w:r>
          </w:p>
        </w:tc>
        <w:tc>
          <w:tcPr>
            <w:tcW w:w="4840" w:type="dxa"/>
            <w:vAlign w:val="bottom"/>
            <w:gridSpan w:val="9"/>
          </w:tcPr>
          <w:p>
            <w:pPr>
              <w:spacing w:after="0"/>
              <w:rPr>
                <w:sz w:val="20"/>
                <w:szCs w:val="20"/>
                <w:color w:val="auto"/>
              </w:rPr>
            </w:pPr>
            <w:r>
              <w:rPr>
                <w:rFonts w:ascii="Arial" w:cs="Arial" w:eastAsia="Arial" w:hAnsi="Arial"/>
                <w:sz w:val="18"/>
                <w:szCs w:val="18"/>
                <w:color w:val="0000FF"/>
              </w:rPr>
              <w:t>Exhibits</w:t>
            </w:r>
          </w:p>
        </w:tc>
        <w:tc>
          <w:tcPr>
            <w:tcW w:w="3200" w:type="dxa"/>
            <w:vAlign w:val="bottom"/>
            <w:gridSpan w:val="6"/>
          </w:tcPr>
          <w:p>
            <w:pPr>
              <w:spacing w:after="0"/>
              <w:rPr>
                <w:sz w:val="18"/>
                <w:szCs w:val="18"/>
                <w:color w:val="auto"/>
              </w:rPr>
            </w:pPr>
          </w:p>
        </w:tc>
        <w:tc>
          <w:tcPr>
            <w:tcW w:w="1480" w:type="dxa"/>
            <w:vAlign w:val="bottom"/>
            <w:gridSpan w:val="3"/>
          </w:tcPr>
          <w:p>
            <w:pPr>
              <w:jc w:val="center"/>
              <w:ind w:left="868"/>
              <w:spacing w:after="0"/>
              <w:rPr>
                <w:sz w:val="20"/>
                <w:szCs w:val="20"/>
                <w:color w:val="auto"/>
              </w:rPr>
            </w:pPr>
            <w:r>
              <w:rPr>
                <w:rFonts w:ascii="Arial" w:cs="Arial" w:eastAsia="Arial" w:hAnsi="Arial"/>
                <w:sz w:val="18"/>
                <w:szCs w:val="18"/>
                <w:color w:val="0000FF"/>
                <w:w w:val="99"/>
              </w:rPr>
              <w:t>37</w:t>
            </w:r>
          </w:p>
        </w:tc>
      </w:tr>
      <w:tr>
        <w:trPr>
          <w:trHeight w:val="20"/>
        </w:trPr>
        <w:tc>
          <w:tcPr>
            <w:tcW w:w="100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40" w:type="dxa"/>
            <w:vAlign w:val="bottom"/>
            <w:gridSpan w:val="12"/>
          </w:tcPr>
          <w:p>
            <w:pPr>
              <w:spacing w:after="0" w:line="20" w:lineRule="exact"/>
              <w:rPr>
                <w:sz w:val="1"/>
                <w:szCs w:val="1"/>
                <w:color w:val="auto"/>
              </w:rPr>
            </w:pPr>
          </w:p>
        </w:tc>
        <w:tc>
          <w:tcPr>
            <w:tcW w:w="116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tcPr>
          <w:p>
            <w:pPr>
              <w:spacing w:after="0" w:line="20" w:lineRule="exact"/>
              <w:rPr>
                <w:sz w:val="1"/>
                <w:szCs w:val="1"/>
                <w:color w:val="auto"/>
              </w:rPr>
            </w:pPr>
          </w:p>
        </w:tc>
      </w:tr>
      <w:tr>
        <w:trPr>
          <w:trHeight w:val="209"/>
        </w:trPr>
        <w:tc>
          <w:tcPr>
            <w:tcW w:w="1000" w:type="dxa"/>
            <w:vAlign w:val="bottom"/>
          </w:tcPr>
          <w:p>
            <w:pPr>
              <w:spacing w:after="0"/>
              <w:rPr>
                <w:sz w:val="18"/>
                <w:szCs w:val="18"/>
                <w:color w:val="auto"/>
              </w:rPr>
            </w:pPr>
          </w:p>
        </w:tc>
        <w:tc>
          <w:tcPr>
            <w:tcW w:w="860" w:type="dxa"/>
            <w:vAlign w:val="bottom"/>
            <w:gridSpan w:val="2"/>
          </w:tcPr>
          <w:p>
            <w:pPr>
              <w:spacing w:after="0"/>
              <w:rPr>
                <w:sz w:val="20"/>
                <w:szCs w:val="20"/>
                <w:color w:val="auto"/>
              </w:rPr>
            </w:pPr>
            <w:r>
              <w:rPr>
                <w:rFonts w:ascii="Arial" w:cs="Arial" w:eastAsia="Arial" w:hAnsi="Arial"/>
                <w:sz w:val="18"/>
                <w:szCs w:val="18"/>
                <w:color w:val="0302FF"/>
                <w:w w:val="97"/>
              </w:rPr>
              <w:t>Signatures</w:t>
            </w:r>
          </w:p>
        </w:tc>
        <w:tc>
          <w:tcPr>
            <w:tcW w:w="7180" w:type="dxa"/>
            <w:vAlign w:val="bottom"/>
            <w:gridSpan w:val="13"/>
          </w:tcPr>
          <w:p>
            <w:pPr>
              <w:spacing w:after="0"/>
              <w:rPr>
                <w:sz w:val="18"/>
                <w:szCs w:val="18"/>
                <w:color w:val="auto"/>
              </w:rPr>
            </w:pPr>
          </w:p>
        </w:tc>
        <w:tc>
          <w:tcPr>
            <w:tcW w:w="1480" w:type="dxa"/>
            <w:vAlign w:val="bottom"/>
            <w:gridSpan w:val="3"/>
          </w:tcPr>
          <w:p>
            <w:pPr>
              <w:jc w:val="center"/>
              <w:ind w:left="868"/>
              <w:spacing w:after="0"/>
              <w:rPr>
                <w:sz w:val="20"/>
                <w:szCs w:val="20"/>
                <w:color w:val="auto"/>
              </w:rPr>
            </w:pPr>
            <w:r>
              <w:rPr>
                <w:rFonts w:ascii="Arial" w:cs="Arial" w:eastAsia="Arial" w:hAnsi="Arial"/>
                <w:sz w:val="18"/>
                <w:szCs w:val="18"/>
                <w:color w:val="0000FF"/>
                <w:w w:val="99"/>
              </w:rPr>
              <w:t>37</w:t>
            </w:r>
          </w:p>
        </w:tc>
      </w:tr>
      <w:tr>
        <w:trPr>
          <w:trHeight w:val="20"/>
        </w:trPr>
        <w:tc>
          <w:tcPr>
            <w:tcW w:w="1000" w:type="dxa"/>
            <w:vAlign w:val="bottom"/>
          </w:tcPr>
          <w:p>
            <w:pPr>
              <w:spacing w:after="0" w:line="20" w:lineRule="exact"/>
              <w:rPr>
                <w:sz w:val="1"/>
                <w:szCs w:val="1"/>
                <w:color w:val="auto"/>
              </w:rPr>
            </w:pPr>
          </w:p>
        </w:tc>
        <w:tc>
          <w:tcPr>
            <w:tcW w:w="620" w:type="dxa"/>
            <w:vAlign w:val="bottom"/>
            <w:shd w:val="clear" w:color="auto" w:fill="0302FF"/>
          </w:tcPr>
          <w:p>
            <w:pPr>
              <w:spacing w:after="0" w:line="20" w:lineRule="exact"/>
              <w:rPr>
                <w:sz w:val="1"/>
                <w:szCs w:val="1"/>
                <w:color w:val="auto"/>
              </w:rPr>
            </w:pPr>
          </w:p>
        </w:tc>
        <w:tc>
          <w:tcPr>
            <w:tcW w:w="240" w:type="dxa"/>
            <w:vAlign w:val="bottom"/>
            <w:shd w:val="clear" w:color="auto" w:fill="0302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16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tcPr>
          <w:p>
            <w:pPr>
              <w:spacing w:after="0" w:line="20" w:lineRule="exact"/>
              <w:rPr>
                <w:sz w:val="1"/>
                <w:szCs w:val="1"/>
                <w:color w:val="auto"/>
              </w:rPr>
            </w:pPr>
          </w:p>
        </w:tc>
      </w:tr>
      <w:tr>
        <w:trPr>
          <w:trHeight w:val="209"/>
        </w:trPr>
        <w:tc>
          <w:tcPr>
            <w:tcW w:w="1000" w:type="dxa"/>
            <w:vAlign w:val="bottom"/>
          </w:tcPr>
          <w:p>
            <w:pPr>
              <w:spacing w:after="0"/>
              <w:rPr>
                <w:sz w:val="18"/>
                <w:szCs w:val="18"/>
                <w:color w:val="auto"/>
              </w:rPr>
            </w:pPr>
          </w:p>
        </w:tc>
        <w:tc>
          <w:tcPr>
            <w:tcW w:w="8040" w:type="dxa"/>
            <w:vAlign w:val="bottom"/>
            <w:gridSpan w:val="15"/>
          </w:tcPr>
          <w:p>
            <w:pPr>
              <w:spacing w:after="0"/>
              <w:rPr>
                <w:sz w:val="20"/>
                <w:szCs w:val="20"/>
                <w:color w:val="auto"/>
              </w:rPr>
            </w:pPr>
            <w:r>
              <w:rPr>
                <w:rFonts w:ascii="Arial" w:cs="Arial" w:eastAsia="Arial" w:hAnsi="Arial"/>
                <w:sz w:val="18"/>
                <w:szCs w:val="18"/>
                <w:color w:val="0000FF"/>
              </w:rPr>
              <w:t>Exhibit Index</w:t>
            </w:r>
          </w:p>
        </w:tc>
        <w:tc>
          <w:tcPr>
            <w:tcW w:w="1480" w:type="dxa"/>
            <w:vAlign w:val="bottom"/>
            <w:gridSpan w:val="3"/>
          </w:tcPr>
          <w:p>
            <w:pPr>
              <w:jc w:val="center"/>
              <w:ind w:left="868"/>
              <w:spacing w:after="0"/>
              <w:rPr>
                <w:sz w:val="20"/>
                <w:szCs w:val="20"/>
                <w:color w:val="auto"/>
              </w:rPr>
            </w:pPr>
            <w:r>
              <w:rPr>
                <w:rFonts w:ascii="Arial" w:cs="Arial" w:eastAsia="Arial" w:hAnsi="Arial"/>
                <w:sz w:val="18"/>
                <w:szCs w:val="18"/>
                <w:color w:val="0000FF"/>
                <w:w w:val="99"/>
              </w:rPr>
              <w:t>39</w:t>
            </w:r>
          </w:p>
        </w:tc>
      </w:tr>
      <w:tr>
        <w:trPr>
          <w:trHeight w:val="20"/>
        </w:trPr>
        <w:tc>
          <w:tcPr>
            <w:tcW w:w="100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980" w:type="dxa"/>
            <w:vAlign w:val="bottom"/>
            <w:tcBorders>
              <w:left w:val="single" w:sz="8" w:color="0000FF"/>
            </w:tcBorders>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16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73660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400" w:top="931" w:right="339" w:bottom="1440" w:gutter="0" w:footer="0" w:header="0"/>
        </w:sectPr>
      </w:pPr>
    </w:p>
    <w:bookmarkStart w:id="2" w:name="page3"/>
    <w:bookmarkEnd w:id="2"/>
    <w:p>
      <w:pPr>
        <w:ind w:left="4080"/>
        <w:spacing w:after="0"/>
        <w:rPr>
          <w:sz w:val="20"/>
          <w:szCs w:val="20"/>
          <w:color w:val="auto"/>
        </w:rPr>
      </w:pPr>
      <w:r>
        <w:rPr>
          <w:rFonts w:ascii="Arial" w:cs="Arial" w:eastAsia="Arial" w:hAnsi="Arial"/>
          <w:sz w:val="18"/>
          <w:szCs w:val="18"/>
          <w:b w:val="1"/>
          <w:bCs w:val="1"/>
          <w:color w:val="auto"/>
        </w:rPr>
        <w:t>PART I —FINANCIAL INFORMATION</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Unaudited Condensed Consolidated Financial Statements.</w:t>
      </w:r>
    </w:p>
    <w:p>
      <w:pPr>
        <w:spacing w:after="0" w:line="333" w:lineRule="exact"/>
        <w:rPr>
          <w:sz w:val="20"/>
          <w:szCs w:val="20"/>
          <w:color w:val="auto"/>
        </w:rPr>
      </w:pPr>
    </w:p>
    <w:p>
      <w:pPr>
        <w:ind w:left="2600"/>
        <w:spacing w:after="0"/>
        <w:rPr>
          <w:sz w:val="20"/>
          <w:szCs w:val="20"/>
          <w:color w:val="auto"/>
        </w:rPr>
      </w:pPr>
      <w:r>
        <w:rPr>
          <w:rFonts w:ascii="Arial" w:cs="Arial" w:eastAsia="Arial" w:hAnsi="Arial"/>
          <w:sz w:val="18"/>
          <w:szCs w:val="18"/>
          <w:b w:val="1"/>
          <w:bCs w:val="1"/>
          <w:color w:val="auto"/>
        </w:rPr>
        <w:t>GENTEX CORPORATION AND SUBSIDIARIES</w:t>
      </w:r>
    </w:p>
    <w:p>
      <w:pPr>
        <w:spacing w:after="0" w:line="171" w:lineRule="exact"/>
        <w:rPr>
          <w:sz w:val="20"/>
          <w:szCs w:val="20"/>
          <w:color w:val="auto"/>
        </w:rPr>
      </w:pPr>
    </w:p>
    <w:p>
      <w:pPr>
        <w:ind w:left="2900"/>
        <w:spacing w:after="0"/>
        <w:rPr>
          <w:sz w:val="20"/>
          <w:szCs w:val="20"/>
          <w:color w:val="auto"/>
        </w:rPr>
      </w:pPr>
      <w:r>
        <w:rPr>
          <w:rFonts w:ascii="Arial" w:cs="Arial" w:eastAsia="Arial" w:hAnsi="Arial"/>
          <w:sz w:val="18"/>
          <w:szCs w:val="18"/>
          <w:b w:val="1"/>
          <w:bCs w:val="1"/>
          <w:color w:val="auto"/>
        </w:rPr>
        <w:t>UNAUDITED CONDENSED CONSOLIDATED BALANCE SHEETS</w:t>
      </w:r>
    </w:p>
    <w:p>
      <w:pPr>
        <w:spacing w:after="0" w:line="171" w:lineRule="exact"/>
        <w:rPr>
          <w:sz w:val="20"/>
          <w:szCs w:val="20"/>
          <w:color w:val="auto"/>
        </w:rPr>
      </w:pPr>
    </w:p>
    <w:p>
      <w:pPr>
        <w:ind w:left="3720"/>
        <w:spacing w:after="0"/>
        <w:rPr>
          <w:sz w:val="20"/>
          <w:szCs w:val="20"/>
          <w:color w:val="auto"/>
        </w:rPr>
      </w:pPr>
      <w:r>
        <w:rPr>
          <w:rFonts w:ascii="Arial" w:cs="Arial" w:eastAsia="Arial" w:hAnsi="Arial"/>
          <w:sz w:val="18"/>
          <w:szCs w:val="18"/>
          <w:b w:val="1"/>
          <w:bCs w:val="1"/>
          <w:color w:val="auto"/>
        </w:rPr>
        <w:t>As of March 31, 2025 and December 31, 2024</w:t>
      </w:r>
    </w:p>
    <w:p>
      <w:pPr>
        <w:spacing w:after="0" w:line="42"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140" w:type="dxa"/>
            <w:vAlign w:val="bottom"/>
            <w:gridSpan w:val="2"/>
            <w:vMerge w:val="restart"/>
            <w:shd w:val="clear" w:color="auto" w:fill="CCEEFF"/>
          </w:tcPr>
          <w:p>
            <w:pPr>
              <w:spacing w:after="0"/>
              <w:rPr>
                <w:sz w:val="20"/>
                <w:szCs w:val="20"/>
                <w:color w:val="auto"/>
              </w:rPr>
            </w:pPr>
            <w:r>
              <w:rPr>
                <w:rFonts w:ascii="Arial" w:cs="Arial" w:eastAsia="Arial" w:hAnsi="Arial"/>
                <w:sz w:val="14"/>
                <w:szCs w:val="14"/>
                <w:b w:val="1"/>
                <w:bCs w:val="1"/>
                <w:color w:val="auto"/>
              </w:rPr>
              <w:t>March 31, 2025 (Unaudited)</w:t>
            </w:r>
          </w:p>
        </w:tc>
        <w:tc>
          <w:tcPr>
            <w:tcW w:w="260" w:type="dxa"/>
            <w:vAlign w:val="bottom"/>
            <w:shd w:val="clear" w:color="auto" w:fill="CCEEFF"/>
          </w:tcPr>
          <w:p>
            <w:pPr>
              <w:spacing w:after="0"/>
              <w:rPr>
                <w:sz w:val="14"/>
                <w:szCs w:val="14"/>
                <w:color w:val="auto"/>
              </w:rPr>
            </w:pPr>
          </w:p>
        </w:tc>
        <w:tc>
          <w:tcPr>
            <w:tcW w:w="1860" w:type="dxa"/>
            <w:vAlign w:val="bottom"/>
            <w:shd w:val="clear" w:color="auto" w:fill="CCEEFF"/>
          </w:tcPr>
          <w:p>
            <w:pPr>
              <w:jc w:val="right"/>
              <w:ind w:right="331"/>
              <w:spacing w:after="0"/>
              <w:rPr>
                <w:sz w:val="20"/>
                <w:szCs w:val="20"/>
                <w:color w:val="auto"/>
              </w:rPr>
            </w:pPr>
            <w:r>
              <w:rPr>
                <w:rFonts w:ascii="Arial" w:cs="Arial" w:eastAsia="Arial" w:hAnsi="Arial"/>
                <w:sz w:val="14"/>
                <w:szCs w:val="14"/>
                <w:b w:val="1"/>
                <w:bCs w:val="1"/>
                <w:color w:val="auto"/>
              </w:rPr>
              <w:t>December 31, 2024</w:t>
            </w:r>
          </w:p>
        </w:tc>
        <w:tc>
          <w:tcPr>
            <w:tcW w:w="0" w:type="dxa"/>
            <w:vAlign w:val="bottom"/>
          </w:tcPr>
          <w:p>
            <w:pPr>
              <w:spacing w:after="0"/>
              <w:rPr>
                <w:sz w:val="1"/>
                <w:szCs w:val="1"/>
                <w:color w:val="auto"/>
              </w:rPr>
            </w:pPr>
          </w:p>
        </w:tc>
      </w:tr>
      <w:tr>
        <w:trPr>
          <w:trHeight w:val="189"/>
        </w:trPr>
        <w:tc>
          <w:tcPr>
            <w:tcW w:w="68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140" w:type="dxa"/>
            <w:vAlign w:val="bottom"/>
            <w:gridSpan w:val="2"/>
            <w:vMerge w:val="continue"/>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860" w:type="dxa"/>
            <w:vAlign w:val="bottom"/>
            <w:shd w:val="clear" w:color="auto" w:fill="CCEEFF"/>
          </w:tcPr>
          <w:p>
            <w:pPr>
              <w:jc w:val="right"/>
              <w:ind w:right="771"/>
              <w:spacing w:after="0"/>
              <w:rPr>
                <w:sz w:val="20"/>
                <w:szCs w:val="20"/>
                <w:color w:val="auto"/>
              </w:rPr>
            </w:pPr>
            <w:r>
              <w:rPr>
                <w:rFonts w:ascii="Arial" w:cs="Arial" w:eastAsia="Arial" w:hAnsi="Arial"/>
                <w:sz w:val="14"/>
                <w:szCs w:val="14"/>
                <w:b w:val="1"/>
                <w:bCs w:val="1"/>
                <w:color w:val="auto"/>
              </w:rPr>
              <w:t>(Note)</w:t>
            </w:r>
          </w:p>
        </w:tc>
        <w:tc>
          <w:tcPr>
            <w:tcW w:w="0" w:type="dxa"/>
            <w:vAlign w:val="bottom"/>
          </w:tcPr>
          <w:p>
            <w:pPr>
              <w:spacing w:after="0"/>
              <w:rPr>
                <w:sz w:val="1"/>
                <w:szCs w:val="1"/>
                <w:color w:val="auto"/>
              </w:rPr>
            </w:pPr>
          </w:p>
        </w:tc>
      </w:tr>
      <w:tr>
        <w:trPr>
          <w:trHeight w:val="209"/>
        </w:trPr>
        <w:tc>
          <w:tcPr>
            <w:tcW w:w="6800" w:type="dxa"/>
            <w:vAlign w:val="bottom"/>
          </w:tcPr>
          <w:p>
            <w:pPr>
              <w:ind w:left="20"/>
              <w:spacing w:after="0"/>
              <w:rPr>
                <w:sz w:val="20"/>
                <w:szCs w:val="20"/>
                <w:color w:val="auto"/>
              </w:rPr>
            </w:pPr>
            <w:r>
              <w:rPr>
                <w:rFonts w:ascii="Arial" w:cs="Arial" w:eastAsia="Arial" w:hAnsi="Arial"/>
                <w:sz w:val="18"/>
                <w:szCs w:val="18"/>
                <w:color w:val="auto"/>
              </w:rPr>
              <w:t>ASSETS</w:t>
            </w:r>
          </w:p>
        </w:tc>
        <w:tc>
          <w:tcPr>
            <w:tcW w:w="120" w:type="dxa"/>
            <w:vAlign w:val="bottom"/>
            <w:tcBorders>
              <w:top w:val="single" w:sz="8" w:color="auto"/>
            </w:tcBorders>
          </w:tcPr>
          <w:p>
            <w:pPr>
              <w:spacing w:after="0"/>
              <w:rPr>
                <w:sz w:val="18"/>
                <w:szCs w:val="18"/>
                <w:color w:val="auto"/>
              </w:rPr>
            </w:pPr>
          </w:p>
        </w:tc>
        <w:tc>
          <w:tcPr>
            <w:tcW w:w="19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8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ASSETS</w:t>
            </w:r>
          </w:p>
        </w:tc>
        <w:tc>
          <w:tcPr>
            <w:tcW w:w="120" w:type="dxa"/>
            <w:vAlign w:val="bottom"/>
            <w:shd w:val="clear" w:color="auto" w:fill="CCEEFF"/>
          </w:tcPr>
          <w:p>
            <w:pPr>
              <w:spacing w:after="0"/>
              <w:rPr>
                <w:sz w:val="19"/>
                <w:szCs w:val="19"/>
                <w:color w:val="auto"/>
              </w:rPr>
            </w:pPr>
          </w:p>
        </w:tc>
        <w:tc>
          <w:tcPr>
            <w:tcW w:w="19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00" w:type="dxa"/>
            <w:vAlign w:val="bottom"/>
          </w:tcPr>
          <w:p>
            <w:pPr>
              <w:ind w:left="240"/>
              <w:spacing w:after="0"/>
              <w:rPr>
                <w:sz w:val="20"/>
                <w:szCs w:val="20"/>
                <w:color w:val="auto"/>
              </w:rPr>
            </w:pPr>
            <w:r>
              <w:rPr>
                <w:rFonts w:ascii="Arial" w:cs="Arial" w:eastAsia="Arial" w:hAnsi="Arial"/>
                <w:sz w:val="18"/>
                <w:szCs w:val="18"/>
                <w:color w:val="auto"/>
              </w:rPr>
              <w:t>Cash and cash equivalents</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980" w:type="dxa"/>
            <w:vAlign w:val="bottom"/>
          </w:tcPr>
          <w:p>
            <w:pPr>
              <w:jc w:val="right"/>
              <w:spacing w:after="0"/>
              <w:rPr>
                <w:sz w:val="20"/>
                <w:szCs w:val="20"/>
                <w:color w:val="auto"/>
              </w:rPr>
            </w:pPr>
            <w:r>
              <w:rPr>
                <w:rFonts w:ascii="Arial" w:cs="Arial" w:eastAsia="Arial" w:hAnsi="Arial"/>
                <w:sz w:val="18"/>
                <w:szCs w:val="18"/>
                <w:color w:val="auto"/>
              </w:rPr>
              <w:t>286,558,598</w:t>
            </w:r>
          </w:p>
        </w:tc>
        <w:tc>
          <w:tcPr>
            <w:tcW w:w="16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860" w:type="dxa"/>
            <w:vAlign w:val="bottom"/>
          </w:tcPr>
          <w:p>
            <w:pPr>
              <w:jc w:val="right"/>
              <w:ind w:right="11"/>
              <w:spacing w:after="0"/>
              <w:rPr>
                <w:sz w:val="20"/>
                <w:szCs w:val="20"/>
                <w:color w:val="auto"/>
              </w:rPr>
            </w:pPr>
            <w:r>
              <w:rPr>
                <w:rFonts w:ascii="Arial" w:cs="Arial" w:eastAsia="Arial" w:hAnsi="Arial"/>
                <w:sz w:val="18"/>
                <w:szCs w:val="18"/>
                <w:color w:val="auto"/>
              </w:rPr>
              <w:t>233,318,766</w:t>
            </w:r>
          </w:p>
        </w:tc>
        <w:tc>
          <w:tcPr>
            <w:tcW w:w="0" w:type="dxa"/>
            <w:vAlign w:val="bottom"/>
          </w:tcPr>
          <w:p>
            <w:pPr>
              <w:spacing w:after="0"/>
              <w:rPr>
                <w:sz w:val="1"/>
                <w:szCs w:val="1"/>
                <w:color w:val="auto"/>
              </w:rPr>
            </w:pPr>
          </w:p>
        </w:tc>
      </w:tr>
      <w:tr>
        <w:trPr>
          <w:trHeight w:val="229"/>
        </w:trPr>
        <w:tc>
          <w:tcPr>
            <w:tcW w:w="68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Short-term investments</w:t>
            </w:r>
          </w:p>
        </w:tc>
        <w:tc>
          <w:tcPr>
            <w:tcW w:w="120" w:type="dxa"/>
            <w:vAlign w:val="bottom"/>
            <w:shd w:val="clear" w:color="auto" w:fill="CCEEFF"/>
          </w:tcPr>
          <w:p>
            <w:pPr>
              <w:spacing w:after="0"/>
              <w:rPr>
                <w:sz w:val="19"/>
                <w:szCs w:val="19"/>
                <w:color w:val="auto"/>
              </w:rPr>
            </w:pP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20,549,084</w:t>
            </w:r>
          </w:p>
        </w:tc>
        <w:tc>
          <w:tcPr>
            <w:tcW w:w="1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8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22,304,829</w:t>
            </w:r>
          </w:p>
        </w:tc>
        <w:tc>
          <w:tcPr>
            <w:tcW w:w="0" w:type="dxa"/>
            <w:vAlign w:val="bottom"/>
          </w:tcPr>
          <w:p>
            <w:pPr>
              <w:spacing w:after="0"/>
              <w:rPr>
                <w:sz w:val="1"/>
                <w:szCs w:val="1"/>
                <w:color w:val="auto"/>
              </w:rPr>
            </w:pPr>
          </w:p>
        </w:tc>
      </w:tr>
      <w:tr>
        <w:trPr>
          <w:trHeight w:val="229"/>
        </w:trPr>
        <w:tc>
          <w:tcPr>
            <w:tcW w:w="6800" w:type="dxa"/>
            <w:vAlign w:val="bottom"/>
          </w:tcPr>
          <w:p>
            <w:pPr>
              <w:ind w:left="240"/>
              <w:spacing w:after="0"/>
              <w:rPr>
                <w:sz w:val="20"/>
                <w:szCs w:val="20"/>
                <w:color w:val="auto"/>
              </w:rPr>
            </w:pPr>
            <w:r>
              <w:rPr>
                <w:rFonts w:ascii="Arial" w:cs="Arial" w:eastAsia="Arial" w:hAnsi="Arial"/>
                <w:sz w:val="18"/>
                <w:szCs w:val="18"/>
                <w:color w:val="auto"/>
              </w:rPr>
              <w:t>Accounts receivable, net</w:t>
            </w:r>
          </w:p>
        </w:tc>
        <w:tc>
          <w:tcPr>
            <w:tcW w:w="12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auto"/>
              </w:rPr>
              <w:t>330,625,348</w:t>
            </w: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60" w:type="dxa"/>
            <w:vAlign w:val="bottom"/>
          </w:tcPr>
          <w:p>
            <w:pPr>
              <w:jc w:val="right"/>
              <w:ind w:right="11"/>
              <w:spacing w:after="0"/>
              <w:rPr>
                <w:sz w:val="20"/>
                <w:szCs w:val="20"/>
                <w:color w:val="auto"/>
              </w:rPr>
            </w:pPr>
            <w:r>
              <w:rPr>
                <w:rFonts w:ascii="Arial" w:cs="Arial" w:eastAsia="Arial" w:hAnsi="Arial"/>
                <w:sz w:val="18"/>
                <w:szCs w:val="18"/>
                <w:color w:val="auto"/>
              </w:rPr>
              <w:t>295,344,353</w:t>
            </w:r>
          </w:p>
        </w:tc>
        <w:tc>
          <w:tcPr>
            <w:tcW w:w="0" w:type="dxa"/>
            <w:vAlign w:val="bottom"/>
          </w:tcPr>
          <w:p>
            <w:pPr>
              <w:spacing w:after="0"/>
              <w:rPr>
                <w:sz w:val="1"/>
                <w:szCs w:val="1"/>
                <w:color w:val="auto"/>
              </w:rPr>
            </w:pPr>
          </w:p>
        </w:tc>
      </w:tr>
      <w:tr>
        <w:trPr>
          <w:trHeight w:val="230"/>
        </w:trPr>
        <w:tc>
          <w:tcPr>
            <w:tcW w:w="68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Inventories, net</w:t>
            </w:r>
          </w:p>
        </w:tc>
        <w:tc>
          <w:tcPr>
            <w:tcW w:w="120" w:type="dxa"/>
            <w:vAlign w:val="bottom"/>
            <w:shd w:val="clear" w:color="auto" w:fill="CCEEFF"/>
          </w:tcPr>
          <w:p>
            <w:pPr>
              <w:spacing w:after="0"/>
              <w:rPr>
                <w:sz w:val="19"/>
                <w:szCs w:val="19"/>
                <w:color w:val="auto"/>
              </w:rPr>
            </w:pP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408,934,806</w:t>
            </w:r>
          </w:p>
        </w:tc>
        <w:tc>
          <w:tcPr>
            <w:tcW w:w="1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8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436,497,445</w:t>
            </w:r>
          </w:p>
        </w:tc>
        <w:tc>
          <w:tcPr>
            <w:tcW w:w="0" w:type="dxa"/>
            <w:vAlign w:val="bottom"/>
          </w:tcPr>
          <w:p>
            <w:pPr>
              <w:spacing w:after="0"/>
              <w:rPr>
                <w:sz w:val="1"/>
                <w:szCs w:val="1"/>
                <w:color w:val="auto"/>
              </w:rPr>
            </w:pPr>
          </w:p>
        </w:tc>
      </w:tr>
      <w:tr>
        <w:trPr>
          <w:trHeight w:val="229"/>
        </w:trPr>
        <w:tc>
          <w:tcPr>
            <w:tcW w:w="680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Prepaid expenses and other</w:t>
            </w:r>
          </w:p>
        </w:tc>
        <w:tc>
          <w:tcPr>
            <w:tcW w:w="120" w:type="dxa"/>
            <w:vAlign w:val="bottom"/>
            <w:tcBorders>
              <w:bottom w:val="single" w:sz="8" w:color="auto"/>
            </w:tcBorders>
          </w:tcPr>
          <w:p>
            <w:pPr>
              <w:spacing w:after="0"/>
              <w:rPr>
                <w:sz w:val="19"/>
                <w:szCs w:val="19"/>
                <w:color w:val="auto"/>
              </w:rPr>
            </w:pPr>
          </w:p>
        </w:tc>
        <w:tc>
          <w:tcPr>
            <w:tcW w:w="1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42,002,767</w:t>
            </w:r>
          </w:p>
        </w:tc>
        <w:tc>
          <w:tcPr>
            <w:tcW w:w="16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49,862,777</w:t>
            </w:r>
          </w:p>
        </w:tc>
        <w:tc>
          <w:tcPr>
            <w:tcW w:w="0" w:type="dxa"/>
            <w:vAlign w:val="bottom"/>
          </w:tcPr>
          <w:p>
            <w:pPr>
              <w:spacing w:after="0"/>
              <w:rPr>
                <w:sz w:val="1"/>
                <w:szCs w:val="1"/>
                <w:color w:val="auto"/>
              </w:rPr>
            </w:pPr>
          </w:p>
        </w:tc>
      </w:tr>
      <w:tr>
        <w:trPr>
          <w:trHeight w:val="223"/>
        </w:trPr>
        <w:tc>
          <w:tcPr>
            <w:tcW w:w="6800" w:type="dxa"/>
            <w:vAlign w:val="bottom"/>
            <w:shd w:val="clear" w:color="auto" w:fill="CCEEFF"/>
          </w:tcPr>
          <w:p>
            <w:pPr>
              <w:ind w:left="460"/>
              <w:spacing w:after="0"/>
              <w:rPr>
                <w:sz w:val="20"/>
                <w:szCs w:val="20"/>
                <w:color w:val="auto"/>
              </w:rPr>
            </w:pPr>
            <w:r>
              <w:rPr>
                <w:rFonts w:ascii="Arial" w:cs="Arial" w:eastAsia="Arial" w:hAnsi="Arial"/>
                <w:sz w:val="18"/>
                <w:szCs w:val="18"/>
                <w:color w:val="auto"/>
              </w:rPr>
              <w:t>Total current assets</w:t>
            </w:r>
          </w:p>
        </w:tc>
        <w:tc>
          <w:tcPr>
            <w:tcW w:w="120" w:type="dxa"/>
            <w:vAlign w:val="bottom"/>
            <w:shd w:val="clear" w:color="auto" w:fill="CCEEFF"/>
          </w:tcPr>
          <w:p>
            <w:pPr>
              <w:spacing w:after="0"/>
              <w:rPr>
                <w:sz w:val="19"/>
                <w:szCs w:val="19"/>
                <w:color w:val="auto"/>
              </w:rPr>
            </w:pP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1,088,670,603</w:t>
            </w:r>
          </w:p>
        </w:tc>
        <w:tc>
          <w:tcPr>
            <w:tcW w:w="1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8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1,037,328,170</w:t>
            </w:r>
          </w:p>
        </w:tc>
        <w:tc>
          <w:tcPr>
            <w:tcW w:w="0" w:type="dxa"/>
            <w:vAlign w:val="bottom"/>
          </w:tcPr>
          <w:p>
            <w:pPr>
              <w:spacing w:after="0"/>
              <w:rPr>
                <w:sz w:val="1"/>
                <w:szCs w:val="1"/>
                <w:color w:val="auto"/>
              </w:rPr>
            </w:pPr>
          </w:p>
        </w:tc>
      </w:tr>
      <w:tr>
        <w:trPr>
          <w:trHeight w:val="229"/>
        </w:trPr>
        <w:tc>
          <w:tcPr>
            <w:tcW w:w="6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PLANT AND EQUIPMENT—NET</w:t>
            </w:r>
          </w:p>
        </w:tc>
        <w:tc>
          <w:tcPr>
            <w:tcW w:w="120" w:type="dxa"/>
            <w:vAlign w:val="bottom"/>
            <w:shd w:val="clear" w:color="auto" w:fill="CCEEFF"/>
          </w:tcPr>
          <w:p>
            <w:pPr>
              <w:spacing w:after="0"/>
              <w:rPr>
                <w:sz w:val="19"/>
                <w:szCs w:val="19"/>
                <w:color w:val="auto"/>
              </w:rPr>
            </w:pP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734,551,557</w:t>
            </w:r>
          </w:p>
        </w:tc>
        <w:tc>
          <w:tcPr>
            <w:tcW w:w="1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8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728,481,467</w:t>
            </w:r>
          </w:p>
        </w:tc>
        <w:tc>
          <w:tcPr>
            <w:tcW w:w="0" w:type="dxa"/>
            <w:vAlign w:val="bottom"/>
          </w:tcPr>
          <w:p>
            <w:pPr>
              <w:spacing w:after="0"/>
              <w:rPr>
                <w:sz w:val="1"/>
                <w:szCs w:val="1"/>
                <w:color w:val="auto"/>
              </w:rPr>
            </w:pPr>
          </w:p>
        </w:tc>
      </w:tr>
      <w:tr>
        <w:trPr>
          <w:trHeight w:val="229"/>
        </w:trPr>
        <w:tc>
          <w:tcPr>
            <w:tcW w:w="6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ASSETS</w:t>
            </w:r>
          </w:p>
        </w:tc>
        <w:tc>
          <w:tcPr>
            <w:tcW w:w="120" w:type="dxa"/>
            <w:vAlign w:val="bottom"/>
            <w:shd w:val="clear" w:color="auto" w:fill="CCEEFF"/>
          </w:tcPr>
          <w:p>
            <w:pPr>
              <w:spacing w:after="0"/>
              <w:rPr>
                <w:sz w:val="19"/>
                <w:szCs w:val="19"/>
                <w:color w:val="auto"/>
              </w:rPr>
            </w:pPr>
          </w:p>
        </w:tc>
        <w:tc>
          <w:tcPr>
            <w:tcW w:w="19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00" w:type="dxa"/>
            <w:vAlign w:val="bottom"/>
          </w:tcPr>
          <w:p>
            <w:pPr>
              <w:ind w:left="240"/>
              <w:spacing w:after="0"/>
              <w:rPr>
                <w:sz w:val="20"/>
                <w:szCs w:val="20"/>
                <w:color w:val="auto"/>
              </w:rPr>
            </w:pPr>
            <w:r>
              <w:rPr>
                <w:rFonts w:ascii="Arial" w:cs="Arial" w:eastAsia="Arial" w:hAnsi="Arial"/>
                <w:sz w:val="18"/>
                <w:szCs w:val="18"/>
                <w:color w:val="auto"/>
              </w:rPr>
              <w:t>Goodwill</w:t>
            </w:r>
          </w:p>
        </w:tc>
        <w:tc>
          <w:tcPr>
            <w:tcW w:w="12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auto"/>
              </w:rPr>
              <w:t>340,668,927</w:t>
            </w: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60" w:type="dxa"/>
            <w:vAlign w:val="bottom"/>
          </w:tcPr>
          <w:p>
            <w:pPr>
              <w:jc w:val="right"/>
              <w:ind w:right="11"/>
              <w:spacing w:after="0"/>
              <w:rPr>
                <w:sz w:val="20"/>
                <w:szCs w:val="20"/>
                <w:color w:val="auto"/>
              </w:rPr>
            </w:pPr>
            <w:r>
              <w:rPr>
                <w:rFonts w:ascii="Arial" w:cs="Arial" w:eastAsia="Arial" w:hAnsi="Arial"/>
                <w:sz w:val="18"/>
                <w:szCs w:val="18"/>
                <w:color w:val="auto"/>
              </w:rPr>
              <w:t>340,668,927</w:t>
            </w:r>
          </w:p>
        </w:tc>
        <w:tc>
          <w:tcPr>
            <w:tcW w:w="0" w:type="dxa"/>
            <w:vAlign w:val="bottom"/>
          </w:tcPr>
          <w:p>
            <w:pPr>
              <w:spacing w:after="0"/>
              <w:rPr>
                <w:sz w:val="1"/>
                <w:szCs w:val="1"/>
                <w:color w:val="auto"/>
              </w:rPr>
            </w:pPr>
          </w:p>
        </w:tc>
      </w:tr>
      <w:tr>
        <w:trPr>
          <w:trHeight w:val="229"/>
        </w:trPr>
        <w:tc>
          <w:tcPr>
            <w:tcW w:w="68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Long-term investments</w:t>
            </w:r>
          </w:p>
        </w:tc>
        <w:tc>
          <w:tcPr>
            <w:tcW w:w="120" w:type="dxa"/>
            <w:vAlign w:val="bottom"/>
            <w:shd w:val="clear" w:color="auto" w:fill="CCEEFF"/>
          </w:tcPr>
          <w:p>
            <w:pPr>
              <w:spacing w:after="0"/>
              <w:rPr>
                <w:sz w:val="19"/>
                <w:szCs w:val="19"/>
                <w:color w:val="auto"/>
              </w:rPr>
            </w:pP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300,626,514</w:t>
            </w:r>
          </w:p>
        </w:tc>
        <w:tc>
          <w:tcPr>
            <w:tcW w:w="1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8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339,604,044</w:t>
            </w:r>
          </w:p>
        </w:tc>
        <w:tc>
          <w:tcPr>
            <w:tcW w:w="0" w:type="dxa"/>
            <w:vAlign w:val="bottom"/>
          </w:tcPr>
          <w:p>
            <w:pPr>
              <w:spacing w:after="0"/>
              <w:rPr>
                <w:sz w:val="1"/>
                <w:szCs w:val="1"/>
                <w:color w:val="auto"/>
              </w:rPr>
            </w:pPr>
          </w:p>
        </w:tc>
      </w:tr>
      <w:tr>
        <w:trPr>
          <w:trHeight w:val="229"/>
        </w:trPr>
        <w:tc>
          <w:tcPr>
            <w:tcW w:w="6800" w:type="dxa"/>
            <w:vAlign w:val="bottom"/>
          </w:tcPr>
          <w:p>
            <w:pPr>
              <w:ind w:left="240"/>
              <w:spacing w:after="0"/>
              <w:rPr>
                <w:sz w:val="20"/>
                <w:szCs w:val="20"/>
                <w:color w:val="auto"/>
              </w:rPr>
            </w:pPr>
            <w:r>
              <w:rPr>
                <w:rFonts w:ascii="Arial" w:cs="Arial" w:eastAsia="Arial" w:hAnsi="Arial"/>
                <w:sz w:val="18"/>
                <w:szCs w:val="18"/>
                <w:color w:val="auto"/>
              </w:rPr>
              <w:t>Intangible assets, net</w:t>
            </w:r>
          </w:p>
        </w:tc>
        <w:tc>
          <w:tcPr>
            <w:tcW w:w="12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auto"/>
              </w:rPr>
              <w:t>190,832,346</w:t>
            </w: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60" w:type="dxa"/>
            <w:vAlign w:val="bottom"/>
          </w:tcPr>
          <w:p>
            <w:pPr>
              <w:jc w:val="right"/>
              <w:ind w:right="11"/>
              <w:spacing w:after="0"/>
              <w:rPr>
                <w:sz w:val="20"/>
                <w:szCs w:val="20"/>
                <w:color w:val="auto"/>
              </w:rPr>
            </w:pPr>
            <w:r>
              <w:rPr>
                <w:rFonts w:ascii="Arial" w:cs="Arial" w:eastAsia="Arial" w:hAnsi="Arial"/>
                <w:sz w:val="18"/>
                <w:szCs w:val="18"/>
                <w:color w:val="auto"/>
              </w:rPr>
              <w:t>195,157,160</w:t>
            </w:r>
          </w:p>
        </w:tc>
        <w:tc>
          <w:tcPr>
            <w:tcW w:w="0" w:type="dxa"/>
            <w:vAlign w:val="bottom"/>
          </w:tcPr>
          <w:p>
            <w:pPr>
              <w:spacing w:after="0"/>
              <w:rPr>
                <w:sz w:val="1"/>
                <w:szCs w:val="1"/>
                <w:color w:val="auto"/>
              </w:rPr>
            </w:pPr>
          </w:p>
        </w:tc>
      </w:tr>
      <w:tr>
        <w:trPr>
          <w:trHeight w:val="230"/>
        </w:trPr>
        <w:tc>
          <w:tcPr>
            <w:tcW w:w="68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Deferred tax asset</w:t>
            </w:r>
          </w:p>
        </w:tc>
        <w:tc>
          <w:tcPr>
            <w:tcW w:w="120" w:type="dxa"/>
            <w:vAlign w:val="bottom"/>
            <w:shd w:val="clear" w:color="auto" w:fill="CCEEFF"/>
          </w:tcPr>
          <w:p>
            <w:pPr>
              <w:spacing w:after="0"/>
              <w:rPr>
                <w:sz w:val="19"/>
                <w:szCs w:val="19"/>
                <w:color w:val="auto"/>
              </w:rPr>
            </w:pP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53,623,835</w:t>
            </w:r>
          </w:p>
        </w:tc>
        <w:tc>
          <w:tcPr>
            <w:tcW w:w="1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8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53,154,832</w:t>
            </w:r>
          </w:p>
        </w:tc>
        <w:tc>
          <w:tcPr>
            <w:tcW w:w="0" w:type="dxa"/>
            <w:vAlign w:val="bottom"/>
          </w:tcPr>
          <w:p>
            <w:pPr>
              <w:spacing w:after="0"/>
              <w:rPr>
                <w:sz w:val="1"/>
                <w:szCs w:val="1"/>
                <w:color w:val="auto"/>
              </w:rPr>
            </w:pPr>
          </w:p>
        </w:tc>
      </w:tr>
      <w:tr>
        <w:trPr>
          <w:trHeight w:val="229"/>
        </w:trPr>
        <w:tc>
          <w:tcPr>
            <w:tcW w:w="680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Patents and other assets, net</w:t>
            </w:r>
          </w:p>
        </w:tc>
        <w:tc>
          <w:tcPr>
            <w:tcW w:w="120" w:type="dxa"/>
            <w:vAlign w:val="bottom"/>
            <w:tcBorders>
              <w:bottom w:val="single" w:sz="8" w:color="auto"/>
            </w:tcBorders>
          </w:tcPr>
          <w:p>
            <w:pPr>
              <w:spacing w:after="0"/>
              <w:rPr>
                <w:sz w:val="19"/>
                <w:szCs w:val="19"/>
                <w:color w:val="auto"/>
              </w:rPr>
            </w:pPr>
          </w:p>
        </w:tc>
        <w:tc>
          <w:tcPr>
            <w:tcW w:w="1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73,575,446</w:t>
            </w:r>
          </w:p>
        </w:tc>
        <w:tc>
          <w:tcPr>
            <w:tcW w:w="16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66,426,375</w:t>
            </w:r>
          </w:p>
        </w:tc>
        <w:tc>
          <w:tcPr>
            <w:tcW w:w="0" w:type="dxa"/>
            <w:vAlign w:val="bottom"/>
          </w:tcPr>
          <w:p>
            <w:pPr>
              <w:spacing w:after="0"/>
              <w:rPr>
                <w:sz w:val="1"/>
                <w:szCs w:val="1"/>
                <w:color w:val="auto"/>
              </w:rPr>
            </w:pPr>
          </w:p>
        </w:tc>
      </w:tr>
      <w:tr>
        <w:trPr>
          <w:trHeight w:val="223"/>
        </w:trPr>
        <w:tc>
          <w:tcPr>
            <w:tcW w:w="6800" w:type="dxa"/>
            <w:vAlign w:val="bottom"/>
            <w:shd w:val="clear" w:color="auto" w:fill="CCEEFF"/>
          </w:tcPr>
          <w:p>
            <w:pPr>
              <w:ind w:left="460"/>
              <w:spacing w:after="0"/>
              <w:rPr>
                <w:sz w:val="20"/>
                <w:szCs w:val="20"/>
                <w:color w:val="auto"/>
              </w:rPr>
            </w:pPr>
            <w:r>
              <w:rPr>
                <w:rFonts w:ascii="Arial" w:cs="Arial" w:eastAsia="Arial" w:hAnsi="Arial"/>
                <w:sz w:val="18"/>
                <w:szCs w:val="18"/>
                <w:color w:val="auto"/>
              </w:rPr>
              <w:t>Total other assets</w:t>
            </w:r>
          </w:p>
        </w:tc>
        <w:tc>
          <w:tcPr>
            <w:tcW w:w="120" w:type="dxa"/>
            <w:vAlign w:val="bottom"/>
            <w:tcBorders>
              <w:bottom w:val="single" w:sz="8" w:color="auto"/>
            </w:tcBorders>
            <w:shd w:val="clear" w:color="auto" w:fill="CCEEFF"/>
          </w:tcPr>
          <w:p>
            <w:pPr>
              <w:spacing w:after="0"/>
              <w:rPr>
                <w:sz w:val="19"/>
                <w:szCs w:val="19"/>
                <w:color w:val="auto"/>
              </w:rPr>
            </w:pPr>
          </w:p>
        </w:tc>
        <w:tc>
          <w:tcPr>
            <w:tcW w:w="1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959,327,068</w:t>
            </w:r>
          </w:p>
        </w:tc>
        <w:tc>
          <w:tcPr>
            <w:tcW w:w="16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8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995,011,338</w:t>
            </w:r>
          </w:p>
        </w:tc>
        <w:tc>
          <w:tcPr>
            <w:tcW w:w="0" w:type="dxa"/>
            <w:vAlign w:val="bottom"/>
          </w:tcPr>
          <w:p>
            <w:pPr>
              <w:spacing w:after="0"/>
              <w:rPr>
                <w:sz w:val="1"/>
                <w:szCs w:val="1"/>
                <w:color w:val="auto"/>
              </w:rPr>
            </w:pPr>
          </w:p>
        </w:tc>
      </w:tr>
      <w:tr>
        <w:trPr>
          <w:trHeight w:val="223"/>
        </w:trPr>
        <w:tc>
          <w:tcPr>
            <w:tcW w:w="6800" w:type="dxa"/>
            <w:vAlign w:val="bottom"/>
          </w:tcPr>
          <w:p>
            <w:pPr>
              <w:ind w:left="20"/>
              <w:spacing w:after="0"/>
              <w:rPr>
                <w:sz w:val="20"/>
                <w:szCs w:val="20"/>
                <w:color w:val="auto"/>
              </w:rPr>
            </w:pPr>
            <w:r>
              <w:rPr>
                <w:rFonts w:ascii="Arial" w:cs="Arial" w:eastAsia="Arial" w:hAnsi="Arial"/>
                <w:sz w:val="18"/>
                <w:szCs w:val="18"/>
                <w:color w:val="auto"/>
              </w:rPr>
              <w:t>TOTAL ASSETS</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2,782,549,228</w:t>
            </w:r>
          </w:p>
        </w:tc>
        <w:tc>
          <w:tcPr>
            <w:tcW w:w="16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8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2,760,820,975</w:t>
            </w:r>
          </w:p>
        </w:tc>
        <w:tc>
          <w:tcPr>
            <w:tcW w:w="0" w:type="dxa"/>
            <w:vAlign w:val="bottom"/>
          </w:tcPr>
          <w:p>
            <w:pPr>
              <w:spacing w:after="0"/>
              <w:rPr>
                <w:sz w:val="1"/>
                <w:szCs w:val="1"/>
                <w:color w:val="auto"/>
              </w:rPr>
            </w:pPr>
          </w:p>
        </w:tc>
      </w:tr>
      <w:tr>
        <w:trPr>
          <w:trHeight w:val="20"/>
        </w:trPr>
        <w:tc>
          <w:tcPr>
            <w:tcW w:w="68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9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800" w:type="dxa"/>
            <w:vAlign w:val="bottom"/>
          </w:tcPr>
          <w:p>
            <w:pPr>
              <w:ind w:left="20"/>
              <w:spacing w:after="0"/>
              <w:rPr>
                <w:sz w:val="20"/>
                <w:szCs w:val="20"/>
                <w:color w:val="auto"/>
              </w:rPr>
            </w:pPr>
            <w:r>
              <w:rPr>
                <w:rFonts w:ascii="Arial" w:cs="Arial" w:eastAsia="Arial" w:hAnsi="Arial"/>
                <w:sz w:val="18"/>
                <w:szCs w:val="18"/>
                <w:color w:val="auto"/>
              </w:rPr>
              <w:t>LIABILITIES AND SHAREHOLDERS’ INVESTMENT</w:t>
            </w:r>
          </w:p>
        </w:tc>
        <w:tc>
          <w:tcPr>
            <w:tcW w:w="12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9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0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12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8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Accounts payable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162,899,037</w:t>
            </w:r>
          </w:p>
        </w:tc>
        <w:tc>
          <w:tcPr>
            <w:tcW w:w="16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8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168,314,912</w:t>
            </w:r>
          </w:p>
        </w:tc>
        <w:tc>
          <w:tcPr>
            <w:tcW w:w="0" w:type="dxa"/>
            <w:vAlign w:val="bottom"/>
          </w:tcPr>
          <w:p>
            <w:pPr>
              <w:spacing w:after="0"/>
              <w:rPr>
                <w:sz w:val="1"/>
                <w:szCs w:val="1"/>
                <w:color w:val="auto"/>
              </w:rPr>
            </w:pPr>
          </w:p>
        </w:tc>
      </w:tr>
      <w:tr>
        <w:trPr>
          <w:trHeight w:val="230"/>
        </w:trPr>
        <w:tc>
          <w:tcPr>
            <w:tcW w:w="680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Accrued liabilities</w:t>
            </w:r>
          </w:p>
        </w:tc>
        <w:tc>
          <w:tcPr>
            <w:tcW w:w="120" w:type="dxa"/>
            <w:vAlign w:val="bottom"/>
            <w:tcBorders>
              <w:bottom w:val="single" w:sz="8" w:color="auto"/>
            </w:tcBorders>
          </w:tcPr>
          <w:p>
            <w:pPr>
              <w:spacing w:after="0"/>
              <w:rPr>
                <w:sz w:val="19"/>
                <w:szCs w:val="19"/>
                <w:color w:val="auto"/>
              </w:rPr>
            </w:pPr>
          </w:p>
        </w:tc>
        <w:tc>
          <w:tcPr>
            <w:tcW w:w="1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103,734,311</w:t>
            </w:r>
          </w:p>
        </w:tc>
        <w:tc>
          <w:tcPr>
            <w:tcW w:w="16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84,377,764</w:t>
            </w:r>
          </w:p>
        </w:tc>
        <w:tc>
          <w:tcPr>
            <w:tcW w:w="0" w:type="dxa"/>
            <w:vAlign w:val="bottom"/>
          </w:tcPr>
          <w:p>
            <w:pPr>
              <w:spacing w:after="0"/>
              <w:rPr>
                <w:sz w:val="1"/>
                <w:szCs w:val="1"/>
                <w:color w:val="auto"/>
              </w:rPr>
            </w:pPr>
          </w:p>
        </w:tc>
      </w:tr>
      <w:tr>
        <w:trPr>
          <w:trHeight w:val="223"/>
        </w:trPr>
        <w:tc>
          <w:tcPr>
            <w:tcW w:w="6800" w:type="dxa"/>
            <w:vAlign w:val="bottom"/>
            <w:shd w:val="clear" w:color="auto" w:fill="CCEEFF"/>
          </w:tcPr>
          <w:p>
            <w:pPr>
              <w:ind w:left="460"/>
              <w:spacing w:after="0"/>
              <w:rPr>
                <w:sz w:val="20"/>
                <w:szCs w:val="20"/>
                <w:color w:val="auto"/>
              </w:rPr>
            </w:pPr>
            <w:r>
              <w:rPr>
                <w:rFonts w:ascii="Arial" w:cs="Arial" w:eastAsia="Arial" w:hAnsi="Arial"/>
                <w:sz w:val="18"/>
                <w:szCs w:val="18"/>
                <w:color w:val="auto"/>
              </w:rPr>
              <w:t>Total current liabilities</w:t>
            </w:r>
          </w:p>
        </w:tc>
        <w:tc>
          <w:tcPr>
            <w:tcW w:w="120" w:type="dxa"/>
            <w:vAlign w:val="bottom"/>
            <w:shd w:val="clear" w:color="auto" w:fill="CCEEFF"/>
          </w:tcPr>
          <w:p>
            <w:pPr>
              <w:spacing w:after="0"/>
              <w:rPr>
                <w:sz w:val="19"/>
                <w:szCs w:val="19"/>
                <w:color w:val="auto"/>
              </w:rPr>
            </w:pP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266,633,348</w:t>
            </w:r>
          </w:p>
        </w:tc>
        <w:tc>
          <w:tcPr>
            <w:tcW w:w="1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8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252,692,676</w:t>
            </w:r>
          </w:p>
        </w:tc>
        <w:tc>
          <w:tcPr>
            <w:tcW w:w="0" w:type="dxa"/>
            <w:vAlign w:val="bottom"/>
          </w:tcPr>
          <w:p>
            <w:pPr>
              <w:spacing w:after="0"/>
              <w:rPr>
                <w:sz w:val="1"/>
                <w:szCs w:val="1"/>
                <w:color w:val="auto"/>
              </w:rPr>
            </w:pPr>
          </w:p>
        </w:tc>
      </w:tr>
      <w:tr>
        <w:trPr>
          <w:trHeight w:val="270"/>
        </w:trPr>
        <w:tc>
          <w:tcPr>
            <w:tcW w:w="68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9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8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6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NON-CURRENT LIABILITIES</w:t>
            </w:r>
          </w:p>
        </w:tc>
        <w:tc>
          <w:tcPr>
            <w:tcW w:w="120" w:type="dxa"/>
            <w:vAlign w:val="bottom"/>
            <w:tcBorders>
              <w:bottom w:val="single" w:sz="8" w:color="auto"/>
            </w:tcBorders>
            <w:shd w:val="clear" w:color="auto" w:fill="CCEEFF"/>
          </w:tcPr>
          <w:p>
            <w:pPr>
              <w:spacing w:after="0"/>
              <w:rPr>
                <w:sz w:val="19"/>
                <w:szCs w:val="19"/>
                <w:color w:val="auto"/>
              </w:rPr>
            </w:pPr>
          </w:p>
        </w:tc>
        <w:tc>
          <w:tcPr>
            <w:tcW w:w="1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36,498,377</w:t>
            </w:r>
          </w:p>
        </w:tc>
        <w:tc>
          <w:tcPr>
            <w:tcW w:w="16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8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36,028,644</w:t>
            </w:r>
          </w:p>
        </w:tc>
        <w:tc>
          <w:tcPr>
            <w:tcW w:w="0" w:type="dxa"/>
            <w:vAlign w:val="bottom"/>
          </w:tcPr>
          <w:p>
            <w:pPr>
              <w:spacing w:after="0"/>
              <w:rPr>
                <w:sz w:val="1"/>
                <w:szCs w:val="1"/>
                <w:color w:val="auto"/>
              </w:rPr>
            </w:pPr>
          </w:p>
        </w:tc>
      </w:tr>
      <w:tr>
        <w:trPr>
          <w:trHeight w:val="210"/>
        </w:trPr>
        <w:tc>
          <w:tcPr>
            <w:tcW w:w="6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LIABILITIES</w:t>
            </w:r>
          </w:p>
        </w:tc>
        <w:tc>
          <w:tcPr>
            <w:tcW w:w="120" w:type="dxa"/>
            <w:vAlign w:val="bottom"/>
            <w:shd w:val="clear" w:color="auto" w:fill="CCEEFF"/>
          </w:tcPr>
          <w:p>
            <w:pPr>
              <w:spacing w:after="0"/>
              <w:rPr>
                <w:sz w:val="19"/>
                <w:szCs w:val="19"/>
                <w:color w:val="auto"/>
              </w:rPr>
            </w:pP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303,131,725</w:t>
            </w:r>
          </w:p>
        </w:tc>
        <w:tc>
          <w:tcPr>
            <w:tcW w:w="1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8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288,721,320</w:t>
            </w:r>
          </w:p>
        </w:tc>
        <w:tc>
          <w:tcPr>
            <w:tcW w:w="0" w:type="dxa"/>
            <w:vAlign w:val="bottom"/>
          </w:tcPr>
          <w:p>
            <w:pPr>
              <w:spacing w:after="0"/>
              <w:rPr>
                <w:sz w:val="1"/>
                <w:szCs w:val="1"/>
                <w:color w:val="auto"/>
              </w:rPr>
            </w:pPr>
          </w:p>
        </w:tc>
      </w:tr>
      <w:tr>
        <w:trPr>
          <w:trHeight w:val="230"/>
        </w:trPr>
        <w:tc>
          <w:tcPr>
            <w:tcW w:w="6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SHAREHOLDERS’ INVESTMENT</w:t>
            </w:r>
          </w:p>
        </w:tc>
        <w:tc>
          <w:tcPr>
            <w:tcW w:w="120" w:type="dxa"/>
            <w:vAlign w:val="bottom"/>
            <w:shd w:val="clear" w:color="auto" w:fill="CCEEFF"/>
          </w:tcPr>
          <w:p>
            <w:pPr>
              <w:spacing w:after="0"/>
              <w:rPr>
                <w:sz w:val="19"/>
                <w:szCs w:val="19"/>
                <w:color w:val="auto"/>
              </w:rPr>
            </w:pPr>
          </w:p>
        </w:tc>
        <w:tc>
          <w:tcPr>
            <w:tcW w:w="19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00" w:type="dxa"/>
            <w:vAlign w:val="bottom"/>
          </w:tcPr>
          <w:p>
            <w:pPr>
              <w:ind w:left="240"/>
              <w:spacing w:after="0"/>
              <w:rPr>
                <w:sz w:val="20"/>
                <w:szCs w:val="20"/>
                <w:color w:val="auto"/>
              </w:rPr>
            </w:pPr>
            <w:r>
              <w:rPr>
                <w:rFonts w:ascii="Arial" w:cs="Arial" w:eastAsia="Arial" w:hAnsi="Arial"/>
                <w:sz w:val="18"/>
                <w:szCs w:val="18"/>
                <w:color w:val="auto"/>
              </w:rPr>
              <w:t>Common stock</w:t>
            </w:r>
          </w:p>
        </w:tc>
        <w:tc>
          <w:tcPr>
            <w:tcW w:w="12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auto"/>
              </w:rPr>
              <w:t>13,489,027</w:t>
            </w: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60" w:type="dxa"/>
            <w:vAlign w:val="bottom"/>
          </w:tcPr>
          <w:p>
            <w:pPr>
              <w:jc w:val="right"/>
              <w:ind w:right="11"/>
              <w:spacing w:after="0"/>
              <w:rPr>
                <w:sz w:val="20"/>
                <w:szCs w:val="20"/>
                <w:color w:val="auto"/>
              </w:rPr>
            </w:pPr>
            <w:r>
              <w:rPr>
                <w:rFonts w:ascii="Arial" w:cs="Arial" w:eastAsia="Arial" w:hAnsi="Arial"/>
                <w:sz w:val="18"/>
                <w:szCs w:val="18"/>
                <w:color w:val="auto"/>
              </w:rPr>
              <w:t>13,632,448</w:t>
            </w:r>
          </w:p>
        </w:tc>
        <w:tc>
          <w:tcPr>
            <w:tcW w:w="0" w:type="dxa"/>
            <w:vAlign w:val="bottom"/>
          </w:tcPr>
          <w:p>
            <w:pPr>
              <w:spacing w:after="0"/>
              <w:rPr>
                <w:sz w:val="1"/>
                <w:szCs w:val="1"/>
                <w:color w:val="auto"/>
              </w:rPr>
            </w:pPr>
          </w:p>
        </w:tc>
      </w:tr>
      <w:tr>
        <w:trPr>
          <w:trHeight w:val="229"/>
        </w:trPr>
        <w:tc>
          <w:tcPr>
            <w:tcW w:w="68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Additional paid-in capital</w:t>
            </w:r>
          </w:p>
        </w:tc>
        <w:tc>
          <w:tcPr>
            <w:tcW w:w="120" w:type="dxa"/>
            <w:vAlign w:val="bottom"/>
            <w:shd w:val="clear" w:color="auto" w:fill="CCEEFF"/>
          </w:tcPr>
          <w:p>
            <w:pPr>
              <w:spacing w:after="0"/>
              <w:rPr>
                <w:sz w:val="19"/>
                <w:szCs w:val="19"/>
                <w:color w:val="auto"/>
              </w:rPr>
            </w:pP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1,011,756,899</w:t>
            </w:r>
          </w:p>
        </w:tc>
        <w:tc>
          <w:tcPr>
            <w:tcW w:w="1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8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1,010,440,420</w:t>
            </w:r>
          </w:p>
        </w:tc>
        <w:tc>
          <w:tcPr>
            <w:tcW w:w="0" w:type="dxa"/>
            <w:vAlign w:val="bottom"/>
          </w:tcPr>
          <w:p>
            <w:pPr>
              <w:spacing w:after="0"/>
              <w:rPr>
                <w:sz w:val="1"/>
                <w:szCs w:val="1"/>
                <w:color w:val="auto"/>
              </w:rPr>
            </w:pPr>
          </w:p>
        </w:tc>
      </w:tr>
      <w:tr>
        <w:trPr>
          <w:trHeight w:val="230"/>
        </w:trPr>
        <w:tc>
          <w:tcPr>
            <w:tcW w:w="6800" w:type="dxa"/>
            <w:vAlign w:val="bottom"/>
          </w:tcPr>
          <w:p>
            <w:pPr>
              <w:ind w:left="240"/>
              <w:spacing w:after="0"/>
              <w:rPr>
                <w:sz w:val="20"/>
                <w:szCs w:val="20"/>
                <w:color w:val="auto"/>
              </w:rPr>
            </w:pPr>
            <w:r>
              <w:rPr>
                <w:rFonts w:ascii="Arial" w:cs="Arial" w:eastAsia="Arial" w:hAnsi="Arial"/>
                <w:sz w:val="18"/>
                <w:szCs w:val="18"/>
                <w:color w:val="auto"/>
              </w:rPr>
              <w:t>Retained earnings</w:t>
            </w:r>
          </w:p>
        </w:tc>
        <w:tc>
          <w:tcPr>
            <w:tcW w:w="12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auto"/>
              </w:rPr>
              <w:t>1,454,610,199</w:t>
            </w: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60" w:type="dxa"/>
            <w:vAlign w:val="bottom"/>
          </w:tcPr>
          <w:p>
            <w:pPr>
              <w:jc w:val="right"/>
              <w:ind w:right="11"/>
              <w:spacing w:after="0"/>
              <w:rPr>
                <w:sz w:val="20"/>
                <w:szCs w:val="20"/>
                <w:color w:val="auto"/>
              </w:rPr>
            </w:pPr>
            <w:r>
              <w:rPr>
                <w:rFonts w:ascii="Arial" w:cs="Arial" w:eastAsia="Arial" w:hAnsi="Arial"/>
                <w:sz w:val="18"/>
                <w:szCs w:val="18"/>
                <w:color w:val="auto"/>
              </w:rPr>
              <w:t>1,450,287,128</w:t>
            </w:r>
          </w:p>
        </w:tc>
        <w:tc>
          <w:tcPr>
            <w:tcW w:w="0" w:type="dxa"/>
            <w:vAlign w:val="bottom"/>
          </w:tcPr>
          <w:p>
            <w:pPr>
              <w:spacing w:after="0"/>
              <w:rPr>
                <w:sz w:val="1"/>
                <w:szCs w:val="1"/>
                <w:color w:val="auto"/>
              </w:rPr>
            </w:pPr>
          </w:p>
        </w:tc>
      </w:tr>
      <w:tr>
        <w:trPr>
          <w:trHeight w:val="230"/>
        </w:trPr>
        <w:tc>
          <w:tcPr>
            <w:tcW w:w="68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Accumulated other comprehensive loss</w:t>
            </w:r>
          </w:p>
        </w:tc>
        <w:tc>
          <w:tcPr>
            <w:tcW w:w="120" w:type="dxa"/>
            <w:vAlign w:val="bottom"/>
            <w:tcBorders>
              <w:bottom w:val="single" w:sz="8" w:color="auto"/>
            </w:tcBorders>
            <w:shd w:val="clear" w:color="auto" w:fill="CCEEFF"/>
          </w:tcPr>
          <w:p>
            <w:pPr>
              <w:spacing w:after="0"/>
              <w:rPr>
                <w:sz w:val="19"/>
                <w:szCs w:val="19"/>
                <w:color w:val="auto"/>
              </w:rPr>
            </w:pPr>
          </w:p>
        </w:tc>
        <w:tc>
          <w:tcPr>
            <w:tcW w:w="1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(5,030,122)</w:t>
            </w:r>
          </w:p>
        </w:tc>
        <w:tc>
          <w:tcPr>
            <w:tcW w:w="16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(6,409,341)</w:t>
            </w:r>
          </w:p>
        </w:tc>
        <w:tc>
          <w:tcPr>
            <w:tcW w:w="0" w:type="dxa"/>
            <w:vAlign w:val="bottom"/>
          </w:tcPr>
          <w:p>
            <w:pPr>
              <w:spacing w:after="0"/>
              <w:rPr>
                <w:sz w:val="1"/>
                <w:szCs w:val="1"/>
                <w:color w:val="auto"/>
              </w:rPr>
            </w:pPr>
          </w:p>
        </w:tc>
      </w:tr>
      <w:tr>
        <w:trPr>
          <w:trHeight w:val="223"/>
        </w:trPr>
        <w:tc>
          <w:tcPr>
            <w:tcW w:w="68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GENTEX CORPORATION SHAREHOLDERS' INVESTMENT</w:t>
            </w:r>
          </w:p>
        </w:tc>
        <w:tc>
          <w:tcPr>
            <w:tcW w:w="120" w:type="dxa"/>
            <w:vAlign w:val="bottom"/>
            <w:tcBorders>
              <w:bottom w:val="single" w:sz="8" w:color="auto"/>
            </w:tcBorders>
          </w:tcPr>
          <w:p>
            <w:pPr>
              <w:spacing w:after="0"/>
              <w:rPr>
                <w:sz w:val="19"/>
                <w:szCs w:val="19"/>
                <w:color w:val="auto"/>
              </w:rPr>
            </w:pPr>
          </w:p>
        </w:tc>
        <w:tc>
          <w:tcPr>
            <w:tcW w:w="1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2,474,826,003</w:t>
            </w:r>
          </w:p>
        </w:tc>
        <w:tc>
          <w:tcPr>
            <w:tcW w:w="16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2,467,950,655</w:t>
            </w:r>
          </w:p>
        </w:tc>
        <w:tc>
          <w:tcPr>
            <w:tcW w:w="0" w:type="dxa"/>
            <w:vAlign w:val="bottom"/>
          </w:tcPr>
          <w:p>
            <w:pPr>
              <w:spacing w:after="0"/>
              <w:rPr>
                <w:sz w:val="1"/>
                <w:szCs w:val="1"/>
                <w:color w:val="auto"/>
              </w:rPr>
            </w:pPr>
          </w:p>
        </w:tc>
      </w:tr>
      <w:tr>
        <w:trPr>
          <w:trHeight w:val="223"/>
        </w:trPr>
        <w:tc>
          <w:tcPr>
            <w:tcW w:w="68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Non-controlling Interest</w:t>
            </w:r>
          </w:p>
        </w:tc>
        <w:tc>
          <w:tcPr>
            <w:tcW w:w="120" w:type="dxa"/>
            <w:vAlign w:val="bottom"/>
            <w:tcBorders>
              <w:bottom w:val="single" w:sz="8" w:color="auto"/>
            </w:tcBorders>
            <w:shd w:val="clear" w:color="auto" w:fill="CCEEFF"/>
          </w:tcPr>
          <w:p>
            <w:pPr>
              <w:spacing w:after="0"/>
              <w:rPr>
                <w:sz w:val="19"/>
                <w:szCs w:val="19"/>
                <w:color w:val="auto"/>
              </w:rPr>
            </w:pPr>
          </w:p>
        </w:tc>
        <w:tc>
          <w:tcPr>
            <w:tcW w:w="1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4,591,500</w:t>
            </w:r>
          </w:p>
        </w:tc>
        <w:tc>
          <w:tcPr>
            <w:tcW w:w="16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8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4,149,000</w:t>
            </w:r>
          </w:p>
        </w:tc>
        <w:tc>
          <w:tcPr>
            <w:tcW w:w="0" w:type="dxa"/>
            <w:vAlign w:val="bottom"/>
          </w:tcPr>
          <w:p>
            <w:pPr>
              <w:spacing w:after="0"/>
              <w:rPr>
                <w:sz w:val="1"/>
                <w:szCs w:val="1"/>
                <w:color w:val="auto"/>
              </w:rPr>
            </w:pPr>
          </w:p>
        </w:tc>
      </w:tr>
      <w:tr>
        <w:trPr>
          <w:trHeight w:val="223"/>
        </w:trPr>
        <w:tc>
          <w:tcPr>
            <w:tcW w:w="6800" w:type="dxa"/>
            <w:vAlign w:val="bottom"/>
          </w:tcPr>
          <w:p>
            <w:pPr>
              <w:ind w:left="20"/>
              <w:spacing w:after="0"/>
              <w:rPr>
                <w:sz w:val="20"/>
                <w:szCs w:val="20"/>
                <w:color w:val="auto"/>
              </w:rPr>
            </w:pPr>
            <w:r>
              <w:rPr>
                <w:rFonts w:ascii="Arial" w:cs="Arial" w:eastAsia="Arial" w:hAnsi="Arial"/>
                <w:sz w:val="18"/>
                <w:szCs w:val="18"/>
                <w:color w:val="auto"/>
              </w:rPr>
              <w:t>TOTAL LIABILITIES AND SHAREHOLDERS' INVESTMENT</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2,782,549,228</w:t>
            </w:r>
          </w:p>
        </w:tc>
        <w:tc>
          <w:tcPr>
            <w:tcW w:w="16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8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2,760,820,975</w:t>
            </w:r>
          </w:p>
        </w:tc>
        <w:tc>
          <w:tcPr>
            <w:tcW w:w="0" w:type="dxa"/>
            <w:vAlign w:val="bottom"/>
          </w:tcPr>
          <w:p>
            <w:pPr>
              <w:spacing w:after="0"/>
              <w:rPr>
                <w:sz w:val="1"/>
                <w:szCs w:val="1"/>
                <w:color w:val="auto"/>
              </w:rPr>
            </w:pPr>
          </w:p>
        </w:tc>
      </w:tr>
      <w:tr>
        <w:trPr>
          <w:trHeight w:val="20"/>
        </w:trPr>
        <w:tc>
          <w:tcPr>
            <w:tcW w:w="68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p>
      <w:pPr>
        <w:jc w:val="both"/>
        <w:ind w:right="80"/>
        <w:spacing w:after="0" w:line="286" w:lineRule="auto"/>
        <w:rPr>
          <w:sz w:val="20"/>
          <w:szCs w:val="20"/>
          <w:color w:val="auto"/>
        </w:rPr>
      </w:pPr>
      <w:r>
        <w:rPr>
          <w:rFonts w:ascii="Arial" w:cs="Arial" w:eastAsia="Arial" w:hAnsi="Arial"/>
          <w:sz w:val="13"/>
          <w:szCs w:val="13"/>
          <w:color w:val="auto"/>
        </w:rPr>
        <w:t>Note: The condensed consolidated balance sheet at December 31, 2024 has been derived from the audited consolidated financial statements at that date, but does not include all of the information and footnotes required by accounting principles generally accepted in the United States for complete financial statements.</w:t>
      </w:r>
    </w:p>
    <w:p>
      <w:pPr>
        <w:sectPr>
          <w:pgSz w:w="11900" w:h="16838" w:orient="portrait"/>
          <w:cols w:equalWidth="0" w:num="1">
            <w:col w:w="11240"/>
          </w:cols>
          <w:pgMar w:left="320" w:top="931" w:right="339" w:bottom="1440" w:gutter="0" w:footer="0" w:header="0"/>
        </w:sectPr>
      </w:pPr>
    </w:p>
    <w:p>
      <w:pPr>
        <w:spacing w:after="0" w:line="200" w:lineRule="exact"/>
        <w:rPr>
          <w:sz w:val="20"/>
          <w:szCs w:val="20"/>
          <w:color w:val="auto"/>
        </w:rPr>
      </w:pPr>
    </w:p>
    <w:p>
      <w:pPr>
        <w:spacing w:after="0" w:line="347" w:lineRule="exact"/>
        <w:rPr>
          <w:sz w:val="20"/>
          <w:szCs w:val="20"/>
          <w:color w:val="auto"/>
        </w:rPr>
      </w:pPr>
    </w:p>
    <w:p>
      <w:pPr>
        <w:ind w:left="11140"/>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type w:val="continuous"/>
        </w:sectPr>
      </w:pPr>
    </w:p>
    <w:bookmarkStart w:id="3" w:name="page4"/>
    <w:bookmarkEnd w:id="3"/>
    <w:p>
      <w:pPr>
        <w:jc w:val="center"/>
        <w:spacing w:after="0" w:line="461" w:lineRule="auto"/>
        <w:rPr>
          <w:sz w:val="20"/>
          <w:szCs w:val="20"/>
          <w:color w:val="auto"/>
        </w:rPr>
      </w:pPr>
      <w:r>
        <w:rPr>
          <w:rFonts w:ascii="Arial" w:cs="Arial" w:eastAsia="Arial" w:hAnsi="Arial"/>
          <w:sz w:val="18"/>
          <w:szCs w:val="18"/>
          <w:b w:val="1"/>
          <w:bCs w:val="1"/>
          <w:color w:val="auto"/>
        </w:rPr>
        <w:t>GENTEX CORPORATION AND SUBSIDIARIES UNAUDITED CONDENSED CONSOLIDATED STATEMENTS OF INCOME For the Three Months Ended March 31, 2025 and 2024</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3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3500" w:type="dxa"/>
            <w:vAlign w:val="bottom"/>
            <w:gridSpan w:val="5"/>
            <w:shd w:val="clear" w:color="auto" w:fill="CCEEFF"/>
          </w:tcPr>
          <w:p>
            <w:pPr>
              <w:ind w:left="420"/>
              <w:spacing w:after="0"/>
              <w:rPr>
                <w:sz w:val="20"/>
                <w:szCs w:val="20"/>
                <w:color w:val="auto"/>
              </w:rPr>
            </w:pPr>
            <w:r>
              <w:rPr>
                <w:rFonts w:ascii="Arial" w:cs="Arial" w:eastAsia="Arial" w:hAnsi="Arial"/>
                <w:sz w:val="14"/>
                <w:szCs w:val="14"/>
                <w:b w:val="1"/>
                <w:bCs w:val="1"/>
                <w:color w:val="auto"/>
              </w:rPr>
              <w:t>Three Months Ended March 31,</w:t>
            </w:r>
          </w:p>
        </w:tc>
      </w:tr>
      <w:tr>
        <w:trPr>
          <w:trHeight w:val="202"/>
        </w:trPr>
        <w:tc>
          <w:tcPr>
            <w:tcW w:w="730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ind w:right="692"/>
              <w:spacing w:after="0"/>
              <w:rPr>
                <w:sz w:val="20"/>
                <w:szCs w:val="20"/>
                <w:color w:val="auto"/>
              </w:rPr>
            </w:pPr>
            <w:r>
              <w:rPr>
                <w:rFonts w:ascii="Arial" w:cs="Arial" w:eastAsia="Arial" w:hAnsi="Arial"/>
                <w:sz w:val="14"/>
                <w:szCs w:val="14"/>
                <w:b w:val="1"/>
                <w:bCs w:val="1"/>
                <w:color w:val="auto"/>
              </w:rPr>
              <w:t>2025</w:t>
            </w:r>
          </w:p>
        </w:tc>
        <w:tc>
          <w:tcPr>
            <w:tcW w:w="80" w:type="dxa"/>
            <w:vAlign w:val="bottom"/>
            <w:tcBorders>
              <w:bottom w:val="single" w:sz="8" w:color="CCEEFF"/>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ind w:right="691"/>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bottom w:val="single" w:sz="8" w:color="CCEEFF"/>
            </w:tcBorders>
          </w:tcPr>
          <w:p>
            <w:pPr>
              <w:spacing w:after="0"/>
              <w:rPr>
                <w:sz w:val="17"/>
                <w:szCs w:val="17"/>
                <w:color w:val="auto"/>
              </w:rPr>
            </w:pPr>
          </w:p>
        </w:tc>
      </w:tr>
      <w:tr>
        <w:trPr>
          <w:trHeight w:val="224"/>
        </w:trPr>
        <w:tc>
          <w:tcPr>
            <w:tcW w:w="7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576,773,090</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590,225,211</w:t>
            </w:r>
          </w:p>
        </w:tc>
        <w:tc>
          <w:tcPr>
            <w:tcW w:w="100" w:type="dxa"/>
            <w:vAlign w:val="bottom"/>
            <w:shd w:val="clear" w:color="auto" w:fill="CCEEFF"/>
          </w:tcPr>
          <w:p>
            <w:pPr>
              <w:spacing w:after="0"/>
              <w:rPr>
                <w:sz w:val="19"/>
                <w:szCs w:val="19"/>
                <w:color w:val="auto"/>
              </w:rPr>
            </w:pPr>
          </w:p>
        </w:tc>
      </w:tr>
      <w:tr>
        <w:trPr>
          <w:trHeight w:val="230"/>
        </w:trPr>
        <w:tc>
          <w:tcPr>
            <w:tcW w:w="73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7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GOODS SOLD</w:t>
            </w:r>
          </w:p>
        </w:tc>
        <w:tc>
          <w:tcPr>
            <w:tcW w:w="44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385,039,503</w:t>
            </w:r>
          </w:p>
        </w:tc>
        <w:tc>
          <w:tcPr>
            <w:tcW w:w="8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387,987,605</w:t>
            </w:r>
          </w:p>
        </w:tc>
        <w:tc>
          <w:tcPr>
            <w:tcW w:w="100" w:type="dxa"/>
            <w:vAlign w:val="bottom"/>
            <w:shd w:val="clear" w:color="auto" w:fill="CCEEFF"/>
          </w:tcPr>
          <w:p>
            <w:pPr>
              <w:spacing w:after="0"/>
              <w:rPr>
                <w:sz w:val="19"/>
                <w:szCs w:val="19"/>
                <w:color w:val="auto"/>
              </w:rPr>
            </w:pPr>
          </w:p>
        </w:tc>
      </w:tr>
      <w:tr>
        <w:trPr>
          <w:trHeight w:val="223"/>
        </w:trPr>
        <w:tc>
          <w:tcPr>
            <w:tcW w:w="7300" w:type="dxa"/>
            <w:vAlign w:val="bottom"/>
          </w:tcPr>
          <w:p>
            <w:pPr>
              <w:ind w:left="460"/>
              <w:spacing w:after="0"/>
              <w:rPr>
                <w:sz w:val="20"/>
                <w:szCs w:val="20"/>
                <w:color w:val="auto"/>
              </w:rPr>
            </w:pPr>
            <w:r>
              <w:rPr>
                <w:rFonts w:ascii="Arial" w:cs="Arial" w:eastAsia="Arial" w:hAnsi="Arial"/>
                <w:sz w:val="18"/>
                <w:szCs w:val="18"/>
                <w:color w:val="auto"/>
              </w:rPr>
              <w:t>Gross profit</w:t>
            </w:r>
          </w:p>
        </w:tc>
        <w:tc>
          <w:tcPr>
            <w:tcW w:w="4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191,733,587</w:t>
            </w: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202,237,606</w:t>
            </w:r>
          </w:p>
        </w:tc>
        <w:tc>
          <w:tcPr>
            <w:tcW w:w="100" w:type="dxa"/>
            <w:vAlign w:val="bottom"/>
          </w:tcPr>
          <w:p>
            <w:pPr>
              <w:spacing w:after="0"/>
              <w:rPr>
                <w:sz w:val="19"/>
                <w:szCs w:val="19"/>
                <w:color w:val="auto"/>
              </w:rPr>
            </w:pPr>
          </w:p>
        </w:tc>
      </w:tr>
      <w:tr>
        <w:trPr>
          <w:trHeight w:val="229"/>
        </w:trPr>
        <w:tc>
          <w:tcPr>
            <w:tcW w:w="73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29"/>
        </w:trPr>
        <w:tc>
          <w:tcPr>
            <w:tcW w:w="730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4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73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Engineering, research and development</w:t>
            </w:r>
          </w:p>
        </w:tc>
        <w:tc>
          <w:tcPr>
            <w:tcW w:w="4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45,924,364</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42,181,986</w:t>
            </w:r>
          </w:p>
        </w:tc>
        <w:tc>
          <w:tcPr>
            <w:tcW w:w="100" w:type="dxa"/>
            <w:vAlign w:val="bottom"/>
            <w:shd w:val="clear" w:color="auto" w:fill="CCEEFF"/>
          </w:tcPr>
          <w:p>
            <w:pPr>
              <w:spacing w:after="0"/>
              <w:rPr>
                <w:sz w:val="19"/>
                <w:szCs w:val="19"/>
                <w:color w:val="auto"/>
              </w:rPr>
            </w:pPr>
          </w:p>
        </w:tc>
      </w:tr>
      <w:tr>
        <w:trPr>
          <w:trHeight w:val="229"/>
        </w:trPr>
        <w:tc>
          <w:tcPr>
            <w:tcW w:w="7300" w:type="dxa"/>
            <w:vAlign w:val="bottom"/>
          </w:tcPr>
          <w:p>
            <w:pPr>
              <w:ind w:left="240"/>
              <w:spacing w:after="0"/>
              <w:rPr>
                <w:sz w:val="20"/>
                <w:szCs w:val="20"/>
                <w:color w:val="auto"/>
              </w:rPr>
            </w:pPr>
            <w:r>
              <w:rPr>
                <w:rFonts w:ascii="Arial" w:cs="Arial" w:eastAsia="Arial" w:hAnsi="Arial"/>
                <w:sz w:val="18"/>
                <w:szCs w:val="18"/>
                <w:color w:val="auto"/>
              </w:rPr>
              <w:t>Selling, general &amp; administrative</w:t>
            </w:r>
          </w:p>
        </w:tc>
        <w:tc>
          <w:tcPr>
            <w:tcW w:w="4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29,933,005</w:t>
            </w: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30,709,308</w:t>
            </w:r>
          </w:p>
        </w:tc>
        <w:tc>
          <w:tcPr>
            <w:tcW w:w="100" w:type="dxa"/>
            <w:vAlign w:val="bottom"/>
          </w:tcPr>
          <w:p>
            <w:pPr>
              <w:spacing w:after="0"/>
              <w:rPr>
                <w:sz w:val="19"/>
                <w:szCs w:val="19"/>
                <w:color w:val="auto"/>
              </w:rPr>
            </w:pPr>
          </w:p>
        </w:tc>
      </w:tr>
      <w:tr>
        <w:trPr>
          <w:trHeight w:val="230"/>
        </w:trPr>
        <w:tc>
          <w:tcPr>
            <w:tcW w:w="73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Severance expense</w:t>
            </w:r>
          </w:p>
        </w:tc>
        <w:tc>
          <w:tcPr>
            <w:tcW w:w="4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2,889,112</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r>
      <w:tr>
        <w:trPr>
          <w:trHeight w:val="223"/>
        </w:trPr>
        <w:tc>
          <w:tcPr>
            <w:tcW w:w="7300" w:type="dxa"/>
            <w:vAlign w:val="bottom"/>
            <w:tcBorders>
              <w:bottom w:val="single" w:sz="8" w:color="CCEEFF"/>
            </w:tcBorders>
          </w:tcPr>
          <w:p>
            <w:pPr>
              <w:ind w:left="460"/>
              <w:spacing w:after="0"/>
              <w:rPr>
                <w:sz w:val="20"/>
                <w:szCs w:val="20"/>
                <w:color w:val="auto"/>
              </w:rPr>
            </w:pPr>
            <w:r>
              <w:rPr>
                <w:rFonts w:ascii="Arial" w:cs="Arial" w:eastAsia="Arial" w:hAnsi="Arial"/>
                <w:sz w:val="18"/>
                <w:szCs w:val="18"/>
                <w:color w:val="auto"/>
              </w:rPr>
              <w:t>Total operating expenses</w:t>
            </w:r>
          </w:p>
        </w:tc>
        <w:tc>
          <w:tcPr>
            <w:tcW w:w="440" w:type="dxa"/>
            <w:vAlign w:val="bottom"/>
            <w:tcBorders>
              <w:top w:val="single" w:sz="8" w:color="auto"/>
              <w:bottom w:val="single" w:sz="8" w:color="auto"/>
            </w:tcBorders>
          </w:tcPr>
          <w:p>
            <w:pPr>
              <w:spacing w:after="0"/>
              <w:rPr>
                <w:sz w:val="19"/>
                <w:szCs w:val="19"/>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78,746,481</w:t>
            </w:r>
          </w:p>
        </w:tc>
        <w:tc>
          <w:tcPr>
            <w:tcW w:w="80" w:type="dxa"/>
            <w:vAlign w:val="bottom"/>
            <w:tcBorders>
              <w:top w:val="single" w:sz="8" w:color="auto"/>
              <w:bottom w:val="single" w:sz="8" w:color="CCEEFF"/>
            </w:tcBorders>
          </w:tcPr>
          <w:p>
            <w:pPr>
              <w:spacing w:after="0"/>
              <w:rPr>
                <w:sz w:val="19"/>
                <w:szCs w:val="19"/>
                <w:color w:val="auto"/>
              </w:rPr>
            </w:pPr>
          </w:p>
        </w:tc>
        <w:tc>
          <w:tcPr>
            <w:tcW w:w="460" w:type="dxa"/>
            <w:vAlign w:val="bottom"/>
            <w:tcBorders>
              <w:top w:val="single" w:sz="8" w:color="auto"/>
              <w:bottom w:val="single" w:sz="8" w:color="auto"/>
            </w:tcBorders>
          </w:tcPr>
          <w:p>
            <w:pPr>
              <w:spacing w:after="0"/>
              <w:rPr>
                <w:sz w:val="19"/>
                <w:szCs w:val="19"/>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72,891,294</w:t>
            </w:r>
          </w:p>
        </w:tc>
        <w:tc>
          <w:tcPr>
            <w:tcW w:w="100" w:type="dxa"/>
            <w:vAlign w:val="bottom"/>
            <w:tcBorders>
              <w:bottom w:val="single" w:sz="8" w:color="CCEEFF"/>
            </w:tcBorders>
          </w:tcPr>
          <w:p>
            <w:pPr>
              <w:spacing w:after="0"/>
              <w:rPr>
                <w:sz w:val="19"/>
                <w:szCs w:val="19"/>
                <w:color w:val="auto"/>
              </w:rPr>
            </w:pPr>
          </w:p>
        </w:tc>
      </w:tr>
      <w:tr>
        <w:trPr>
          <w:trHeight w:val="210"/>
        </w:trPr>
        <w:tc>
          <w:tcPr>
            <w:tcW w:w="73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9"/>
        </w:trPr>
        <w:tc>
          <w:tcPr>
            <w:tcW w:w="7300" w:type="dxa"/>
            <w:vAlign w:val="bottom"/>
          </w:tcPr>
          <w:p>
            <w:pPr>
              <w:ind w:left="240"/>
              <w:spacing w:after="0"/>
              <w:rPr>
                <w:sz w:val="20"/>
                <w:szCs w:val="20"/>
                <w:color w:val="auto"/>
              </w:rPr>
            </w:pPr>
            <w:r>
              <w:rPr>
                <w:rFonts w:ascii="Arial" w:cs="Arial" w:eastAsia="Arial" w:hAnsi="Arial"/>
                <w:sz w:val="18"/>
                <w:szCs w:val="18"/>
                <w:color w:val="auto"/>
              </w:rPr>
              <w:t>Income from operations</w:t>
            </w:r>
          </w:p>
        </w:tc>
        <w:tc>
          <w:tcPr>
            <w:tcW w:w="4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112,987,106</w:t>
            </w: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129,346,312</w:t>
            </w:r>
          </w:p>
        </w:tc>
        <w:tc>
          <w:tcPr>
            <w:tcW w:w="100" w:type="dxa"/>
            <w:vAlign w:val="bottom"/>
          </w:tcPr>
          <w:p>
            <w:pPr>
              <w:spacing w:after="0"/>
              <w:rPr>
                <w:sz w:val="19"/>
                <w:szCs w:val="19"/>
                <w:color w:val="auto"/>
              </w:rPr>
            </w:pPr>
          </w:p>
        </w:tc>
      </w:tr>
      <w:tr>
        <w:trPr>
          <w:trHeight w:val="229"/>
        </w:trPr>
        <w:tc>
          <w:tcPr>
            <w:tcW w:w="73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30"/>
        </w:trPr>
        <w:tc>
          <w:tcPr>
            <w:tcW w:w="7300" w:type="dxa"/>
            <w:vAlign w:val="bottom"/>
          </w:tcPr>
          <w:p>
            <w:pPr>
              <w:ind w:left="20"/>
              <w:spacing w:after="0"/>
              <w:rPr>
                <w:sz w:val="20"/>
                <w:szCs w:val="20"/>
                <w:color w:val="auto"/>
              </w:rPr>
            </w:pPr>
            <w:r>
              <w:rPr>
                <w:rFonts w:ascii="Arial" w:cs="Arial" w:eastAsia="Arial" w:hAnsi="Arial"/>
                <w:sz w:val="18"/>
                <w:szCs w:val="18"/>
                <w:color w:val="auto"/>
              </w:rPr>
              <w:t>OTHER INCOME (LOSS)</w:t>
            </w:r>
          </w:p>
        </w:tc>
        <w:tc>
          <w:tcPr>
            <w:tcW w:w="4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73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Investment income (loss), net</w:t>
            </w:r>
          </w:p>
        </w:tc>
        <w:tc>
          <w:tcPr>
            <w:tcW w:w="4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4,874,855</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(3,368,524)</w:t>
            </w:r>
          </w:p>
        </w:tc>
        <w:tc>
          <w:tcPr>
            <w:tcW w:w="100" w:type="dxa"/>
            <w:vAlign w:val="bottom"/>
            <w:shd w:val="clear" w:color="auto" w:fill="CCEEFF"/>
          </w:tcPr>
          <w:p>
            <w:pPr>
              <w:spacing w:after="0"/>
              <w:rPr>
                <w:sz w:val="19"/>
                <w:szCs w:val="19"/>
                <w:color w:val="auto"/>
              </w:rPr>
            </w:pPr>
          </w:p>
        </w:tc>
      </w:tr>
      <w:tr>
        <w:trPr>
          <w:trHeight w:val="229"/>
        </w:trPr>
        <w:tc>
          <w:tcPr>
            <w:tcW w:w="730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Other (loss) income, net</w:t>
            </w:r>
          </w:p>
        </w:tc>
        <w:tc>
          <w:tcPr>
            <w:tcW w:w="4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(4,234,379)</w:t>
            </w:r>
          </w:p>
        </w:tc>
        <w:tc>
          <w:tcPr>
            <w:tcW w:w="8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1,670,139</w:t>
            </w:r>
          </w:p>
        </w:tc>
        <w:tc>
          <w:tcPr>
            <w:tcW w:w="100" w:type="dxa"/>
            <w:vAlign w:val="bottom"/>
            <w:tcBorders>
              <w:bottom w:val="single" w:sz="8" w:color="CCEEFF"/>
            </w:tcBorders>
          </w:tcPr>
          <w:p>
            <w:pPr>
              <w:spacing w:after="0"/>
              <w:rPr>
                <w:sz w:val="19"/>
                <w:szCs w:val="19"/>
                <w:color w:val="auto"/>
              </w:rPr>
            </w:pPr>
          </w:p>
        </w:tc>
      </w:tr>
      <w:tr>
        <w:trPr>
          <w:trHeight w:val="223"/>
        </w:trPr>
        <w:tc>
          <w:tcPr>
            <w:tcW w:w="7300" w:type="dxa"/>
            <w:vAlign w:val="bottom"/>
            <w:shd w:val="clear" w:color="auto" w:fill="CCEEFF"/>
          </w:tcPr>
          <w:p>
            <w:pPr>
              <w:ind w:left="460"/>
              <w:spacing w:after="0"/>
              <w:rPr>
                <w:sz w:val="20"/>
                <w:szCs w:val="20"/>
                <w:color w:val="auto"/>
              </w:rPr>
            </w:pPr>
            <w:r>
              <w:rPr>
                <w:rFonts w:ascii="Arial" w:cs="Arial" w:eastAsia="Arial" w:hAnsi="Arial"/>
                <w:sz w:val="18"/>
                <w:szCs w:val="18"/>
                <w:color w:val="auto"/>
              </w:rPr>
              <w:t>Total other income (loss)</w:t>
            </w:r>
          </w:p>
        </w:tc>
        <w:tc>
          <w:tcPr>
            <w:tcW w:w="44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640,476</w:t>
            </w:r>
          </w:p>
        </w:tc>
        <w:tc>
          <w:tcPr>
            <w:tcW w:w="8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(1,698,385)</w:t>
            </w:r>
          </w:p>
        </w:tc>
        <w:tc>
          <w:tcPr>
            <w:tcW w:w="100" w:type="dxa"/>
            <w:vAlign w:val="bottom"/>
            <w:shd w:val="clear" w:color="auto" w:fill="CCEEFF"/>
          </w:tcPr>
          <w:p>
            <w:pPr>
              <w:spacing w:after="0"/>
              <w:rPr>
                <w:sz w:val="19"/>
                <w:szCs w:val="19"/>
                <w:color w:val="auto"/>
              </w:rPr>
            </w:pPr>
          </w:p>
        </w:tc>
      </w:tr>
      <w:tr>
        <w:trPr>
          <w:trHeight w:val="210"/>
        </w:trPr>
        <w:tc>
          <w:tcPr>
            <w:tcW w:w="7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7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BEFORE PROVISION FOR INCOME TAXES</w:t>
            </w:r>
          </w:p>
        </w:tc>
        <w:tc>
          <w:tcPr>
            <w:tcW w:w="4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113,627,582</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127,647,927</w:t>
            </w:r>
          </w:p>
        </w:tc>
        <w:tc>
          <w:tcPr>
            <w:tcW w:w="100" w:type="dxa"/>
            <w:vAlign w:val="bottom"/>
            <w:shd w:val="clear" w:color="auto" w:fill="CCEEFF"/>
          </w:tcPr>
          <w:p>
            <w:pPr>
              <w:spacing w:after="0"/>
              <w:rPr>
                <w:sz w:val="19"/>
                <w:szCs w:val="19"/>
                <w:color w:val="auto"/>
              </w:rPr>
            </w:pPr>
          </w:p>
        </w:tc>
      </w:tr>
      <w:tr>
        <w:trPr>
          <w:trHeight w:val="229"/>
        </w:trPr>
        <w:tc>
          <w:tcPr>
            <w:tcW w:w="73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7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PROVISION FOR INCOME TAXES</w:t>
            </w:r>
          </w:p>
        </w:tc>
        <w:tc>
          <w:tcPr>
            <w:tcW w:w="4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18,753,537</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19,417,213</w:t>
            </w:r>
          </w:p>
        </w:tc>
        <w:tc>
          <w:tcPr>
            <w:tcW w:w="100" w:type="dxa"/>
            <w:vAlign w:val="bottom"/>
            <w:shd w:val="clear" w:color="auto" w:fill="CCEEFF"/>
          </w:tcPr>
          <w:p>
            <w:pPr>
              <w:spacing w:after="0"/>
              <w:rPr>
                <w:sz w:val="19"/>
                <w:szCs w:val="19"/>
                <w:color w:val="auto"/>
              </w:rPr>
            </w:pPr>
          </w:p>
        </w:tc>
      </w:tr>
      <w:tr>
        <w:trPr>
          <w:trHeight w:val="230"/>
        </w:trPr>
        <w:tc>
          <w:tcPr>
            <w:tcW w:w="73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r>
      <w:tr>
        <w:trPr>
          <w:trHeight w:val="248"/>
        </w:trPr>
        <w:tc>
          <w:tcPr>
            <w:tcW w:w="7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94,874,045</w:t>
            </w:r>
          </w:p>
        </w:tc>
        <w:tc>
          <w:tcPr>
            <w:tcW w:w="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108,230,714</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0"/>
        </w:trPr>
        <w:tc>
          <w:tcPr>
            <w:tcW w:w="73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176"/>
        </w:trPr>
        <w:tc>
          <w:tcPr>
            <w:tcW w:w="73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30"/>
        </w:trPr>
        <w:tc>
          <w:tcPr>
            <w:tcW w:w="730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EARNINGS PER SHARE: </w:t>
            </w:r>
            <w:r>
              <w:rPr>
                <w:rFonts w:ascii="Arial" w:cs="Arial" w:eastAsia="Arial" w:hAnsi="Arial"/>
                <w:sz w:val="23"/>
                <w:szCs w:val="23"/>
                <w:color w:val="auto"/>
                <w:vertAlign w:val="superscript"/>
              </w:rPr>
              <w:t>(1)</w:t>
            </w:r>
          </w:p>
        </w:tc>
        <w:tc>
          <w:tcPr>
            <w:tcW w:w="44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30"/>
        </w:trPr>
        <w:tc>
          <w:tcPr>
            <w:tcW w:w="7300" w:type="dxa"/>
            <w:vAlign w:val="bottom"/>
          </w:tcPr>
          <w:p>
            <w:pPr>
              <w:ind w:left="240"/>
              <w:spacing w:after="0"/>
              <w:rPr>
                <w:sz w:val="20"/>
                <w:szCs w:val="20"/>
                <w:color w:val="auto"/>
              </w:rPr>
            </w:pPr>
            <w:r>
              <w:rPr>
                <w:rFonts w:ascii="Arial" w:cs="Arial" w:eastAsia="Arial" w:hAnsi="Arial"/>
                <w:sz w:val="18"/>
                <w:szCs w:val="18"/>
                <w:color w:val="auto"/>
              </w:rPr>
              <w:t>Basic</w:t>
            </w: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0.42</w:t>
            </w:r>
          </w:p>
        </w:tc>
        <w:tc>
          <w:tcPr>
            <w:tcW w:w="80" w:type="dxa"/>
            <w:vAlign w:val="bottom"/>
          </w:tcPr>
          <w:p>
            <w:pPr>
              <w:spacing w:after="0"/>
              <w:rPr>
                <w:sz w:val="19"/>
                <w:szCs w:val="19"/>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0.47</w:t>
            </w:r>
          </w:p>
        </w:tc>
        <w:tc>
          <w:tcPr>
            <w:tcW w:w="100" w:type="dxa"/>
            <w:vAlign w:val="bottom"/>
          </w:tcPr>
          <w:p>
            <w:pPr>
              <w:spacing w:after="0"/>
              <w:rPr>
                <w:sz w:val="19"/>
                <w:szCs w:val="19"/>
                <w:color w:val="auto"/>
              </w:rPr>
            </w:pPr>
          </w:p>
        </w:tc>
      </w:tr>
      <w:tr>
        <w:trPr>
          <w:trHeight w:val="230"/>
        </w:trPr>
        <w:tc>
          <w:tcPr>
            <w:tcW w:w="73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Diluted</w:t>
            </w: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0.42</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0.47</w:t>
            </w:r>
          </w:p>
        </w:tc>
        <w:tc>
          <w:tcPr>
            <w:tcW w:w="100" w:type="dxa"/>
            <w:vAlign w:val="bottom"/>
            <w:shd w:val="clear" w:color="auto" w:fill="CCEEFF"/>
          </w:tcPr>
          <w:p>
            <w:pPr>
              <w:spacing w:after="0"/>
              <w:rPr>
                <w:sz w:val="19"/>
                <w:szCs w:val="19"/>
                <w:color w:val="auto"/>
              </w:rPr>
            </w:pPr>
          </w:p>
        </w:tc>
      </w:tr>
      <w:tr>
        <w:trPr>
          <w:trHeight w:val="230"/>
        </w:trPr>
        <w:tc>
          <w:tcPr>
            <w:tcW w:w="73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7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Dividends Declared per Share</w:t>
            </w: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0.120</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0.120</w:t>
            </w:r>
          </w:p>
        </w:tc>
        <w:tc>
          <w:tcPr>
            <w:tcW w:w="100" w:type="dxa"/>
            <w:vAlign w:val="bottom"/>
            <w:shd w:val="clear" w:color="auto" w:fill="CCEEFF"/>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132320"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spacing w:after="0" w:line="254" w:lineRule="exact"/>
        <w:rPr>
          <w:sz w:val="20"/>
          <w:szCs w:val="20"/>
          <w:color w:val="auto"/>
        </w:rPr>
      </w:pPr>
    </w:p>
    <w:p>
      <w:pPr>
        <w:ind w:left="180" w:hanging="154"/>
        <w:spacing w:after="0"/>
        <w:tabs>
          <w:tab w:leader="none" w:pos="180" w:val="left"/>
        </w:tabs>
        <w:numPr>
          <w:ilvl w:val="0"/>
          <w:numId w:val="3"/>
        </w:numPr>
        <w:rPr>
          <w:rFonts w:ascii="Arial" w:cs="Arial" w:eastAsia="Arial" w:hAnsi="Arial"/>
          <w:sz w:val="9"/>
          <w:szCs w:val="9"/>
          <w:color w:val="auto"/>
        </w:rPr>
      </w:pPr>
      <w:r>
        <w:rPr>
          <w:rFonts w:ascii="Arial" w:cs="Arial" w:eastAsia="Arial" w:hAnsi="Arial"/>
          <w:sz w:val="14"/>
          <w:szCs w:val="14"/>
          <w:color w:val="auto"/>
        </w:rPr>
        <w:t>Earnings Per Share has been adjusted to exclude the portion of net income allocated to participating securities as a result of share-based payment awards.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4" w:name="page5"/>
    <w:bookmarkEnd w:id="4"/>
    <w:p>
      <w:pPr>
        <w:jc w:val="center"/>
        <w:ind w:right="660"/>
        <w:spacing w:after="0" w:line="457" w:lineRule="auto"/>
        <w:rPr>
          <w:sz w:val="20"/>
          <w:szCs w:val="20"/>
          <w:color w:val="auto"/>
        </w:rPr>
      </w:pPr>
      <w:r>
        <w:rPr>
          <w:rFonts w:ascii="Arial" w:cs="Arial" w:eastAsia="Arial" w:hAnsi="Arial"/>
          <w:sz w:val="18"/>
          <w:szCs w:val="18"/>
          <w:b w:val="1"/>
          <w:bCs w:val="1"/>
          <w:color w:val="auto"/>
        </w:rPr>
        <w:t>GENTEX CORPORATION AND SUBSIDIARIES UNAUDITED CONDENSED CONSOLIDATED STATEMENTS OF COMPREHENSIVE INCOME For the Three Months Ended March 31, 2025 and 2024</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6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700" w:type="dxa"/>
            <w:vAlign w:val="bottom"/>
            <w:gridSpan w:val="4"/>
          </w:tcPr>
          <w:p>
            <w:pPr>
              <w:jc w:val="right"/>
              <w:ind w:right="332"/>
              <w:spacing w:after="0"/>
              <w:rPr>
                <w:sz w:val="20"/>
                <w:szCs w:val="20"/>
                <w:color w:val="auto"/>
              </w:rPr>
            </w:pPr>
            <w:r>
              <w:rPr>
                <w:rFonts w:ascii="Arial" w:cs="Arial" w:eastAsia="Arial" w:hAnsi="Arial"/>
                <w:sz w:val="14"/>
                <w:szCs w:val="14"/>
                <w:b w:val="1"/>
                <w:bCs w:val="1"/>
                <w:color w:val="auto"/>
              </w:rPr>
              <w:t>Three Months Ended March 31,</w:t>
            </w:r>
          </w:p>
        </w:tc>
      </w:tr>
      <w:tr>
        <w:trPr>
          <w:trHeight w:val="204"/>
        </w:trPr>
        <w:tc>
          <w:tcPr>
            <w:tcW w:w="688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ind w:right="494"/>
              <w:spacing w:after="0"/>
              <w:rPr>
                <w:sz w:val="20"/>
                <w:szCs w:val="20"/>
                <w:color w:val="auto"/>
              </w:rPr>
            </w:pPr>
            <w:r>
              <w:rPr>
                <w:rFonts w:ascii="Arial" w:cs="Arial" w:eastAsia="Arial" w:hAnsi="Arial"/>
                <w:sz w:val="14"/>
                <w:szCs w:val="14"/>
                <w:b w:val="1"/>
                <w:bCs w:val="1"/>
                <w:color w:val="auto"/>
              </w:rPr>
              <w:t>2025</w:t>
            </w:r>
          </w:p>
        </w:tc>
        <w:tc>
          <w:tcPr>
            <w:tcW w:w="8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ind w:right="472"/>
              <w:spacing w:after="0"/>
              <w:rPr>
                <w:sz w:val="20"/>
                <w:szCs w:val="20"/>
                <w:color w:val="auto"/>
              </w:rPr>
            </w:pPr>
            <w:r>
              <w:rPr>
                <w:rFonts w:ascii="Arial" w:cs="Arial" w:eastAsia="Arial" w:hAnsi="Arial"/>
                <w:sz w:val="14"/>
                <w:szCs w:val="14"/>
                <w:b w:val="1"/>
                <w:bCs w:val="1"/>
                <w:color w:val="auto"/>
              </w:rPr>
              <w:t>2024</w:t>
            </w:r>
          </w:p>
        </w:tc>
      </w:tr>
      <w:tr>
        <w:trPr>
          <w:trHeight w:val="223"/>
        </w:trPr>
        <w:tc>
          <w:tcPr>
            <w:tcW w:w="688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94,874,045</w:t>
            </w:r>
          </w:p>
        </w:tc>
        <w:tc>
          <w:tcPr>
            <w:tcW w:w="8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108,230,714</w:t>
            </w:r>
          </w:p>
        </w:tc>
      </w:tr>
      <w:tr>
        <w:trPr>
          <w:trHeight w:val="270"/>
        </w:trPr>
        <w:tc>
          <w:tcPr>
            <w:tcW w:w="688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r>
      <w:tr>
        <w:trPr>
          <w:trHeight w:val="229"/>
        </w:trPr>
        <w:tc>
          <w:tcPr>
            <w:tcW w:w="6880" w:type="dxa"/>
            <w:vAlign w:val="bottom"/>
          </w:tcPr>
          <w:p>
            <w:pPr>
              <w:ind w:left="20"/>
              <w:spacing w:after="0"/>
              <w:rPr>
                <w:sz w:val="20"/>
                <w:szCs w:val="20"/>
                <w:color w:val="auto"/>
              </w:rPr>
            </w:pPr>
            <w:r>
              <w:rPr>
                <w:rFonts w:ascii="Arial" w:cs="Arial" w:eastAsia="Arial" w:hAnsi="Arial"/>
                <w:sz w:val="18"/>
                <w:szCs w:val="18"/>
                <w:color w:val="auto"/>
              </w:rPr>
              <w:t>Other comprehensive (loss) income before tax:</w:t>
            </w: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29"/>
        </w:trPr>
        <w:tc>
          <w:tcPr>
            <w:tcW w:w="68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Foreign currency translation adjustments</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(345,230)</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(950,213)</w:t>
            </w:r>
          </w:p>
        </w:tc>
      </w:tr>
      <w:tr>
        <w:trPr>
          <w:trHeight w:val="230"/>
        </w:trPr>
        <w:tc>
          <w:tcPr>
            <w:tcW w:w="688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Unrealized gains on debt securities, net</w:t>
            </w: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2,182,847</w:t>
            </w: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51,910</w:t>
            </w:r>
          </w:p>
        </w:tc>
      </w:tr>
      <w:tr>
        <w:trPr>
          <w:trHeight w:val="250"/>
        </w:trPr>
        <w:tc>
          <w:tcPr>
            <w:tcW w:w="68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r>
      <w:tr>
        <w:trPr>
          <w:trHeight w:val="229"/>
        </w:trPr>
        <w:tc>
          <w:tcPr>
            <w:tcW w:w="6880" w:type="dxa"/>
            <w:vAlign w:val="bottom"/>
          </w:tcPr>
          <w:p>
            <w:pPr>
              <w:ind w:left="20"/>
              <w:spacing w:after="0"/>
              <w:rPr>
                <w:sz w:val="20"/>
                <w:szCs w:val="20"/>
                <w:color w:val="auto"/>
              </w:rPr>
            </w:pPr>
            <w:r>
              <w:rPr>
                <w:rFonts w:ascii="Arial" w:cs="Arial" w:eastAsia="Arial" w:hAnsi="Arial"/>
                <w:sz w:val="18"/>
                <w:szCs w:val="18"/>
                <w:color w:val="auto"/>
              </w:rPr>
              <w:t>Other comprehensive income (loss), before tax</w:t>
            </w:r>
          </w:p>
        </w:tc>
        <w:tc>
          <w:tcPr>
            <w:tcW w:w="260" w:type="dxa"/>
            <w:vAlign w:val="bottom"/>
          </w:tcPr>
          <w:p>
            <w:pPr>
              <w:spacing w:after="0"/>
              <w:rPr>
                <w:sz w:val="19"/>
                <w:szCs w:val="19"/>
                <w:color w:val="auto"/>
              </w:rPr>
            </w:pP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1,837,617</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(898,303)</w:t>
            </w:r>
          </w:p>
        </w:tc>
      </w:tr>
      <w:tr>
        <w:trPr>
          <w:trHeight w:val="270"/>
        </w:trPr>
        <w:tc>
          <w:tcPr>
            <w:tcW w:w="688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r>
      <w:tr>
        <w:trPr>
          <w:trHeight w:val="230"/>
        </w:trPr>
        <w:tc>
          <w:tcPr>
            <w:tcW w:w="68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Income tax impact related to components of other comprehensive income (loss)</w:t>
            </w: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458,398</w:t>
            </w: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10,901</w:t>
            </w:r>
          </w:p>
        </w:tc>
      </w:tr>
      <w:tr>
        <w:trPr>
          <w:trHeight w:val="250"/>
        </w:trPr>
        <w:tc>
          <w:tcPr>
            <w:tcW w:w="68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r>
      <w:tr>
        <w:trPr>
          <w:trHeight w:val="229"/>
        </w:trPr>
        <w:tc>
          <w:tcPr>
            <w:tcW w:w="68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comprehensive income (loss), net of tax</w:t>
            </w: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1,379,219</w:t>
            </w: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(909,204)</w:t>
            </w:r>
          </w:p>
        </w:tc>
      </w:tr>
      <w:tr>
        <w:trPr>
          <w:trHeight w:val="250"/>
        </w:trPr>
        <w:tc>
          <w:tcPr>
            <w:tcW w:w="68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r>
      <w:tr>
        <w:trPr>
          <w:trHeight w:val="229"/>
        </w:trPr>
        <w:tc>
          <w:tcPr>
            <w:tcW w:w="6880" w:type="dxa"/>
            <w:vAlign w:val="bottom"/>
          </w:tcPr>
          <w:p>
            <w:pPr>
              <w:ind w:left="20"/>
              <w:spacing w:after="0"/>
              <w:rPr>
                <w:sz w:val="20"/>
                <w:szCs w:val="20"/>
                <w:color w:val="auto"/>
              </w:rPr>
            </w:pPr>
            <w:r>
              <w:rPr>
                <w:rFonts w:ascii="Arial" w:cs="Arial" w:eastAsia="Arial" w:hAnsi="Arial"/>
                <w:sz w:val="18"/>
                <w:szCs w:val="18"/>
                <w:color w:val="auto"/>
              </w:rPr>
              <w:t>Comprehensive income</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96,253,264</w:t>
            </w:r>
          </w:p>
        </w:tc>
        <w:tc>
          <w:tcPr>
            <w:tcW w:w="8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107,321,510</w:t>
            </w:r>
          </w:p>
        </w:tc>
      </w:tr>
      <w:tr>
        <w:trPr>
          <w:trHeight w:val="21"/>
        </w:trPr>
        <w:tc>
          <w:tcPr>
            <w:tcW w:w="68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-426085</wp:posOffset>
            </wp:positionH>
            <wp:positionV relativeFrom="paragraph">
              <wp:posOffset>73660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80"/>
          </w:cols>
          <w:pgMar w:left="980" w:top="1255" w:right="339" w:bottom="1440" w:gutter="0" w:footer="0" w:header="0"/>
        </w:sectPr>
      </w:pPr>
    </w:p>
    <w:bookmarkStart w:id="5" w:name="page6"/>
    <w:bookmarkEnd w:id="5"/>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right="80"/>
        <w:spacing w:after="0" w:line="243" w:lineRule="auto"/>
        <w:rPr>
          <w:sz w:val="20"/>
          <w:szCs w:val="20"/>
          <w:color w:val="auto"/>
        </w:rPr>
      </w:pPr>
      <w:r>
        <w:rPr>
          <w:rFonts w:ascii="Arial" w:cs="Arial" w:eastAsia="Arial" w:hAnsi="Arial"/>
          <w:sz w:val="13"/>
          <w:szCs w:val="13"/>
          <w:color w:val="auto"/>
        </w:rPr>
        <w:t>BALANCE AS OF JANUARY 1, 2025</w:t>
      </w:r>
    </w:p>
    <w:p>
      <w:pPr>
        <w:spacing w:after="0" w:line="8" w:lineRule="exact"/>
        <w:rPr>
          <w:sz w:val="20"/>
          <w:szCs w:val="20"/>
          <w:color w:val="auto"/>
        </w:rPr>
      </w:pPr>
    </w:p>
    <w:p>
      <w:pPr>
        <w:ind w:right="60"/>
        <w:spacing w:after="0" w:line="243" w:lineRule="auto"/>
        <w:rPr>
          <w:sz w:val="20"/>
          <w:szCs w:val="20"/>
          <w:color w:val="auto"/>
        </w:rPr>
      </w:pPr>
      <w:r>
        <w:rPr>
          <w:rFonts w:ascii="Arial" w:cs="Arial" w:eastAsia="Arial" w:hAnsi="Arial"/>
          <w:sz w:val="13"/>
          <w:szCs w:val="13"/>
          <w:color w:val="auto"/>
        </w:rPr>
        <w:t>Issuance of common stock from stock plan transactions</w:t>
      </w:r>
    </w:p>
    <w:p>
      <w:pPr>
        <w:spacing w:after="0" w:line="8" w:lineRule="exact"/>
        <w:rPr>
          <w:sz w:val="20"/>
          <w:szCs w:val="20"/>
          <w:color w:val="auto"/>
        </w:rPr>
      </w:pPr>
    </w:p>
    <w:p>
      <w:pPr>
        <w:ind w:right="100"/>
        <w:spacing w:after="0" w:line="280" w:lineRule="auto"/>
        <w:rPr>
          <w:sz w:val="20"/>
          <w:szCs w:val="20"/>
          <w:color w:val="auto"/>
        </w:rPr>
      </w:pPr>
      <w:r>
        <w:rPr>
          <w:rFonts w:ascii="Arial" w:cs="Arial" w:eastAsia="Arial" w:hAnsi="Arial"/>
          <w:sz w:val="12"/>
          <w:szCs w:val="12"/>
          <w:color w:val="auto"/>
        </w:rPr>
        <w:t>Repurchases of common stock Stock-based compensation</w:t>
      </w:r>
    </w:p>
    <w:p>
      <w:pPr>
        <w:spacing w:after="0" w:line="1" w:lineRule="exact"/>
        <w:rPr>
          <w:sz w:val="20"/>
          <w:szCs w:val="20"/>
          <w:color w:val="auto"/>
        </w:rPr>
      </w:pPr>
    </w:p>
    <w:p>
      <w:pPr>
        <w:spacing w:after="0" w:line="212" w:lineRule="auto"/>
        <w:rPr>
          <w:sz w:val="20"/>
          <w:szCs w:val="20"/>
          <w:color w:val="auto"/>
        </w:rPr>
      </w:pPr>
      <w:r>
        <w:rPr>
          <w:rFonts w:ascii="Arial" w:cs="Arial" w:eastAsia="Arial" w:hAnsi="Arial"/>
          <w:sz w:val="13"/>
          <w:szCs w:val="13"/>
          <w:color w:val="auto"/>
        </w:rPr>
        <w:t>expense related to stock options, employee stock purchases and restricted stock</w:t>
      </w:r>
    </w:p>
    <w:p>
      <w:pPr>
        <w:spacing w:after="0" w:line="24" w:lineRule="exact"/>
        <w:rPr>
          <w:sz w:val="20"/>
          <w:szCs w:val="20"/>
          <w:color w:val="auto"/>
        </w:rPr>
      </w:pPr>
    </w:p>
    <w:p>
      <w:pPr>
        <w:ind w:right="160"/>
        <w:spacing w:after="0" w:line="270" w:lineRule="auto"/>
        <w:rPr>
          <w:sz w:val="20"/>
          <w:szCs w:val="20"/>
          <w:color w:val="auto"/>
        </w:rPr>
      </w:pPr>
      <w:r>
        <w:rPr>
          <w:rFonts w:ascii="Arial" w:cs="Arial" w:eastAsia="Arial" w:hAnsi="Arial"/>
          <w:sz w:val="13"/>
          <w:szCs w:val="13"/>
          <w:color w:val="auto"/>
        </w:rPr>
        <w:t>Dividends declared ($0.12 per share)</w:t>
      </w:r>
    </w:p>
    <w:p>
      <w:pPr>
        <w:spacing w:after="0" w:line="1" w:lineRule="exact"/>
        <w:rPr>
          <w:sz w:val="20"/>
          <w:szCs w:val="20"/>
          <w:color w:val="auto"/>
        </w:rPr>
      </w:pPr>
    </w:p>
    <w:p>
      <w:pPr>
        <w:spacing w:after="0"/>
        <w:rPr>
          <w:sz w:val="20"/>
          <w:szCs w:val="20"/>
          <w:color w:val="auto"/>
        </w:rPr>
      </w:pPr>
      <w:r>
        <w:rPr>
          <w:rFonts w:ascii="Arial" w:cs="Arial" w:eastAsia="Arial" w:hAnsi="Arial"/>
          <w:sz w:val="13"/>
          <w:szCs w:val="13"/>
          <w:color w:val="auto"/>
        </w:rPr>
        <w:t>Capital contributions, net</w:t>
      </w:r>
    </w:p>
    <w:p>
      <w:pPr>
        <w:spacing w:after="0" w:line="26" w:lineRule="exact"/>
        <w:rPr>
          <w:sz w:val="20"/>
          <w:szCs w:val="20"/>
          <w:color w:val="auto"/>
        </w:rPr>
      </w:pPr>
    </w:p>
    <w:p>
      <w:pPr>
        <w:spacing w:after="0"/>
        <w:rPr>
          <w:sz w:val="20"/>
          <w:szCs w:val="20"/>
          <w:color w:val="auto"/>
        </w:rPr>
      </w:pPr>
      <w:r>
        <w:rPr>
          <w:rFonts w:ascii="Arial" w:cs="Arial" w:eastAsia="Arial" w:hAnsi="Arial"/>
          <w:sz w:val="13"/>
          <w:szCs w:val="13"/>
          <w:color w:val="auto"/>
        </w:rPr>
        <w:t>Net income</w:t>
      </w:r>
    </w:p>
    <w:p>
      <w:pPr>
        <w:spacing w:after="0" w:line="26" w:lineRule="exact"/>
        <w:rPr>
          <w:sz w:val="20"/>
          <w:szCs w:val="20"/>
          <w:color w:val="auto"/>
        </w:rPr>
      </w:pPr>
    </w:p>
    <w:p>
      <w:pPr>
        <w:spacing w:after="0"/>
        <w:rPr>
          <w:sz w:val="20"/>
          <w:szCs w:val="20"/>
          <w:color w:val="auto"/>
        </w:rPr>
      </w:pPr>
      <w:r>
        <w:rPr>
          <w:rFonts w:ascii="Arial" w:cs="Arial" w:eastAsia="Arial" w:hAnsi="Arial"/>
          <w:sz w:val="13"/>
          <w:szCs w:val="13"/>
          <w:color w:val="auto"/>
        </w:rPr>
        <w:t>Other comprehensive income</w:t>
      </w:r>
    </w:p>
    <w:p>
      <w:pPr>
        <w:spacing w:after="0" w:line="26" w:lineRule="exact"/>
        <w:rPr>
          <w:sz w:val="20"/>
          <w:szCs w:val="20"/>
          <w:color w:val="auto"/>
        </w:rPr>
      </w:pPr>
    </w:p>
    <w:p>
      <w:pPr>
        <w:ind w:right="120"/>
        <w:spacing w:after="0" w:line="243" w:lineRule="auto"/>
        <w:rPr>
          <w:sz w:val="20"/>
          <w:szCs w:val="20"/>
          <w:color w:val="auto"/>
        </w:rPr>
      </w:pPr>
      <w:r>
        <w:rPr>
          <w:rFonts w:ascii="Arial" w:cs="Arial" w:eastAsia="Arial" w:hAnsi="Arial"/>
          <w:sz w:val="13"/>
          <w:szCs w:val="13"/>
          <w:color w:val="auto"/>
        </w:rPr>
        <w:t>BALANCE AS OF MARCH 31, 2025</w:t>
      </w:r>
    </w:p>
    <w:p>
      <w:pPr>
        <w:spacing w:after="0" w:line="278" w:lineRule="exact"/>
        <w:rPr>
          <w:sz w:val="20"/>
          <w:szCs w:val="20"/>
          <w:color w:val="auto"/>
        </w:rPr>
      </w:pPr>
    </w:p>
    <w:p>
      <w:pPr>
        <w:ind w:right="80"/>
        <w:spacing w:after="0" w:line="243" w:lineRule="auto"/>
        <w:rPr>
          <w:sz w:val="20"/>
          <w:szCs w:val="20"/>
          <w:color w:val="auto"/>
        </w:rPr>
      </w:pPr>
      <w:r>
        <w:rPr>
          <w:rFonts w:ascii="Arial" w:cs="Arial" w:eastAsia="Arial" w:hAnsi="Arial"/>
          <w:sz w:val="13"/>
          <w:szCs w:val="13"/>
          <w:color w:val="auto"/>
        </w:rPr>
        <w:t>BALANCE AS OF JANUARY 1, 2024</w:t>
      </w:r>
    </w:p>
    <w:p>
      <w:pPr>
        <w:spacing w:after="0" w:line="8" w:lineRule="exact"/>
        <w:rPr>
          <w:sz w:val="20"/>
          <w:szCs w:val="20"/>
          <w:color w:val="auto"/>
        </w:rPr>
      </w:pPr>
    </w:p>
    <w:p>
      <w:pPr>
        <w:ind w:right="60"/>
        <w:spacing w:after="0" w:line="243" w:lineRule="auto"/>
        <w:rPr>
          <w:sz w:val="20"/>
          <w:szCs w:val="20"/>
          <w:color w:val="auto"/>
        </w:rPr>
      </w:pPr>
      <w:r>
        <w:rPr>
          <w:rFonts w:ascii="Arial" w:cs="Arial" w:eastAsia="Arial" w:hAnsi="Arial"/>
          <w:sz w:val="13"/>
          <w:szCs w:val="13"/>
          <w:color w:val="auto"/>
        </w:rPr>
        <w:t>Issuance of common stock from stock plan transactions</w:t>
      </w:r>
    </w:p>
    <w:p>
      <w:pPr>
        <w:spacing w:after="0" w:line="8" w:lineRule="exact"/>
        <w:rPr>
          <w:sz w:val="20"/>
          <w:szCs w:val="20"/>
          <w:color w:val="auto"/>
        </w:rPr>
      </w:pPr>
    </w:p>
    <w:p>
      <w:pPr>
        <w:ind w:right="100"/>
        <w:spacing w:after="0" w:line="280" w:lineRule="auto"/>
        <w:rPr>
          <w:sz w:val="20"/>
          <w:szCs w:val="20"/>
          <w:color w:val="auto"/>
        </w:rPr>
      </w:pPr>
      <w:r>
        <w:rPr>
          <w:rFonts w:ascii="Arial" w:cs="Arial" w:eastAsia="Arial" w:hAnsi="Arial"/>
          <w:sz w:val="12"/>
          <w:szCs w:val="12"/>
          <w:color w:val="auto"/>
        </w:rPr>
        <w:t>Repurchases of common stock Stock-based compensation</w:t>
      </w:r>
    </w:p>
    <w:p>
      <w:pPr>
        <w:spacing w:after="0" w:line="1" w:lineRule="exact"/>
        <w:rPr>
          <w:sz w:val="20"/>
          <w:szCs w:val="20"/>
          <w:color w:val="auto"/>
        </w:rPr>
      </w:pPr>
    </w:p>
    <w:p>
      <w:pPr>
        <w:spacing w:after="0" w:line="212" w:lineRule="auto"/>
        <w:rPr>
          <w:sz w:val="20"/>
          <w:szCs w:val="20"/>
          <w:color w:val="auto"/>
        </w:rPr>
      </w:pPr>
      <w:r>
        <w:rPr>
          <w:rFonts w:ascii="Arial" w:cs="Arial" w:eastAsia="Arial" w:hAnsi="Arial"/>
          <w:sz w:val="13"/>
          <w:szCs w:val="13"/>
          <w:color w:val="auto"/>
        </w:rPr>
        <w:t>expense related to stock options, employee stock purchases and restricted stock</w:t>
      </w:r>
    </w:p>
    <w:p>
      <w:pPr>
        <w:spacing w:after="0" w:line="24" w:lineRule="exact"/>
        <w:rPr>
          <w:sz w:val="20"/>
          <w:szCs w:val="20"/>
          <w:color w:val="auto"/>
        </w:rPr>
      </w:pPr>
    </w:p>
    <w:p>
      <w:pPr>
        <w:ind w:right="160"/>
        <w:spacing w:after="0" w:line="270" w:lineRule="auto"/>
        <w:rPr>
          <w:sz w:val="20"/>
          <w:szCs w:val="20"/>
          <w:color w:val="auto"/>
        </w:rPr>
      </w:pPr>
      <w:r>
        <w:rPr>
          <w:rFonts w:ascii="Arial" w:cs="Arial" w:eastAsia="Arial" w:hAnsi="Arial"/>
          <w:sz w:val="13"/>
          <w:szCs w:val="13"/>
          <w:color w:val="auto"/>
        </w:rPr>
        <w:t>Dividends declared ($0.12 per share)</w:t>
      </w:r>
    </w:p>
    <w:p>
      <w:pPr>
        <w:spacing w:after="0" w:line="1" w:lineRule="exact"/>
        <w:rPr>
          <w:sz w:val="20"/>
          <w:szCs w:val="20"/>
          <w:color w:val="auto"/>
        </w:rPr>
      </w:pPr>
    </w:p>
    <w:p>
      <w:pPr>
        <w:spacing w:after="0"/>
        <w:rPr>
          <w:sz w:val="20"/>
          <w:szCs w:val="20"/>
          <w:color w:val="auto"/>
        </w:rPr>
      </w:pPr>
      <w:r>
        <w:rPr>
          <w:rFonts w:ascii="Arial" w:cs="Arial" w:eastAsia="Arial" w:hAnsi="Arial"/>
          <w:sz w:val="13"/>
          <w:szCs w:val="13"/>
          <w:color w:val="auto"/>
        </w:rPr>
        <w:t>Net income</w:t>
      </w:r>
    </w:p>
    <w:p>
      <w:pPr>
        <w:spacing w:after="0" w:line="26" w:lineRule="exact"/>
        <w:rPr>
          <w:sz w:val="20"/>
          <w:szCs w:val="20"/>
          <w:color w:val="auto"/>
        </w:rPr>
      </w:pPr>
    </w:p>
    <w:p>
      <w:pPr>
        <w:spacing w:after="0"/>
        <w:rPr>
          <w:sz w:val="20"/>
          <w:szCs w:val="20"/>
          <w:color w:val="auto"/>
        </w:rPr>
      </w:pPr>
      <w:r>
        <w:rPr>
          <w:rFonts w:ascii="Arial" w:cs="Arial" w:eastAsia="Arial" w:hAnsi="Arial"/>
          <w:sz w:val="13"/>
          <w:szCs w:val="13"/>
          <w:color w:val="auto"/>
        </w:rPr>
        <w:t>Other comprehensive loss</w:t>
      </w:r>
    </w:p>
    <w:p>
      <w:pPr>
        <w:spacing w:after="0" w:line="26" w:lineRule="exact"/>
        <w:rPr>
          <w:sz w:val="20"/>
          <w:szCs w:val="20"/>
          <w:color w:val="auto"/>
        </w:rPr>
      </w:pPr>
    </w:p>
    <w:p>
      <w:pPr>
        <w:ind w:right="120"/>
        <w:spacing w:after="0" w:line="243" w:lineRule="auto"/>
        <w:rPr>
          <w:sz w:val="20"/>
          <w:szCs w:val="20"/>
          <w:color w:val="auto"/>
        </w:rPr>
      </w:pPr>
      <w:r>
        <w:rPr>
          <w:rFonts w:ascii="Arial" w:cs="Arial" w:eastAsia="Arial" w:hAnsi="Arial"/>
          <w:sz w:val="13"/>
          <w:szCs w:val="13"/>
          <w:color w:val="auto"/>
        </w:rPr>
        <w:t>BALANCE AS OF MARCH 31, 2024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4" w:lineRule="exact"/>
        <w:rPr>
          <w:sz w:val="20"/>
          <w:szCs w:val="20"/>
          <w:color w:val="auto"/>
        </w:rPr>
      </w:pPr>
    </w:p>
    <w:p>
      <w:pPr>
        <w:jc w:val="center"/>
        <w:ind w:right="2000"/>
        <w:spacing w:after="0"/>
        <w:rPr>
          <w:sz w:val="20"/>
          <w:szCs w:val="20"/>
          <w:color w:val="auto"/>
        </w:rPr>
      </w:pPr>
      <w:r>
        <w:rPr>
          <w:rFonts w:ascii="Arial" w:cs="Arial" w:eastAsia="Arial" w:hAnsi="Arial"/>
          <w:sz w:val="14"/>
          <w:szCs w:val="14"/>
          <w:b w:val="1"/>
          <w:bCs w:val="1"/>
          <w:color w:val="auto"/>
        </w:rPr>
        <w:t>GENTEX CORPORATION AND SUBSIDIARIES</w:t>
      </w:r>
    </w:p>
    <w:p>
      <w:pPr>
        <w:spacing w:after="0" w:line="177" w:lineRule="exact"/>
        <w:rPr>
          <w:sz w:val="20"/>
          <w:szCs w:val="20"/>
          <w:color w:val="auto"/>
        </w:rPr>
      </w:pPr>
    </w:p>
    <w:p>
      <w:pPr>
        <w:jc w:val="center"/>
        <w:ind w:right="2000"/>
        <w:spacing w:after="0"/>
        <w:rPr>
          <w:sz w:val="20"/>
          <w:szCs w:val="20"/>
          <w:color w:val="auto"/>
        </w:rPr>
      </w:pPr>
      <w:r>
        <w:rPr>
          <w:rFonts w:ascii="Arial" w:cs="Arial" w:eastAsia="Arial" w:hAnsi="Arial"/>
          <w:sz w:val="14"/>
          <w:szCs w:val="14"/>
          <w:b w:val="1"/>
          <w:bCs w:val="1"/>
          <w:color w:val="auto"/>
        </w:rPr>
        <w:t>UNAUDITED CONDENSED CONSOLIDATED STATEMENTS OF SHAREHOLDERS' INVESTMENT</w:t>
      </w:r>
    </w:p>
    <w:p>
      <w:pPr>
        <w:spacing w:after="0" w:line="177" w:lineRule="exact"/>
        <w:rPr>
          <w:sz w:val="20"/>
          <w:szCs w:val="20"/>
          <w:color w:val="auto"/>
        </w:rPr>
      </w:pPr>
    </w:p>
    <w:p>
      <w:pPr>
        <w:ind w:left="1780"/>
        <w:spacing w:after="0"/>
        <w:rPr>
          <w:sz w:val="20"/>
          <w:szCs w:val="20"/>
          <w:color w:val="auto"/>
        </w:rPr>
      </w:pPr>
      <w:r>
        <w:rPr>
          <w:rFonts w:ascii="Arial" w:cs="Arial" w:eastAsia="Arial" w:hAnsi="Arial"/>
          <w:sz w:val="14"/>
          <w:szCs w:val="14"/>
          <w:b w:val="1"/>
          <w:bCs w:val="1"/>
          <w:color w:val="auto"/>
        </w:rPr>
        <w:t>For the Three Months Ended March 31, 2025 and 2024</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060" w:type="dxa"/>
            <w:vAlign w:val="bottom"/>
            <w:vMerge w:val="restart"/>
          </w:tcPr>
          <w:p>
            <w:pPr>
              <w:jc w:val="center"/>
              <w:ind w:right="17"/>
              <w:spacing w:after="0"/>
              <w:rPr>
                <w:sz w:val="20"/>
                <w:szCs w:val="20"/>
                <w:color w:val="auto"/>
              </w:rPr>
            </w:pPr>
            <w:r>
              <w:rPr>
                <w:rFonts w:ascii="Arial" w:cs="Arial" w:eastAsia="Arial" w:hAnsi="Arial"/>
                <w:sz w:val="13"/>
                <w:szCs w:val="13"/>
                <w:b w:val="1"/>
                <w:bCs w:val="1"/>
                <w:color w:val="auto"/>
                <w:w w:val="95"/>
              </w:rPr>
              <w:t>Common</w:t>
            </w:r>
          </w:p>
        </w:tc>
        <w:tc>
          <w:tcPr>
            <w:tcW w:w="220" w:type="dxa"/>
            <w:vAlign w:val="bottom"/>
          </w:tcPr>
          <w:p>
            <w:pPr>
              <w:spacing w:after="0"/>
              <w:rPr>
                <w:sz w:val="13"/>
                <w:szCs w:val="13"/>
                <w:color w:val="auto"/>
              </w:rPr>
            </w:pPr>
          </w:p>
        </w:tc>
        <w:tc>
          <w:tcPr>
            <w:tcW w:w="900" w:type="dxa"/>
            <w:vAlign w:val="bottom"/>
            <w:vMerge w:val="restart"/>
          </w:tcPr>
          <w:p>
            <w:pPr>
              <w:jc w:val="right"/>
              <w:ind w:right="237"/>
              <w:spacing w:after="0"/>
              <w:rPr>
                <w:sz w:val="20"/>
                <w:szCs w:val="20"/>
                <w:color w:val="auto"/>
              </w:rPr>
            </w:pPr>
            <w:r>
              <w:rPr>
                <w:rFonts w:ascii="Arial" w:cs="Arial" w:eastAsia="Arial" w:hAnsi="Arial"/>
                <w:sz w:val="13"/>
                <w:szCs w:val="13"/>
                <w:b w:val="1"/>
                <w:bCs w:val="1"/>
                <w:color w:val="auto"/>
              </w:rPr>
              <w:t>Common</w:t>
            </w:r>
          </w:p>
        </w:tc>
        <w:tc>
          <w:tcPr>
            <w:tcW w:w="200" w:type="dxa"/>
            <w:vAlign w:val="bottom"/>
          </w:tcPr>
          <w:p>
            <w:pPr>
              <w:spacing w:after="0"/>
              <w:rPr>
                <w:sz w:val="13"/>
                <w:szCs w:val="13"/>
                <w:color w:val="auto"/>
              </w:rPr>
            </w:pPr>
          </w:p>
        </w:tc>
        <w:tc>
          <w:tcPr>
            <w:tcW w:w="960" w:type="dxa"/>
            <w:vAlign w:val="bottom"/>
            <w:vMerge w:val="restart"/>
          </w:tcPr>
          <w:p>
            <w:pPr>
              <w:jc w:val="right"/>
              <w:ind w:right="217"/>
              <w:spacing w:after="0"/>
              <w:rPr>
                <w:sz w:val="20"/>
                <w:szCs w:val="20"/>
                <w:color w:val="auto"/>
              </w:rPr>
            </w:pPr>
            <w:r>
              <w:rPr>
                <w:rFonts w:ascii="Arial" w:cs="Arial" w:eastAsia="Arial" w:hAnsi="Arial"/>
                <w:sz w:val="13"/>
                <w:szCs w:val="13"/>
                <w:b w:val="1"/>
                <w:bCs w:val="1"/>
                <w:color w:val="auto"/>
              </w:rPr>
              <w:t>Additional</w:t>
            </w:r>
          </w:p>
        </w:tc>
        <w:tc>
          <w:tcPr>
            <w:tcW w:w="2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60" w:type="dxa"/>
            <w:vAlign w:val="bottom"/>
          </w:tcPr>
          <w:p>
            <w:pPr>
              <w:jc w:val="right"/>
              <w:ind w:right="217"/>
              <w:spacing w:after="0"/>
              <w:rPr>
                <w:sz w:val="20"/>
                <w:szCs w:val="20"/>
                <w:color w:val="auto"/>
              </w:rPr>
            </w:pPr>
            <w:r>
              <w:rPr>
                <w:rFonts w:ascii="Arial" w:cs="Arial" w:eastAsia="Arial" w:hAnsi="Arial"/>
                <w:sz w:val="13"/>
                <w:szCs w:val="13"/>
                <w:b w:val="1"/>
                <w:bCs w:val="1"/>
                <w:color w:val="auto"/>
              </w:rPr>
              <w:t>Accumulated</w:t>
            </w:r>
          </w:p>
        </w:tc>
        <w:tc>
          <w:tcPr>
            <w:tcW w:w="1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tcPr>
          <w:p>
            <w:pPr>
              <w:jc w:val="center"/>
              <w:ind w:right="57"/>
              <w:spacing w:after="0"/>
              <w:rPr>
                <w:sz w:val="20"/>
                <w:szCs w:val="20"/>
                <w:color w:val="auto"/>
              </w:rPr>
            </w:pPr>
            <w:r>
              <w:rPr>
                <w:rFonts w:ascii="Arial" w:cs="Arial" w:eastAsia="Arial" w:hAnsi="Arial"/>
                <w:sz w:val="13"/>
                <w:szCs w:val="13"/>
                <w:b w:val="1"/>
                <w:bCs w:val="1"/>
                <w:color w:val="auto"/>
              </w:rPr>
              <w:t>Equity</w:t>
            </w:r>
          </w:p>
        </w:tc>
        <w:tc>
          <w:tcPr>
            <w:tcW w:w="160" w:type="dxa"/>
            <w:vAlign w:val="bottom"/>
          </w:tcPr>
          <w:p>
            <w:pPr>
              <w:spacing w:after="0"/>
              <w:rPr>
                <w:sz w:val="13"/>
                <w:szCs w:val="13"/>
                <w:color w:val="auto"/>
              </w:rPr>
            </w:pPr>
          </w:p>
        </w:tc>
        <w:tc>
          <w:tcPr>
            <w:tcW w:w="960" w:type="dxa"/>
            <w:vAlign w:val="bottom"/>
            <w:vMerge w:val="restart"/>
          </w:tcPr>
          <w:p>
            <w:pPr>
              <w:jc w:val="right"/>
              <w:ind w:right="337"/>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26"/>
        </w:trPr>
        <w:tc>
          <w:tcPr>
            <w:tcW w:w="1060" w:type="dxa"/>
            <w:vAlign w:val="bottom"/>
            <w:vMerge w:val="continue"/>
          </w:tcPr>
          <w:p>
            <w:pPr>
              <w:spacing w:after="0"/>
              <w:rPr>
                <w:sz w:val="10"/>
                <w:szCs w:val="10"/>
                <w:color w:val="auto"/>
              </w:rPr>
            </w:pPr>
          </w:p>
        </w:tc>
        <w:tc>
          <w:tcPr>
            <w:tcW w:w="220" w:type="dxa"/>
            <w:vAlign w:val="bottom"/>
          </w:tcPr>
          <w:p>
            <w:pPr>
              <w:spacing w:after="0"/>
              <w:rPr>
                <w:sz w:val="10"/>
                <w:szCs w:val="10"/>
                <w:color w:val="auto"/>
              </w:rPr>
            </w:pPr>
          </w:p>
        </w:tc>
        <w:tc>
          <w:tcPr>
            <w:tcW w:w="900" w:type="dxa"/>
            <w:vAlign w:val="bottom"/>
            <w:vMerge w:val="continue"/>
          </w:tcPr>
          <w:p>
            <w:pPr>
              <w:spacing w:after="0"/>
              <w:rPr>
                <w:sz w:val="10"/>
                <w:szCs w:val="10"/>
                <w:color w:val="auto"/>
              </w:rPr>
            </w:pPr>
          </w:p>
        </w:tc>
        <w:tc>
          <w:tcPr>
            <w:tcW w:w="200" w:type="dxa"/>
            <w:vAlign w:val="bottom"/>
          </w:tcPr>
          <w:p>
            <w:pPr>
              <w:spacing w:after="0"/>
              <w:rPr>
                <w:sz w:val="10"/>
                <w:szCs w:val="10"/>
                <w:color w:val="auto"/>
              </w:rPr>
            </w:pPr>
          </w:p>
        </w:tc>
        <w:tc>
          <w:tcPr>
            <w:tcW w:w="960" w:type="dxa"/>
            <w:vAlign w:val="bottom"/>
            <w:vMerge w:val="continue"/>
          </w:tcPr>
          <w:p>
            <w:pPr>
              <w:spacing w:after="0"/>
              <w:rPr>
                <w:sz w:val="10"/>
                <w:szCs w:val="10"/>
                <w:color w:val="auto"/>
              </w:rPr>
            </w:pPr>
          </w:p>
        </w:tc>
        <w:tc>
          <w:tcPr>
            <w:tcW w:w="220" w:type="dxa"/>
            <w:vAlign w:val="bottom"/>
          </w:tcPr>
          <w:p>
            <w:pPr>
              <w:spacing w:after="0"/>
              <w:rPr>
                <w:sz w:val="10"/>
                <w:szCs w:val="10"/>
                <w:color w:val="auto"/>
              </w:rPr>
            </w:pPr>
          </w:p>
        </w:tc>
        <w:tc>
          <w:tcPr>
            <w:tcW w:w="960" w:type="dxa"/>
            <w:vAlign w:val="bottom"/>
            <w:vMerge w:val="restart"/>
          </w:tcPr>
          <w:p>
            <w:pPr>
              <w:jc w:val="right"/>
              <w:ind w:right="277"/>
              <w:spacing w:after="0"/>
              <w:rPr>
                <w:sz w:val="20"/>
                <w:szCs w:val="20"/>
                <w:color w:val="auto"/>
              </w:rPr>
            </w:pPr>
            <w:r>
              <w:rPr>
                <w:rFonts w:ascii="Arial" w:cs="Arial" w:eastAsia="Arial" w:hAnsi="Arial"/>
                <w:sz w:val="13"/>
                <w:szCs w:val="13"/>
                <w:b w:val="1"/>
                <w:bCs w:val="1"/>
                <w:color w:val="auto"/>
              </w:rPr>
              <w:t>Retained</w:t>
            </w:r>
          </w:p>
        </w:tc>
        <w:tc>
          <w:tcPr>
            <w:tcW w:w="160" w:type="dxa"/>
            <w:vAlign w:val="bottom"/>
          </w:tcPr>
          <w:p>
            <w:pPr>
              <w:spacing w:after="0"/>
              <w:rPr>
                <w:sz w:val="10"/>
                <w:szCs w:val="10"/>
                <w:color w:val="auto"/>
              </w:rPr>
            </w:pPr>
          </w:p>
        </w:tc>
        <w:tc>
          <w:tcPr>
            <w:tcW w:w="1160" w:type="dxa"/>
            <w:vAlign w:val="bottom"/>
          </w:tcPr>
          <w:p>
            <w:pPr>
              <w:jc w:val="center"/>
              <w:ind w:right="117"/>
              <w:spacing w:after="0" w:line="126" w:lineRule="exact"/>
              <w:rPr>
                <w:sz w:val="20"/>
                <w:szCs w:val="20"/>
                <w:color w:val="auto"/>
              </w:rPr>
            </w:pPr>
            <w:r>
              <w:rPr>
                <w:rFonts w:ascii="Arial" w:cs="Arial" w:eastAsia="Arial" w:hAnsi="Arial"/>
                <w:sz w:val="13"/>
                <w:szCs w:val="13"/>
                <w:b w:val="1"/>
                <w:bCs w:val="1"/>
                <w:color w:val="auto"/>
                <w:w w:val="97"/>
              </w:rPr>
              <w:t>Other</w:t>
            </w:r>
          </w:p>
        </w:tc>
        <w:tc>
          <w:tcPr>
            <w:tcW w:w="1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0" w:type="dxa"/>
            <w:vAlign w:val="bottom"/>
          </w:tcPr>
          <w:p>
            <w:pPr>
              <w:jc w:val="center"/>
              <w:ind w:right="77"/>
              <w:spacing w:after="0" w:line="126" w:lineRule="exact"/>
              <w:rPr>
                <w:sz w:val="20"/>
                <w:szCs w:val="20"/>
                <w:color w:val="auto"/>
              </w:rPr>
            </w:pPr>
            <w:r>
              <w:rPr>
                <w:rFonts w:ascii="Arial" w:cs="Arial" w:eastAsia="Arial" w:hAnsi="Arial"/>
                <w:sz w:val="13"/>
                <w:szCs w:val="13"/>
                <w:b w:val="1"/>
                <w:bCs w:val="1"/>
                <w:color w:val="auto"/>
                <w:w w:val="96"/>
              </w:rPr>
              <w:t>Attributable to</w:t>
            </w:r>
          </w:p>
        </w:tc>
        <w:tc>
          <w:tcPr>
            <w:tcW w:w="160" w:type="dxa"/>
            <w:vAlign w:val="bottom"/>
          </w:tcPr>
          <w:p>
            <w:pPr>
              <w:spacing w:after="0"/>
              <w:rPr>
                <w:sz w:val="10"/>
                <w:szCs w:val="10"/>
                <w:color w:val="auto"/>
              </w:rPr>
            </w:pPr>
          </w:p>
        </w:tc>
        <w:tc>
          <w:tcPr>
            <w:tcW w:w="9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060" w:type="dxa"/>
            <w:vAlign w:val="bottom"/>
          </w:tcPr>
          <w:p>
            <w:pPr>
              <w:jc w:val="center"/>
              <w:spacing w:after="0" w:line="122" w:lineRule="exact"/>
              <w:rPr>
                <w:sz w:val="20"/>
                <w:szCs w:val="20"/>
                <w:color w:val="auto"/>
              </w:rPr>
            </w:pPr>
            <w:r>
              <w:rPr>
                <w:rFonts w:ascii="Arial" w:cs="Arial" w:eastAsia="Arial" w:hAnsi="Arial"/>
                <w:sz w:val="13"/>
                <w:szCs w:val="13"/>
                <w:b w:val="1"/>
                <w:bCs w:val="1"/>
                <w:color w:val="auto"/>
                <w:w w:val="95"/>
              </w:rPr>
              <w:t>Stock</w:t>
            </w:r>
          </w:p>
        </w:tc>
        <w:tc>
          <w:tcPr>
            <w:tcW w:w="220" w:type="dxa"/>
            <w:vAlign w:val="bottom"/>
          </w:tcPr>
          <w:p>
            <w:pPr>
              <w:spacing w:after="0"/>
              <w:rPr>
                <w:sz w:val="10"/>
                <w:szCs w:val="10"/>
                <w:color w:val="auto"/>
              </w:rPr>
            </w:pPr>
          </w:p>
        </w:tc>
        <w:tc>
          <w:tcPr>
            <w:tcW w:w="900" w:type="dxa"/>
            <w:vAlign w:val="bottom"/>
          </w:tcPr>
          <w:p>
            <w:pPr>
              <w:jc w:val="right"/>
              <w:ind w:right="317"/>
              <w:spacing w:after="0" w:line="122" w:lineRule="exact"/>
              <w:rPr>
                <w:sz w:val="20"/>
                <w:szCs w:val="20"/>
                <w:color w:val="auto"/>
              </w:rPr>
            </w:pPr>
            <w:r>
              <w:rPr>
                <w:rFonts w:ascii="Arial" w:cs="Arial" w:eastAsia="Arial" w:hAnsi="Arial"/>
                <w:sz w:val="13"/>
                <w:szCs w:val="13"/>
                <w:b w:val="1"/>
                <w:bCs w:val="1"/>
                <w:color w:val="auto"/>
              </w:rPr>
              <w:t>Stock</w:t>
            </w:r>
          </w:p>
        </w:tc>
        <w:tc>
          <w:tcPr>
            <w:tcW w:w="200" w:type="dxa"/>
            <w:vAlign w:val="bottom"/>
          </w:tcPr>
          <w:p>
            <w:pPr>
              <w:spacing w:after="0"/>
              <w:rPr>
                <w:sz w:val="10"/>
                <w:szCs w:val="10"/>
                <w:color w:val="auto"/>
              </w:rPr>
            </w:pPr>
          </w:p>
        </w:tc>
        <w:tc>
          <w:tcPr>
            <w:tcW w:w="960" w:type="dxa"/>
            <w:vAlign w:val="bottom"/>
          </w:tcPr>
          <w:p>
            <w:pPr>
              <w:jc w:val="right"/>
              <w:ind w:right="297"/>
              <w:spacing w:after="0" w:line="122" w:lineRule="exact"/>
              <w:rPr>
                <w:sz w:val="20"/>
                <w:szCs w:val="20"/>
                <w:color w:val="auto"/>
              </w:rPr>
            </w:pPr>
            <w:r>
              <w:rPr>
                <w:rFonts w:ascii="Arial" w:cs="Arial" w:eastAsia="Arial" w:hAnsi="Arial"/>
                <w:sz w:val="13"/>
                <w:szCs w:val="13"/>
                <w:b w:val="1"/>
                <w:bCs w:val="1"/>
                <w:color w:val="auto"/>
              </w:rPr>
              <w:t>Paid-In</w:t>
            </w:r>
          </w:p>
        </w:tc>
        <w:tc>
          <w:tcPr>
            <w:tcW w:w="220" w:type="dxa"/>
            <w:vAlign w:val="bottom"/>
          </w:tcPr>
          <w:p>
            <w:pPr>
              <w:spacing w:after="0"/>
              <w:rPr>
                <w:sz w:val="10"/>
                <w:szCs w:val="10"/>
                <w:color w:val="auto"/>
              </w:rPr>
            </w:pPr>
          </w:p>
        </w:tc>
        <w:tc>
          <w:tcPr>
            <w:tcW w:w="960" w:type="dxa"/>
            <w:vAlign w:val="bottom"/>
            <w:vMerge w:val="continue"/>
          </w:tcPr>
          <w:p>
            <w:pPr>
              <w:spacing w:after="0"/>
              <w:rPr>
                <w:sz w:val="10"/>
                <w:szCs w:val="10"/>
                <w:color w:val="auto"/>
              </w:rPr>
            </w:pPr>
          </w:p>
        </w:tc>
        <w:tc>
          <w:tcPr>
            <w:tcW w:w="160" w:type="dxa"/>
            <w:vAlign w:val="bottom"/>
          </w:tcPr>
          <w:p>
            <w:pPr>
              <w:spacing w:after="0"/>
              <w:rPr>
                <w:sz w:val="10"/>
                <w:szCs w:val="10"/>
                <w:color w:val="auto"/>
              </w:rPr>
            </w:pPr>
          </w:p>
        </w:tc>
        <w:tc>
          <w:tcPr>
            <w:tcW w:w="1160" w:type="dxa"/>
            <w:vAlign w:val="bottom"/>
          </w:tcPr>
          <w:p>
            <w:pPr>
              <w:jc w:val="center"/>
              <w:ind w:right="117"/>
              <w:spacing w:after="0" w:line="122" w:lineRule="exact"/>
              <w:rPr>
                <w:sz w:val="20"/>
                <w:szCs w:val="20"/>
                <w:color w:val="auto"/>
              </w:rPr>
            </w:pPr>
            <w:r>
              <w:rPr>
                <w:rFonts w:ascii="Arial" w:cs="Arial" w:eastAsia="Arial" w:hAnsi="Arial"/>
                <w:sz w:val="13"/>
                <w:szCs w:val="13"/>
                <w:b w:val="1"/>
                <w:bCs w:val="1"/>
                <w:color w:val="auto"/>
                <w:w w:val="96"/>
              </w:rPr>
              <w:t>Comprehensive</w:t>
            </w:r>
          </w:p>
        </w:tc>
        <w:tc>
          <w:tcPr>
            <w:tcW w:w="180" w:type="dxa"/>
            <w:vAlign w:val="bottom"/>
          </w:tcPr>
          <w:p>
            <w:pPr>
              <w:spacing w:after="0"/>
              <w:rPr>
                <w:sz w:val="10"/>
                <w:szCs w:val="10"/>
                <w:color w:val="auto"/>
              </w:rPr>
            </w:pPr>
          </w:p>
        </w:tc>
        <w:tc>
          <w:tcPr>
            <w:tcW w:w="960" w:type="dxa"/>
            <w:vAlign w:val="bottom"/>
            <w:vMerge w:val="restart"/>
          </w:tcPr>
          <w:p>
            <w:pPr>
              <w:jc w:val="right"/>
              <w:ind w:right="377"/>
              <w:spacing w:after="0"/>
              <w:rPr>
                <w:sz w:val="20"/>
                <w:szCs w:val="20"/>
                <w:color w:val="auto"/>
              </w:rPr>
            </w:pPr>
            <w:r>
              <w:rPr>
                <w:rFonts w:ascii="Arial" w:cs="Arial" w:eastAsia="Arial" w:hAnsi="Arial"/>
                <w:sz w:val="13"/>
                <w:szCs w:val="13"/>
                <w:b w:val="1"/>
                <w:bCs w:val="1"/>
                <w:color w:val="auto"/>
              </w:rPr>
              <w:t>Total</w:t>
            </w:r>
          </w:p>
        </w:tc>
        <w:tc>
          <w:tcPr>
            <w:tcW w:w="1140" w:type="dxa"/>
            <w:vAlign w:val="bottom"/>
            <w:gridSpan w:val="2"/>
          </w:tcPr>
          <w:p>
            <w:pPr>
              <w:jc w:val="center"/>
              <w:spacing w:after="0" w:line="122" w:lineRule="exact"/>
              <w:rPr>
                <w:sz w:val="20"/>
                <w:szCs w:val="20"/>
                <w:color w:val="auto"/>
              </w:rPr>
            </w:pPr>
            <w:r>
              <w:rPr>
                <w:rFonts w:ascii="Arial" w:cs="Arial" w:eastAsia="Arial" w:hAnsi="Arial"/>
                <w:sz w:val="13"/>
                <w:szCs w:val="13"/>
                <w:b w:val="1"/>
                <w:bCs w:val="1"/>
                <w:color w:val="auto"/>
                <w:w w:val="95"/>
              </w:rPr>
              <w:t>Noncontrolling</w:t>
            </w:r>
          </w:p>
        </w:tc>
        <w:tc>
          <w:tcPr>
            <w:tcW w:w="160" w:type="dxa"/>
            <w:vAlign w:val="bottom"/>
          </w:tcPr>
          <w:p>
            <w:pPr>
              <w:spacing w:after="0"/>
              <w:rPr>
                <w:sz w:val="10"/>
                <w:szCs w:val="10"/>
                <w:color w:val="auto"/>
              </w:rPr>
            </w:pPr>
          </w:p>
        </w:tc>
        <w:tc>
          <w:tcPr>
            <w:tcW w:w="960" w:type="dxa"/>
            <w:vAlign w:val="bottom"/>
          </w:tcPr>
          <w:p>
            <w:pPr>
              <w:jc w:val="right"/>
              <w:ind w:right="57"/>
              <w:spacing w:after="0" w:line="122" w:lineRule="exact"/>
              <w:rPr>
                <w:sz w:val="20"/>
                <w:szCs w:val="20"/>
                <w:color w:val="auto"/>
              </w:rPr>
            </w:pPr>
            <w:r>
              <w:rPr>
                <w:rFonts w:ascii="Arial" w:cs="Arial" w:eastAsia="Arial" w:hAnsi="Arial"/>
                <w:sz w:val="13"/>
                <w:szCs w:val="13"/>
                <w:b w:val="1"/>
                <w:bCs w:val="1"/>
                <w:color w:val="auto"/>
                <w:w w:val="94"/>
              </w:rPr>
              <w:t>Shareholders’</w:t>
            </w:r>
          </w:p>
        </w:tc>
        <w:tc>
          <w:tcPr>
            <w:tcW w:w="0" w:type="dxa"/>
            <w:vAlign w:val="bottom"/>
          </w:tcPr>
          <w:p>
            <w:pPr>
              <w:spacing w:after="0"/>
              <w:rPr>
                <w:sz w:val="1"/>
                <w:szCs w:val="1"/>
                <w:color w:val="auto"/>
              </w:rPr>
            </w:pPr>
          </w:p>
        </w:tc>
      </w:tr>
      <w:tr>
        <w:trPr>
          <w:trHeight w:val="174"/>
        </w:trPr>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Shares</w:t>
            </w:r>
          </w:p>
        </w:tc>
        <w:tc>
          <w:tcPr>
            <w:tcW w:w="2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237"/>
              <w:spacing w:after="0"/>
              <w:rPr>
                <w:sz w:val="20"/>
                <w:szCs w:val="20"/>
                <w:color w:val="auto"/>
              </w:rPr>
            </w:pPr>
            <w:r>
              <w:rPr>
                <w:rFonts w:ascii="Arial" w:cs="Arial" w:eastAsia="Arial" w:hAnsi="Arial"/>
                <w:sz w:val="13"/>
                <w:szCs w:val="13"/>
                <w:b w:val="1"/>
                <w:bCs w:val="1"/>
                <w:color w:val="auto"/>
              </w:rPr>
              <w:t>Amount</w:t>
            </w:r>
          </w:p>
        </w:tc>
        <w:tc>
          <w:tcPr>
            <w:tcW w:w="2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297"/>
              <w:spacing w:after="0"/>
              <w:rPr>
                <w:sz w:val="20"/>
                <w:szCs w:val="20"/>
                <w:color w:val="auto"/>
              </w:rPr>
            </w:pPr>
            <w:r>
              <w:rPr>
                <w:rFonts w:ascii="Arial" w:cs="Arial" w:eastAsia="Arial" w:hAnsi="Arial"/>
                <w:sz w:val="13"/>
                <w:szCs w:val="13"/>
                <w:b w:val="1"/>
                <w:bCs w:val="1"/>
                <w:color w:val="auto"/>
              </w:rPr>
              <w:t>Capital</w:t>
            </w:r>
          </w:p>
        </w:tc>
        <w:tc>
          <w:tcPr>
            <w:tcW w:w="2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237"/>
              <w:spacing w:after="0"/>
              <w:rPr>
                <w:sz w:val="20"/>
                <w:szCs w:val="20"/>
                <w:color w:val="auto"/>
              </w:rPr>
            </w:pPr>
            <w:r>
              <w:rPr>
                <w:rFonts w:ascii="Arial" w:cs="Arial" w:eastAsia="Arial" w:hAnsi="Arial"/>
                <w:sz w:val="13"/>
                <w:szCs w:val="13"/>
                <w:b w:val="1"/>
                <w:bCs w:val="1"/>
                <w:color w:val="auto"/>
              </w:rPr>
              <w:t>Earnings</w:t>
            </w:r>
          </w:p>
        </w:tc>
        <w:tc>
          <w:tcPr>
            <w:tcW w:w="1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center"/>
              <w:ind w:right="117"/>
              <w:spacing w:after="0"/>
              <w:rPr>
                <w:sz w:val="20"/>
                <w:szCs w:val="20"/>
                <w:color w:val="auto"/>
              </w:rPr>
            </w:pPr>
            <w:r>
              <w:rPr>
                <w:rFonts w:ascii="Arial" w:cs="Arial" w:eastAsia="Arial" w:hAnsi="Arial"/>
                <w:sz w:val="13"/>
                <w:szCs w:val="13"/>
                <w:b w:val="1"/>
                <w:bCs w:val="1"/>
                <w:color w:val="auto"/>
                <w:w w:val="97"/>
              </w:rPr>
              <w:t>Income (Loss)</w:t>
            </w:r>
          </w:p>
        </w:tc>
        <w:tc>
          <w:tcPr>
            <w:tcW w:w="1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vMerge w:val="continue"/>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center"/>
              <w:ind w:right="57"/>
              <w:spacing w:after="0"/>
              <w:rPr>
                <w:sz w:val="20"/>
                <w:szCs w:val="20"/>
                <w:color w:val="auto"/>
              </w:rPr>
            </w:pPr>
            <w:r>
              <w:rPr>
                <w:rFonts w:ascii="Arial" w:cs="Arial" w:eastAsia="Arial" w:hAnsi="Arial"/>
                <w:sz w:val="13"/>
                <w:szCs w:val="13"/>
                <w:b w:val="1"/>
                <w:bCs w:val="1"/>
                <w:color w:val="auto"/>
                <w:w w:val="95"/>
              </w:rPr>
              <w:t>Interests</w:t>
            </w:r>
          </w:p>
        </w:tc>
        <w:tc>
          <w:tcPr>
            <w:tcW w:w="1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137"/>
              <w:spacing w:after="0"/>
              <w:rPr>
                <w:sz w:val="20"/>
                <w:szCs w:val="20"/>
                <w:color w:val="auto"/>
              </w:rPr>
            </w:pPr>
            <w:r>
              <w:rPr>
                <w:rFonts w:ascii="Arial" w:cs="Arial" w:eastAsia="Arial" w:hAnsi="Arial"/>
                <w:sz w:val="13"/>
                <w:szCs w:val="13"/>
                <w:b w:val="1"/>
                <w:bCs w:val="1"/>
                <w:color w:val="auto"/>
              </w:rPr>
              <w:t>Investment</w:t>
            </w:r>
          </w:p>
        </w:tc>
        <w:tc>
          <w:tcPr>
            <w:tcW w:w="0" w:type="dxa"/>
            <w:vAlign w:val="bottom"/>
          </w:tcPr>
          <w:p>
            <w:pPr>
              <w:spacing w:after="0"/>
              <w:rPr>
                <w:sz w:val="1"/>
                <w:szCs w:val="1"/>
                <w:color w:val="auto"/>
              </w:rPr>
            </w:pPr>
          </w:p>
        </w:tc>
      </w:tr>
      <w:tr>
        <w:trPr>
          <w:trHeight w:val="161"/>
        </w:trPr>
        <w:tc>
          <w:tcPr>
            <w:tcW w:w="1060" w:type="dxa"/>
            <w:vAlign w:val="bottom"/>
          </w:tcPr>
          <w:p>
            <w:pPr>
              <w:jc w:val="right"/>
              <w:ind w:right="17"/>
              <w:spacing w:after="0"/>
              <w:rPr>
                <w:sz w:val="20"/>
                <w:szCs w:val="20"/>
                <w:color w:val="auto"/>
              </w:rPr>
            </w:pPr>
            <w:r>
              <w:rPr>
                <w:rFonts w:ascii="Arial" w:cs="Arial" w:eastAsia="Arial" w:hAnsi="Arial"/>
                <w:sz w:val="13"/>
                <w:szCs w:val="13"/>
                <w:color w:val="auto"/>
              </w:rPr>
              <w:t>227,207,472</w:t>
            </w:r>
          </w:p>
        </w:tc>
        <w:tc>
          <w:tcPr>
            <w:tcW w:w="22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900" w:type="dxa"/>
            <w:vAlign w:val="bottom"/>
          </w:tcPr>
          <w:p>
            <w:pPr>
              <w:jc w:val="right"/>
              <w:ind w:right="17"/>
              <w:spacing w:after="0"/>
              <w:rPr>
                <w:sz w:val="20"/>
                <w:szCs w:val="20"/>
                <w:color w:val="auto"/>
              </w:rPr>
            </w:pPr>
            <w:r>
              <w:rPr>
                <w:rFonts w:ascii="Arial" w:cs="Arial" w:eastAsia="Arial" w:hAnsi="Arial"/>
                <w:sz w:val="13"/>
                <w:szCs w:val="13"/>
                <w:color w:val="auto"/>
              </w:rPr>
              <w:t>13,632,448</w:t>
            </w:r>
          </w:p>
        </w:tc>
        <w:tc>
          <w:tcPr>
            <w:tcW w:w="200" w:type="dxa"/>
            <w:vAlign w:val="bottom"/>
          </w:tcPr>
          <w:p>
            <w:pPr>
              <w:jc w:val="right"/>
              <w:spacing w:after="0"/>
              <w:rPr>
                <w:sz w:val="20"/>
                <w:szCs w:val="20"/>
                <w:color w:val="auto"/>
              </w:rPr>
            </w:pPr>
            <w:r>
              <w:rPr>
                <w:rFonts w:ascii="Arial" w:cs="Arial" w:eastAsia="Arial" w:hAnsi="Arial"/>
                <w:sz w:val="13"/>
                <w:szCs w:val="13"/>
                <w:color w:val="auto"/>
              </w:rPr>
              <w:t>$</w:t>
            </w:r>
          </w:p>
        </w:tc>
        <w:tc>
          <w:tcPr>
            <w:tcW w:w="960" w:type="dxa"/>
            <w:vAlign w:val="bottom"/>
          </w:tcPr>
          <w:p>
            <w:pPr>
              <w:jc w:val="right"/>
              <w:ind w:right="37"/>
              <w:spacing w:after="0"/>
              <w:rPr>
                <w:sz w:val="20"/>
                <w:szCs w:val="20"/>
                <w:color w:val="auto"/>
              </w:rPr>
            </w:pPr>
            <w:r>
              <w:rPr>
                <w:rFonts w:ascii="Arial" w:cs="Arial" w:eastAsia="Arial" w:hAnsi="Arial"/>
                <w:sz w:val="13"/>
                <w:szCs w:val="13"/>
                <w:color w:val="auto"/>
              </w:rPr>
              <w:t>1,010,440,420</w:t>
            </w:r>
          </w:p>
        </w:tc>
        <w:tc>
          <w:tcPr>
            <w:tcW w:w="220" w:type="dxa"/>
            <w:vAlign w:val="bottom"/>
          </w:tcPr>
          <w:p>
            <w:pPr>
              <w:jc w:val="right"/>
              <w:spacing w:after="0"/>
              <w:rPr>
                <w:sz w:val="20"/>
                <w:szCs w:val="20"/>
                <w:color w:val="auto"/>
              </w:rPr>
            </w:pPr>
            <w:r>
              <w:rPr>
                <w:rFonts w:ascii="Arial" w:cs="Arial" w:eastAsia="Arial" w:hAnsi="Arial"/>
                <w:sz w:val="13"/>
                <w:szCs w:val="13"/>
                <w:color w:val="auto"/>
              </w:rPr>
              <w:t>$</w:t>
            </w:r>
          </w:p>
        </w:tc>
        <w:tc>
          <w:tcPr>
            <w:tcW w:w="960" w:type="dxa"/>
            <w:vAlign w:val="bottom"/>
          </w:tcPr>
          <w:p>
            <w:pPr>
              <w:jc w:val="right"/>
              <w:ind w:right="37"/>
              <w:spacing w:after="0"/>
              <w:rPr>
                <w:sz w:val="20"/>
                <w:szCs w:val="20"/>
                <w:color w:val="auto"/>
              </w:rPr>
            </w:pPr>
            <w:r>
              <w:rPr>
                <w:rFonts w:ascii="Arial" w:cs="Arial" w:eastAsia="Arial" w:hAnsi="Arial"/>
                <w:sz w:val="13"/>
                <w:szCs w:val="13"/>
                <w:color w:val="auto"/>
              </w:rPr>
              <w:t>1,450,287,128</w:t>
            </w: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1160" w:type="dxa"/>
            <w:vAlign w:val="bottom"/>
          </w:tcPr>
          <w:p>
            <w:pPr>
              <w:jc w:val="right"/>
              <w:spacing w:after="0"/>
              <w:rPr>
                <w:sz w:val="20"/>
                <w:szCs w:val="20"/>
                <w:color w:val="auto"/>
              </w:rPr>
            </w:pPr>
            <w:r>
              <w:rPr>
                <w:rFonts w:ascii="Arial" w:cs="Arial" w:eastAsia="Arial" w:hAnsi="Arial"/>
                <w:sz w:val="13"/>
                <w:szCs w:val="13"/>
                <w:color w:val="auto"/>
              </w:rPr>
              <w:t>(6,409,341)</w:t>
            </w:r>
          </w:p>
        </w:tc>
        <w:tc>
          <w:tcPr>
            <w:tcW w:w="180" w:type="dxa"/>
            <w:vAlign w:val="bottom"/>
          </w:tcPr>
          <w:p>
            <w:pPr>
              <w:jc w:val="right"/>
              <w:spacing w:after="0"/>
              <w:rPr>
                <w:sz w:val="20"/>
                <w:szCs w:val="20"/>
                <w:color w:val="auto"/>
              </w:rPr>
            </w:pPr>
            <w:r>
              <w:rPr>
                <w:rFonts w:ascii="Arial" w:cs="Arial" w:eastAsia="Arial" w:hAnsi="Arial"/>
                <w:sz w:val="13"/>
                <w:szCs w:val="13"/>
                <w:color w:val="auto"/>
              </w:rPr>
              <w:t>$</w:t>
            </w:r>
          </w:p>
        </w:tc>
        <w:tc>
          <w:tcPr>
            <w:tcW w:w="960" w:type="dxa"/>
            <w:vAlign w:val="bottom"/>
          </w:tcPr>
          <w:p>
            <w:pPr>
              <w:jc w:val="right"/>
              <w:ind w:right="37"/>
              <w:spacing w:after="0"/>
              <w:rPr>
                <w:sz w:val="20"/>
                <w:szCs w:val="20"/>
                <w:color w:val="auto"/>
              </w:rPr>
            </w:pPr>
            <w:r>
              <w:rPr>
                <w:rFonts w:ascii="Arial" w:cs="Arial" w:eastAsia="Arial" w:hAnsi="Arial"/>
                <w:sz w:val="13"/>
                <w:szCs w:val="13"/>
                <w:color w:val="auto"/>
              </w:rPr>
              <w:t>2,467,950,655</w:t>
            </w:r>
          </w:p>
        </w:tc>
        <w:tc>
          <w:tcPr>
            <w:tcW w:w="14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000" w:type="dxa"/>
            <w:vAlign w:val="bottom"/>
            <w:vMerge w:val="restart"/>
          </w:tcPr>
          <w:p>
            <w:pPr>
              <w:jc w:val="right"/>
              <w:ind w:right="17"/>
              <w:spacing w:after="0"/>
              <w:rPr>
                <w:sz w:val="20"/>
                <w:szCs w:val="20"/>
                <w:color w:val="auto"/>
              </w:rPr>
            </w:pPr>
            <w:r>
              <w:rPr>
                <w:rFonts w:ascii="Arial" w:cs="Arial" w:eastAsia="Arial" w:hAnsi="Arial"/>
                <w:sz w:val="13"/>
                <w:szCs w:val="13"/>
                <w:color w:val="auto"/>
              </w:rPr>
              <w:t>4,149,000</w:t>
            </w:r>
          </w:p>
        </w:tc>
        <w:tc>
          <w:tcPr>
            <w:tcW w:w="16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960" w:type="dxa"/>
            <w:vAlign w:val="bottom"/>
            <w:vMerge w:val="restart"/>
          </w:tcPr>
          <w:p>
            <w:pPr>
              <w:jc w:val="right"/>
              <w:spacing w:after="0"/>
              <w:rPr>
                <w:sz w:val="20"/>
                <w:szCs w:val="20"/>
                <w:color w:val="auto"/>
              </w:rPr>
            </w:pPr>
            <w:r>
              <w:rPr>
                <w:rFonts w:ascii="Arial" w:cs="Arial" w:eastAsia="Arial" w:hAnsi="Arial"/>
                <w:sz w:val="13"/>
                <w:szCs w:val="13"/>
                <w:color w:val="auto"/>
              </w:rPr>
              <w:t>2,472,099,655</w:t>
            </w:r>
          </w:p>
        </w:tc>
        <w:tc>
          <w:tcPr>
            <w:tcW w:w="0" w:type="dxa"/>
            <w:vAlign w:val="bottom"/>
          </w:tcPr>
          <w:p>
            <w:pPr>
              <w:spacing w:after="0"/>
              <w:rPr>
                <w:sz w:val="1"/>
                <w:szCs w:val="1"/>
                <w:color w:val="auto"/>
              </w:rPr>
            </w:pPr>
          </w:p>
        </w:tc>
      </w:tr>
      <w:tr>
        <w:trPr>
          <w:trHeight w:val="117"/>
        </w:trPr>
        <w:tc>
          <w:tcPr>
            <w:tcW w:w="10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40" w:type="dxa"/>
            <w:vAlign w:val="bottom"/>
            <w:vMerge w:val="continue"/>
          </w:tcPr>
          <w:p>
            <w:pPr>
              <w:spacing w:after="0"/>
              <w:rPr>
                <w:sz w:val="10"/>
                <w:szCs w:val="10"/>
                <w:color w:val="auto"/>
              </w:rPr>
            </w:pPr>
          </w:p>
        </w:tc>
        <w:tc>
          <w:tcPr>
            <w:tcW w:w="1000" w:type="dxa"/>
            <w:vAlign w:val="bottom"/>
            <w:vMerge w:val="continue"/>
          </w:tcPr>
          <w:p>
            <w:pPr>
              <w:spacing w:after="0"/>
              <w:rPr>
                <w:sz w:val="10"/>
                <w:szCs w:val="10"/>
                <w:color w:val="auto"/>
              </w:rPr>
            </w:pPr>
          </w:p>
        </w:tc>
        <w:tc>
          <w:tcPr>
            <w:tcW w:w="160" w:type="dxa"/>
            <w:vAlign w:val="bottom"/>
            <w:vMerge w:val="continue"/>
          </w:tcPr>
          <w:p>
            <w:pPr>
              <w:spacing w:after="0"/>
              <w:rPr>
                <w:sz w:val="10"/>
                <w:szCs w:val="10"/>
                <w:color w:val="auto"/>
              </w:rPr>
            </w:pPr>
          </w:p>
        </w:tc>
        <w:tc>
          <w:tcPr>
            <w:tcW w:w="9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310"/>
        </w:trPr>
        <w:tc>
          <w:tcPr>
            <w:tcW w:w="1060" w:type="dxa"/>
            <w:vAlign w:val="bottom"/>
          </w:tcPr>
          <w:p>
            <w:pPr>
              <w:jc w:val="right"/>
              <w:ind w:right="17"/>
              <w:spacing w:after="0"/>
              <w:rPr>
                <w:sz w:val="20"/>
                <w:szCs w:val="20"/>
                <w:color w:val="auto"/>
              </w:rPr>
            </w:pPr>
            <w:r>
              <w:rPr>
                <w:rFonts w:ascii="Arial" w:cs="Arial" w:eastAsia="Arial" w:hAnsi="Arial"/>
                <w:sz w:val="13"/>
                <w:szCs w:val="13"/>
                <w:color w:val="auto"/>
              </w:rPr>
              <w:t>709,996</w:t>
            </w:r>
          </w:p>
        </w:tc>
        <w:tc>
          <w:tcPr>
            <w:tcW w:w="220" w:type="dxa"/>
            <w:vAlign w:val="bottom"/>
          </w:tcPr>
          <w:p>
            <w:pPr>
              <w:spacing w:after="0"/>
              <w:rPr>
                <w:sz w:val="24"/>
                <w:szCs w:val="24"/>
                <w:color w:val="auto"/>
              </w:rPr>
            </w:pPr>
          </w:p>
        </w:tc>
        <w:tc>
          <w:tcPr>
            <w:tcW w:w="900" w:type="dxa"/>
            <w:vAlign w:val="bottom"/>
          </w:tcPr>
          <w:p>
            <w:pPr>
              <w:jc w:val="right"/>
              <w:ind w:right="17"/>
              <w:spacing w:after="0"/>
              <w:rPr>
                <w:sz w:val="20"/>
                <w:szCs w:val="20"/>
                <w:color w:val="auto"/>
              </w:rPr>
            </w:pPr>
            <w:r>
              <w:rPr>
                <w:rFonts w:ascii="Arial" w:cs="Arial" w:eastAsia="Arial" w:hAnsi="Arial"/>
                <w:sz w:val="13"/>
                <w:szCs w:val="13"/>
                <w:color w:val="auto"/>
              </w:rPr>
              <w:t>42,600</w:t>
            </w:r>
          </w:p>
        </w:tc>
        <w:tc>
          <w:tcPr>
            <w:tcW w:w="200" w:type="dxa"/>
            <w:vAlign w:val="bottom"/>
          </w:tcPr>
          <w:p>
            <w:pPr>
              <w:spacing w:after="0"/>
              <w:rPr>
                <w:sz w:val="24"/>
                <w:szCs w:val="24"/>
                <w:color w:val="auto"/>
              </w:rPr>
            </w:pPr>
          </w:p>
        </w:tc>
        <w:tc>
          <w:tcPr>
            <w:tcW w:w="960" w:type="dxa"/>
            <w:vAlign w:val="bottom"/>
          </w:tcPr>
          <w:p>
            <w:pPr>
              <w:jc w:val="right"/>
              <w:ind w:right="37"/>
              <w:spacing w:after="0"/>
              <w:rPr>
                <w:sz w:val="20"/>
                <w:szCs w:val="20"/>
                <w:color w:val="auto"/>
              </w:rPr>
            </w:pPr>
            <w:r>
              <w:rPr>
                <w:rFonts w:ascii="Arial" w:cs="Arial" w:eastAsia="Arial" w:hAnsi="Arial"/>
                <w:sz w:val="13"/>
                <w:szCs w:val="13"/>
                <w:color w:val="auto"/>
              </w:rPr>
              <w:t>4,891,102</w:t>
            </w:r>
          </w:p>
        </w:tc>
        <w:tc>
          <w:tcPr>
            <w:tcW w:w="220" w:type="dxa"/>
            <w:vAlign w:val="bottom"/>
          </w:tcPr>
          <w:p>
            <w:pPr>
              <w:spacing w:after="0"/>
              <w:rPr>
                <w:sz w:val="24"/>
                <w:szCs w:val="24"/>
                <w:color w:val="auto"/>
              </w:rPr>
            </w:pPr>
          </w:p>
        </w:tc>
        <w:tc>
          <w:tcPr>
            <w:tcW w:w="96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4"/>
                <w:szCs w:val="24"/>
                <w:color w:val="auto"/>
              </w:rPr>
            </w:pPr>
          </w:p>
        </w:tc>
        <w:tc>
          <w:tcPr>
            <w:tcW w:w="116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24"/>
                <w:szCs w:val="24"/>
                <w:color w:val="auto"/>
              </w:rPr>
            </w:pPr>
          </w:p>
        </w:tc>
        <w:tc>
          <w:tcPr>
            <w:tcW w:w="960" w:type="dxa"/>
            <w:vAlign w:val="bottom"/>
          </w:tcPr>
          <w:p>
            <w:pPr>
              <w:jc w:val="right"/>
              <w:ind w:right="37"/>
              <w:spacing w:after="0"/>
              <w:rPr>
                <w:sz w:val="20"/>
                <w:szCs w:val="20"/>
                <w:color w:val="auto"/>
              </w:rPr>
            </w:pPr>
            <w:r>
              <w:rPr>
                <w:rFonts w:ascii="Arial" w:cs="Arial" w:eastAsia="Arial" w:hAnsi="Arial"/>
                <w:sz w:val="13"/>
                <w:szCs w:val="13"/>
                <w:color w:val="auto"/>
              </w:rPr>
              <w:t>4,933,702</w:t>
            </w:r>
          </w:p>
        </w:tc>
        <w:tc>
          <w:tcPr>
            <w:tcW w:w="140" w:type="dxa"/>
            <w:vAlign w:val="bottom"/>
          </w:tcPr>
          <w:p>
            <w:pPr>
              <w:spacing w:after="0"/>
              <w:rPr>
                <w:sz w:val="24"/>
                <w:szCs w:val="24"/>
                <w:color w:val="auto"/>
              </w:rPr>
            </w:pPr>
          </w:p>
        </w:tc>
        <w:tc>
          <w:tcPr>
            <w:tcW w:w="100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4,933,702</w:t>
            </w:r>
          </w:p>
        </w:tc>
        <w:tc>
          <w:tcPr>
            <w:tcW w:w="0" w:type="dxa"/>
            <w:vAlign w:val="bottom"/>
          </w:tcPr>
          <w:p>
            <w:pPr>
              <w:spacing w:after="0"/>
              <w:rPr>
                <w:sz w:val="1"/>
                <w:szCs w:val="1"/>
                <w:color w:val="auto"/>
              </w:rPr>
            </w:pPr>
          </w:p>
        </w:tc>
      </w:tr>
      <w:tr>
        <w:trPr>
          <w:trHeight w:val="176"/>
        </w:trPr>
        <w:tc>
          <w:tcPr>
            <w:tcW w:w="1060" w:type="dxa"/>
            <w:vAlign w:val="bottom"/>
          </w:tcPr>
          <w:p>
            <w:pPr>
              <w:jc w:val="right"/>
              <w:spacing w:after="0"/>
              <w:rPr>
                <w:sz w:val="20"/>
                <w:szCs w:val="20"/>
                <w:color w:val="auto"/>
              </w:rPr>
            </w:pPr>
            <w:r>
              <w:rPr>
                <w:rFonts w:ascii="Arial" w:cs="Arial" w:eastAsia="Arial" w:hAnsi="Arial"/>
                <w:sz w:val="13"/>
                <w:szCs w:val="13"/>
                <w:color w:val="auto"/>
              </w:rPr>
              <w:t>(3,100,351)</w:t>
            </w:r>
          </w:p>
        </w:tc>
        <w:tc>
          <w:tcPr>
            <w:tcW w:w="2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(186,021)</w:t>
            </w:r>
          </w:p>
        </w:tc>
        <w:tc>
          <w:tcPr>
            <w:tcW w:w="2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(12,246,386)</w:t>
            </w:r>
          </w:p>
        </w:tc>
        <w:tc>
          <w:tcPr>
            <w:tcW w:w="220" w:type="dxa"/>
            <w:vAlign w:val="bottom"/>
          </w:tcPr>
          <w:p>
            <w:pPr>
              <w:spacing w:after="0"/>
              <w:rPr>
                <w:sz w:val="15"/>
                <w:szCs w:val="15"/>
                <w:color w:val="auto"/>
              </w:rPr>
            </w:pPr>
          </w:p>
        </w:tc>
        <w:tc>
          <w:tcPr>
            <w:tcW w:w="960" w:type="dxa"/>
            <w:vAlign w:val="bottom"/>
          </w:tcPr>
          <w:p>
            <w:pPr>
              <w:jc w:val="right"/>
              <w:ind w:right="17"/>
              <w:spacing w:after="0"/>
              <w:rPr>
                <w:sz w:val="20"/>
                <w:szCs w:val="20"/>
                <w:color w:val="auto"/>
              </w:rPr>
            </w:pPr>
            <w:r>
              <w:rPr>
                <w:rFonts w:ascii="Arial" w:cs="Arial" w:eastAsia="Arial" w:hAnsi="Arial"/>
                <w:sz w:val="13"/>
                <w:szCs w:val="13"/>
                <w:color w:val="auto"/>
              </w:rPr>
              <w:t>(63,573,666)</w:t>
            </w:r>
          </w:p>
        </w:tc>
        <w:tc>
          <w:tcPr>
            <w:tcW w:w="160" w:type="dxa"/>
            <w:vAlign w:val="bottom"/>
          </w:tcPr>
          <w:p>
            <w:pPr>
              <w:spacing w:after="0"/>
              <w:rPr>
                <w:sz w:val="15"/>
                <w:szCs w:val="15"/>
                <w:color w:val="auto"/>
              </w:rPr>
            </w:pPr>
          </w:p>
        </w:tc>
        <w:tc>
          <w:tcPr>
            <w:tcW w:w="116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(76,006,073)</w:t>
            </w:r>
          </w:p>
        </w:tc>
        <w:tc>
          <w:tcPr>
            <w:tcW w:w="140" w:type="dxa"/>
            <w:vAlign w:val="bottom"/>
          </w:tcPr>
          <w:p>
            <w:pPr>
              <w:spacing w:after="0"/>
              <w:rPr>
                <w:sz w:val="15"/>
                <w:szCs w:val="15"/>
                <w:color w:val="auto"/>
              </w:rPr>
            </w:pPr>
          </w:p>
        </w:tc>
        <w:tc>
          <w:tcPr>
            <w:tcW w:w="100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(76,006,073)</w:t>
            </w:r>
          </w:p>
        </w:tc>
        <w:tc>
          <w:tcPr>
            <w:tcW w:w="0" w:type="dxa"/>
            <w:vAlign w:val="bottom"/>
          </w:tcPr>
          <w:p>
            <w:pPr>
              <w:spacing w:after="0"/>
              <w:rPr>
                <w:sz w:val="1"/>
                <w:szCs w:val="1"/>
                <w:color w:val="auto"/>
              </w:rPr>
            </w:pPr>
          </w:p>
        </w:tc>
      </w:tr>
      <w:tr>
        <w:trPr>
          <w:trHeight w:val="553"/>
        </w:trPr>
        <w:tc>
          <w:tcPr>
            <w:tcW w:w="106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24"/>
                <w:szCs w:val="24"/>
                <w:color w:val="auto"/>
              </w:rPr>
            </w:pPr>
          </w:p>
        </w:tc>
        <w:tc>
          <w:tcPr>
            <w:tcW w:w="90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24"/>
                <w:szCs w:val="24"/>
                <w:color w:val="auto"/>
              </w:rPr>
            </w:pPr>
          </w:p>
        </w:tc>
        <w:tc>
          <w:tcPr>
            <w:tcW w:w="960" w:type="dxa"/>
            <w:vAlign w:val="bottom"/>
          </w:tcPr>
          <w:p>
            <w:pPr>
              <w:jc w:val="right"/>
              <w:ind w:right="37"/>
              <w:spacing w:after="0"/>
              <w:rPr>
                <w:sz w:val="20"/>
                <w:szCs w:val="20"/>
                <w:color w:val="auto"/>
              </w:rPr>
            </w:pPr>
            <w:r>
              <w:rPr>
                <w:rFonts w:ascii="Arial" w:cs="Arial" w:eastAsia="Arial" w:hAnsi="Arial"/>
                <w:sz w:val="13"/>
                <w:szCs w:val="13"/>
                <w:color w:val="auto"/>
              </w:rPr>
              <w:t>8,671,763</w:t>
            </w:r>
          </w:p>
        </w:tc>
        <w:tc>
          <w:tcPr>
            <w:tcW w:w="220" w:type="dxa"/>
            <w:vAlign w:val="bottom"/>
          </w:tcPr>
          <w:p>
            <w:pPr>
              <w:spacing w:after="0"/>
              <w:rPr>
                <w:sz w:val="24"/>
                <w:szCs w:val="24"/>
                <w:color w:val="auto"/>
              </w:rPr>
            </w:pPr>
          </w:p>
        </w:tc>
        <w:tc>
          <w:tcPr>
            <w:tcW w:w="96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4"/>
                <w:szCs w:val="24"/>
                <w:color w:val="auto"/>
              </w:rPr>
            </w:pPr>
          </w:p>
        </w:tc>
        <w:tc>
          <w:tcPr>
            <w:tcW w:w="116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24"/>
                <w:szCs w:val="24"/>
                <w:color w:val="auto"/>
              </w:rPr>
            </w:pPr>
          </w:p>
        </w:tc>
        <w:tc>
          <w:tcPr>
            <w:tcW w:w="960" w:type="dxa"/>
            <w:vAlign w:val="bottom"/>
          </w:tcPr>
          <w:p>
            <w:pPr>
              <w:jc w:val="right"/>
              <w:ind w:right="37"/>
              <w:spacing w:after="0"/>
              <w:rPr>
                <w:sz w:val="20"/>
                <w:szCs w:val="20"/>
                <w:color w:val="auto"/>
              </w:rPr>
            </w:pPr>
            <w:r>
              <w:rPr>
                <w:rFonts w:ascii="Arial" w:cs="Arial" w:eastAsia="Arial" w:hAnsi="Arial"/>
                <w:sz w:val="13"/>
                <w:szCs w:val="13"/>
                <w:color w:val="auto"/>
              </w:rPr>
              <w:t>8,671,763</w:t>
            </w:r>
          </w:p>
        </w:tc>
        <w:tc>
          <w:tcPr>
            <w:tcW w:w="140" w:type="dxa"/>
            <w:vAlign w:val="bottom"/>
          </w:tcPr>
          <w:p>
            <w:pPr>
              <w:spacing w:after="0"/>
              <w:rPr>
                <w:sz w:val="24"/>
                <w:szCs w:val="24"/>
                <w:color w:val="auto"/>
              </w:rPr>
            </w:pPr>
          </w:p>
        </w:tc>
        <w:tc>
          <w:tcPr>
            <w:tcW w:w="100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8,671,763</w:t>
            </w:r>
          </w:p>
        </w:tc>
        <w:tc>
          <w:tcPr>
            <w:tcW w:w="0" w:type="dxa"/>
            <w:vAlign w:val="bottom"/>
          </w:tcPr>
          <w:p>
            <w:pPr>
              <w:spacing w:after="0"/>
              <w:rPr>
                <w:sz w:val="1"/>
                <w:szCs w:val="1"/>
                <w:color w:val="auto"/>
              </w:rPr>
            </w:pPr>
          </w:p>
        </w:tc>
      </w:tr>
      <w:tr>
        <w:trPr>
          <w:trHeight w:val="351"/>
        </w:trPr>
        <w:tc>
          <w:tcPr>
            <w:tcW w:w="106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24"/>
                <w:szCs w:val="24"/>
                <w:color w:val="auto"/>
              </w:rPr>
            </w:pPr>
          </w:p>
        </w:tc>
        <w:tc>
          <w:tcPr>
            <w:tcW w:w="90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24"/>
                <w:szCs w:val="24"/>
                <w:color w:val="auto"/>
              </w:rPr>
            </w:pPr>
          </w:p>
        </w:tc>
        <w:tc>
          <w:tcPr>
            <w:tcW w:w="96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24"/>
                <w:szCs w:val="24"/>
                <w:color w:val="auto"/>
              </w:rPr>
            </w:pPr>
          </w:p>
        </w:tc>
        <w:tc>
          <w:tcPr>
            <w:tcW w:w="960" w:type="dxa"/>
            <w:vAlign w:val="bottom"/>
          </w:tcPr>
          <w:p>
            <w:pPr>
              <w:jc w:val="right"/>
              <w:ind w:right="17"/>
              <w:spacing w:after="0"/>
              <w:rPr>
                <w:sz w:val="20"/>
                <w:szCs w:val="20"/>
                <w:color w:val="auto"/>
              </w:rPr>
            </w:pPr>
            <w:r>
              <w:rPr>
                <w:rFonts w:ascii="Arial" w:cs="Arial" w:eastAsia="Arial" w:hAnsi="Arial"/>
                <w:sz w:val="13"/>
                <w:szCs w:val="13"/>
                <w:color w:val="auto"/>
              </w:rPr>
              <w:t>(26,977,308)</w:t>
            </w:r>
          </w:p>
        </w:tc>
        <w:tc>
          <w:tcPr>
            <w:tcW w:w="160" w:type="dxa"/>
            <w:vAlign w:val="bottom"/>
          </w:tcPr>
          <w:p>
            <w:pPr>
              <w:spacing w:after="0"/>
              <w:rPr>
                <w:sz w:val="24"/>
                <w:szCs w:val="24"/>
                <w:color w:val="auto"/>
              </w:rPr>
            </w:pPr>
          </w:p>
        </w:tc>
        <w:tc>
          <w:tcPr>
            <w:tcW w:w="116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(26,977,308)</w:t>
            </w:r>
          </w:p>
        </w:tc>
        <w:tc>
          <w:tcPr>
            <w:tcW w:w="140" w:type="dxa"/>
            <w:vAlign w:val="bottom"/>
          </w:tcPr>
          <w:p>
            <w:pPr>
              <w:spacing w:after="0"/>
              <w:rPr>
                <w:sz w:val="24"/>
                <w:szCs w:val="24"/>
                <w:color w:val="auto"/>
              </w:rPr>
            </w:pPr>
          </w:p>
        </w:tc>
        <w:tc>
          <w:tcPr>
            <w:tcW w:w="100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(26,977,308)</w:t>
            </w:r>
          </w:p>
        </w:tc>
        <w:tc>
          <w:tcPr>
            <w:tcW w:w="0" w:type="dxa"/>
            <w:vAlign w:val="bottom"/>
          </w:tcPr>
          <w:p>
            <w:pPr>
              <w:spacing w:after="0"/>
              <w:rPr>
                <w:sz w:val="1"/>
                <w:szCs w:val="1"/>
                <w:color w:val="auto"/>
              </w:rPr>
            </w:pPr>
          </w:p>
        </w:tc>
      </w:tr>
      <w:tr>
        <w:trPr>
          <w:trHeight w:val="176"/>
        </w:trPr>
        <w:tc>
          <w:tcPr>
            <w:tcW w:w="106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5"/>
                <w:szCs w:val="15"/>
                <w:color w:val="auto"/>
              </w:rPr>
            </w:pPr>
          </w:p>
        </w:tc>
        <w:tc>
          <w:tcPr>
            <w:tcW w:w="90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5"/>
                <w:szCs w:val="15"/>
                <w:color w:val="auto"/>
              </w:rPr>
            </w:pPr>
          </w:p>
        </w:tc>
        <w:tc>
          <w:tcPr>
            <w:tcW w:w="96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5"/>
                <w:szCs w:val="15"/>
                <w:color w:val="auto"/>
              </w:rPr>
            </w:pPr>
          </w:p>
        </w:tc>
        <w:tc>
          <w:tcPr>
            <w:tcW w:w="96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5"/>
                <w:szCs w:val="15"/>
                <w:color w:val="auto"/>
              </w:rPr>
            </w:pPr>
          </w:p>
        </w:tc>
        <w:tc>
          <w:tcPr>
            <w:tcW w:w="116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96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1000" w:type="dxa"/>
            <w:vAlign w:val="bottom"/>
          </w:tcPr>
          <w:p>
            <w:pPr>
              <w:jc w:val="right"/>
              <w:ind w:right="17"/>
              <w:spacing w:after="0"/>
              <w:rPr>
                <w:sz w:val="20"/>
                <w:szCs w:val="20"/>
                <w:color w:val="auto"/>
              </w:rPr>
            </w:pPr>
            <w:r>
              <w:rPr>
                <w:rFonts w:ascii="Arial" w:cs="Arial" w:eastAsia="Arial" w:hAnsi="Arial"/>
                <w:sz w:val="13"/>
                <w:szCs w:val="13"/>
                <w:color w:val="auto"/>
              </w:rPr>
              <w:t>442,500</w:t>
            </w:r>
          </w:p>
        </w:tc>
        <w:tc>
          <w:tcPr>
            <w:tcW w:w="16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442,500</w:t>
            </w:r>
          </w:p>
        </w:tc>
        <w:tc>
          <w:tcPr>
            <w:tcW w:w="0" w:type="dxa"/>
            <w:vAlign w:val="bottom"/>
          </w:tcPr>
          <w:p>
            <w:pPr>
              <w:spacing w:after="0"/>
              <w:rPr>
                <w:sz w:val="1"/>
                <w:szCs w:val="1"/>
                <w:color w:val="auto"/>
              </w:rPr>
            </w:pPr>
          </w:p>
        </w:tc>
      </w:tr>
      <w:tr>
        <w:trPr>
          <w:trHeight w:val="175"/>
        </w:trPr>
        <w:tc>
          <w:tcPr>
            <w:tcW w:w="106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5"/>
                <w:szCs w:val="15"/>
                <w:color w:val="auto"/>
              </w:rPr>
            </w:pPr>
          </w:p>
        </w:tc>
        <w:tc>
          <w:tcPr>
            <w:tcW w:w="90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5"/>
                <w:szCs w:val="15"/>
                <w:color w:val="auto"/>
              </w:rPr>
            </w:pPr>
          </w:p>
        </w:tc>
        <w:tc>
          <w:tcPr>
            <w:tcW w:w="96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5"/>
                <w:szCs w:val="15"/>
                <w:color w:val="auto"/>
              </w:rPr>
            </w:pPr>
          </w:p>
        </w:tc>
        <w:tc>
          <w:tcPr>
            <w:tcW w:w="960" w:type="dxa"/>
            <w:vAlign w:val="bottom"/>
          </w:tcPr>
          <w:p>
            <w:pPr>
              <w:jc w:val="right"/>
              <w:ind w:right="37"/>
              <w:spacing w:after="0"/>
              <w:rPr>
                <w:sz w:val="20"/>
                <w:szCs w:val="20"/>
                <w:color w:val="auto"/>
              </w:rPr>
            </w:pPr>
            <w:r>
              <w:rPr>
                <w:rFonts w:ascii="Arial" w:cs="Arial" w:eastAsia="Arial" w:hAnsi="Arial"/>
                <w:sz w:val="13"/>
                <w:szCs w:val="13"/>
                <w:color w:val="auto"/>
              </w:rPr>
              <w:t>94,874,045</w:t>
            </w:r>
          </w:p>
        </w:tc>
        <w:tc>
          <w:tcPr>
            <w:tcW w:w="160" w:type="dxa"/>
            <w:vAlign w:val="bottom"/>
          </w:tcPr>
          <w:p>
            <w:pPr>
              <w:spacing w:after="0"/>
              <w:rPr>
                <w:sz w:val="15"/>
                <w:szCs w:val="15"/>
                <w:color w:val="auto"/>
              </w:rPr>
            </w:pPr>
          </w:p>
        </w:tc>
        <w:tc>
          <w:tcPr>
            <w:tcW w:w="116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960" w:type="dxa"/>
            <w:vAlign w:val="bottom"/>
          </w:tcPr>
          <w:p>
            <w:pPr>
              <w:jc w:val="right"/>
              <w:ind w:right="37"/>
              <w:spacing w:after="0"/>
              <w:rPr>
                <w:sz w:val="20"/>
                <w:szCs w:val="20"/>
                <w:color w:val="auto"/>
              </w:rPr>
            </w:pPr>
            <w:r>
              <w:rPr>
                <w:rFonts w:ascii="Arial" w:cs="Arial" w:eastAsia="Arial" w:hAnsi="Arial"/>
                <w:sz w:val="13"/>
                <w:szCs w:val="13"/>
                <w:color w:val="auto"/>
              </w:rPr>
              <w:t>94,874,045</w:t>
            </w:r>
          </w:p>
        </w:tc>
        <w:tc>
          <w:tcPr>
            <w:tcW w:w="140" w:type="dxa"/>
            <w:vAlign w:val="bottom"/>
          </w:tcPr>
          <w:p>
            <w:pPr>
              <w:spacing w:after="0"/>
              <w:rPr>
                <w:sz w:val="15"/>
                <w:szCs w:val="15"/>
                <w:color w:val="auto"/>
              </w:rPr>
            </w:pPr>
          </w:p>
        </w:tc>
        <w:tc>
          <w:tcPr>
            <w:tcW w:w="100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94,874,045</w:t>
            </w:r>
          </w:p>
        </w:tc>
        <w:tc>
          <w:tcPr>
            <w:tcW w:w="0" w:type="dxa"/>
            <w:vAlign w:val="bottom"/>
          </w:tcPr>
          <w:p>
            <w:pPr>
              <w:spacing w:after="0"/>
              <w:rPr>
                <w:sz w:val="1"/>
                <w:szCs w:val="1"/>
                <w:color w:val="auto"/>
              </w:rPr>
            </w:pPr>
          </w:p>
        </w:tc>
      </w:tr>
      <w:tr>
        <w:trPr>
          <w:trHeight w:val="183"/>
        </w:trPr>
        <w:tc>
          <w:tcPr>
            <w:tcW w:w="106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w:t>
            </w:r>
          </w:p>
        </w:tc>
        <w:tc>
          <w:tcPr>
            <w:tcW w:w="2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w:t>
            </w:r>
          </w:p>
        </w:tc>
        <w:tc>
          <w:tcPr>
            <w:tcW w:w="2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w:t>
            </w:r>
          </w:p>
        </w:tc>
        <w:tc>
          <w:tcPr>
            <w:tcW w:w="2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w:t>
            </w:r>
          </w:p>
        </w:tc>
        <w:tc>
          <w:tcPr>
            <w:tcW w:w="1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1,379,219</w:t>
            </w:r>
          </w:p>
        </w:tc>
        <w:tc>
          <w:tcPr>
            <w:tcW w:w="1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1,379,219</w:t>
            </w:r>
          </w:p>
        </w:tc>
        <w:tc>
          <w:tcPr>
            <w:tcW w:w="1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w:t>
            </w:r>
          </w:p>
        </w:tc>
        <w:tc>
          <w:tcPr>
            <w:tcW w:w="1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1,379,219</w:t>
            </w:r>
          </w:p>
        </w:tc>
        <w:tc>
          <w:tcPr>
            <w:tcW w:w="0" w:type="dxa"/>
            <w:vAlign w:val="bottom"/>
          </w:tcPr>
          <w:p>
            <w:pPr>
              <w:spacing w:after="0"/>
              <w:rPr>
                <w:sz w:val="1"/>
                <w:szCs w:val="1"/>
                <w:color w:val="auto"/>
              </w:rPr>
            </w:pPr>
          </w:p>
        </w:tc>
      </w:tr>
      <w:tr>
        <w:trPr>
          <w:trHeight w:val="166"/>
        </w:trPr>
        <w:tc>
          <w:tcPr>
            <w:tcW w:w="1060" w:type="dxa"/>
            <w:vAlign w:val="bottom"/>
          </w:tcPr>
          <w:p>
            <w:pPr>
              <w:jc w:val="right"/>
              <w:ind w:right="17"/>
              <w:spacing w:after="0"/>
              <w:rPr>
                <w:sz w:val="20"/>
                <w:szCs w:val="20"/>
                <w:color w:val="auto"/>
              </w:rPr>
            </w:pPr>
            <w:r>
              <w:rPr>
                <w:rFonts w:ascii="Arial" w:cs="Arial" w:eastAsia="Arial" w:hAnsi="Arial"/>
                <w:sz w:val="13"/>
                <w:szCs w:val="13"/>
                <w:color w:val="auto"/>
              </w:rPr>
              <w:t>224,817,117</w:t>
            </w:r>
          </w:p>
        </w:tc>
        <w:tc>
          <w:tcPr>
            <w:tcW w:w="22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900" w:type="dxa"/>
            <w:vAlign w:val="bottom"/>
          </w:tcPr>
          <w:p>
            <w:pPr>
              <w:jc w:val="right"/>
              <w:ind w:right="17"/>
              <w:spacing w:after="0"/>
              <w:rPr>
                <w:sz w:val="20"/>
                <w:szCs w:val="20"/>
                <w:color w:val="auto"/>
              </w:rPr>
            </w:pPr>
            <w:r>
              <w:rPr>
                <w:rFonts w:ascii="Arial" w:cs="Arial" w:eastAsia="Arial" w:hAnsi="Arial"/>
                <w:sz w:val="13"/>
                <w:szCs w:val="13"/>
                <w:color w:val="auto"/>
              </w:rPr>
              <w:t>13,489,027</w:t>
            </w:r>
          </w:p>
        </w:tc>
        <w:tc>
          <w:tcPr>
            <w:tcW w:w="200" w:type="dxa"/>
            <w:vAlign w:val="bottom"/>
          </w:tcPr>
          <w:p>
            <w:pPr>
              <w:jc w:val="right"/>
              <w:spacing w:after="0"/>
              <w:rPr>
                <w:sz w:val="20"/>
                <w:szCs w:val="20"/>
                <w:color w:val="auto"/>
              </w:rPr>
            </w:pPr>
            <w:r>
              <w:rPr>
                <w:rFonts w:ascii="Arial" w:cs="Arial" w:eastAsia="Arial" w:hAnsi="Arial"/>
                <w:sz w:val="13"/>
                <w:szCs w:val="13"/>
                <w:color w:val="auto"/>
              </w:rPr>
              <w:t>$</w:t>
            </w:r>
          </w:p>
        </w:tc>
        <w:tc>
          <w:tcPr>
            <w:tcW w:w="960" w:type="dxa"/>
            <w:vAlign w:val="bottom"/>
          </w:tcPr>
          <w:p>
            <w:pPr>
              <w:jc w:val="right"/>
              <w:ind w:right="37"/>
              <w:spacing w:after="0"/>
              <w:rPr>
                <w:sz w:val="20"/>
                <w:szCs w:val="20"/>
                <w:color w:val="auto"/>
              </w:rPr>
            </w:pPr>
            <w:r>
              <w:rPr>
                <w:rFonts w:ascii="Arial" w:cs="Arial" w:eastAsia="Arial" w:hAnsi="Arial"/>
                <w:sz w:val="13"/>
                <w:szCs w:val="13"/>
                <w:color w:val="auto"/>
              </w:rPr>
              <w:t>1,011,756,899</w:t>
            </w:r>
          </w:p>
        </w:tc>
        <w:tc>
          <w:tcPr>
            <w:tcW w:w="220" w:type="dxa"/>
            <w:vAlign w:val="bottom"/>
          </w:tcPr>
          <w:p>
            <w:pPr>
              <w:jc w:val="right"/>
              <w:spacing w:after="0"/>
              <w:rPr>
                <w:sz w:val="20"/>
                <w:szCs w:val="20"/>
                <w:color w:val="auto"/>
              </w:rPr>
            </w:pPr>
            <w:r>
              <w:rPr>
                <w:rFonts w:ascii="Arial" w:cs="Arial" w:eastAsia="Arial" w:hAnsi="Arial"/>
                <w:sz w:val="13"/>
                <w:szCs w:val="13"/>
                <w:color w:val="auto"/>
              </w:rPr>
              <w:t>$</w:t>
            </w:r>
          </w:p>
        </w:tc>
        <w:tc>
          <w:tcPr>
            <w:tcW w:w="960" w:type="dxa"/>
            <w:vAlign w:val="bottom"/>
          </w:tcPr>
          <w:p>
            <w:pPr>
              <w:jc w:val="right"/>
              <w:ind w:right="37"/>
              <w:spacing w:after="0"/>
              <w:rPr>
                <w:sz w:val="20"/>
                <w:szCs w:val="20"/>
                <w:color w:val="auto"/>
              </w:rPr>
            </w:pPr>
            <w:r>
              <w:rPr>
                <w:rFonts w:ascii="Arial" w:cs="Arial" w:eastAsia="Arial" w:hAnsi="Arial"/>
                <w:sz w:val="13"/>
                <w:szCs w:val="13"/>
                <w:color w:val="auto"/>
              </w:rPr>
              <w:t>1,454,610,199</w:t>
            </w: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1160" w:type="dxa"/>
            <w:vAlign w:val="bottom"/>
          </w:tcPr>
          <w:p>
            <w:pPr>
              <w:jc w:val="right"/>
              <w:spacing w:after="0"/>
              <w:rPr>
                <w:sz w:val="20"/>
                <w:szCs w:val="20"/>
                <w:color w:val="auto"/>
              </w:rPr>
            </w:pPr>
            <w:r>
              <w:rPr>
                <w:rFonts w:ascii="Arial" w:cs="Arial" w:eastAsia="Arial" w:hAnsi="Arial"/>
                <w:sz w:val="13"/>
                <w:szCs w:val="13"/>
                <w:color w:val="auto"/>
              </w:rPr>
              <w:t>(5,030,122)</w:t>
            </w:r>
          </w:p>
        </w:tc>
        <w:tc>
          <w:tcPr>
            <w:tcW w:w="180" w:type="dxa"/>
            <w:vAlign w:val="bottom"/>
          </w:tcPr>
          <w:p>
            <w:pPr>
              <w:jc w:val="right"/>
              <w:spacing w:after="0"/>
              <w:rPr>
                <w:sz w:val="20"/>
                <w:szCs w:val="20"/>
                <w:color w:val="auto"/>
              </w:rPr>
            </w:pPr>
            <w:r>
              <w:rPr>
                <w:rFonts w:ascii="Arial" w:cs="Arial" w:eastAsia="Arial" w:hAnsi="Arial"/>
                <w:sz w:val="13"/>
                <w:szCs w:val="13"/>
                <w:color w:val="auto"/>
              </w:rPr>
              <w:t>$</w:t>
            </w:r>
          </w:p>
        </w:tc>
        <w:tc>
          <w:tcPr>
            <w:tcW w:w="960" w:type="dxa"/>
            <w:vAlign w:val="bottom"/>
          </w:tcPr>
          <w:p>
            <w:pPr>
              <w:jc w:val="right"/>
              <w:ind w:right="37"/>
              <w:spacing w:after="0"/>
              <w:rPr>
                <w:sz w:val="20"/>
                <w:szCs w:val="20"/>
                <w:color w:val="auto"/>
              </w:rPr>
            </w:pPr>
            <w:r>
              <w:rPr>
                <w:rFonts w:ascii="Arial" w:cs="Arial" w:eastAsia="Arial" w:hAnsi="Arial"/>
                <w:sz w:val="13"/>
                <w:szCs w:val="13"/>
                <w:color w:val="auto"/>
              </w:rPr>
              <w:t>2,474,826,003</w:t>
            </w: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1000" w:type="dxa"/>
            <w:vAlign w:val="bottom"/>
          </w:tcPr>
          <w:p>
            <w:pPr>
              <w:jc w:val="right"/>
              <w:ind w:right="17"/>
              <w:spacing w:after="0"/>
              <w:rPr>
                <w:sz w:val="20"/>
                <w:szCs w:val="20"/>
                <w:color w:val="auto"/>
              </w:rPr>
            </w:pPr>
            <w:r>
              <w:rPr>
                <w:rFonts w:ascii="Arial" w:cs="Arial" w:eastAsia="Arial" w:hAnsi="Arial"/>
                <w:sz w:val="13"/>
                <w:szCs w:val="13"/>
                <w:color w:val="auto"/>
              </w:rPr>
              <w:t>4,591,500</w:t>
            </w: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960" w:type="dxa"/>
            <w:vAlign w:val="bottom"/>
          </w:tcPr>
          <w:p>
            <w:pPr>
              <w:jc w:val="right"/>
              <w:spacing w:after="0"/>
              <w:rPr>
                <w:sz w:val="20"/>
                <w:szCs w:val="20"/>
                <w:color w:val="auto"/>
              </w:rPr>
            </w:pPr>
            <w:r>
              <w:rPr>
                <w:rFonts w:ascii="Arial" w:cs="Arial" w:eastAsia="Arial" w:hAnsi="Arial"/>
                <w:sz w:val="13"/>
                <w:szCs w:val="13"/>
                <w:color w:val="auto"/>
              </w:rPr>
              <w:t>2,479,417,503</w:t>
            </w:r>
          </w:p>
        </w:tc>
        <w:tc>
          <w:tcPr>
            <w:tcW w:w="0" w:type="dxa"/>
            <w:vAlign w:val="bottom"/>
          </w:tcPr>
          <w:p>
            <w:pPr>
              <w:spacing w:after="0"/>
              <w:rPr>
                <w:sz w:val="1"/>
                <w:szCs w:val="1"/>
                <w:color w:val="auto"/>
              </w:rPr>
            </w:pPr>
          </w:p>
        </w:tc>
      </w:tr>
      <w:tr>
        <w:trPr>
          <w:trHeight w:val="104"/>
        </w:trPr>
        <w:tc>
          <w:tcPr>
            <w:tcW w:w="106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96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96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116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96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96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10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98"/>
        </w:trPr>
        <w:tc>
          <w:tcPr>
            <w:tcW w:w="1060" w:type="dxa"/>
            <w:vAlign w:val="bottom"/>
          </w:tcPr>
          <w:p>
            <w:pPr>
              <w:jc w:val="right"/>
              <w:ind w:right="17"/>
              <w:spacing w:after="0"/>
              <w:rPr>
                <w:sz w:val="20"/>
                <w:szCs w:val="20"/>
                <w:color w:val="auto"/>
              </w:rPr>
            </w:pPr>
            <w:r>
              <w:rPr>
                <w:rFonts w:ascii="Arial" w:cs="Arial" w:eastAsia="Arial" w:hAnsi="Arial"/>
                <w:sz w:val="13"/>
                <w:szCs w:val="13"/>
                <w:color w:val="auto"/>
              </w:rPr>
              <w:t>231,455,443</w:t>
            </w:r>
          </w:p>
        </w:tc>
        <w:tc>
          <w:tcPr>
            <w:tcW w:w="22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900" w:type="dxa"/>
            <w:vAlign w:val="bottom"/>
          </w:tcPr>
          <w:p>
            <w:pPr>
              <w:jc w:val="right"/>
              <w:ind w:right="17"/>
              <w:spacing w:after="0"/>
              <w:rPr>
                <w:sz w:val="20"/>
                <w:szCs w:val="20"/>
                <w:color w:val="auto"/>
              </w:rPr>
            </w:pPr>
            <w:r>
              <w:rPr>
                <w:rFonts w:ascii="Arial" w:cs="Arial" w:eastAsia="Arial" w:hAnsi="Arial"/>
                <w:sz w:val="13"/>
                <w:szCs w:val="13"/>
                <w:color w:val="auto"/>
              </w:rPr>
              <w:t>13,887,326</w:t>
            </w:r>
          </w:p>
        </w:tc>
        <w:tc>
          <w:tcPr>
            <w:tcW w:w="200" w:type="dxa"/>
            <w:vAlign w:val="bottom"/>
          </w:tcPr>
          <w:p>
            <w:pPr>
              <w:jc w:val="right"/>
              <w:spacing w:after="0"/>
              <w:rPr>
                <w:sz w:val="20"/>
                <w:szCs w:val="20"/>
                <w:color w:val="auto"/>
              </w:rPr>
            </w:pPr>
            <w:r>
              <w:rPr>
                <w:rFonts w:ascii="Arial" w:cs="Arial" w:eastAsia="Arial" w:hAnsi="Arial"/>
                <w:sz w:val="13"/>
                <w:szCs w:val="13"/>
                <w:color w:val="auto"/>
              </w:rPr>
              <w:t>$</w:t>
            </w:r>
          </w:p>
        </w:tc>
        <w:tc>
          <w:tcPr>
            <w:tcW w:w="960" w:type="dxa"/>
            <w:vAlign w:val="bottom"/>
          </w:tcPr>
          <w:p>
            <w:pPr>
              <w:jc w:val="right"/>
              <w:ind w:right="37"/>
              <w:spacing w:after="0"/>
              <w:rPr>
                <w:sz w:val="20"/>
                <w:szCs w:val="20"/>
                <w:color w:val="auto"/>
              </w:rPr>
            </w:pPr>
            <w:r>
              <w:rPr>
                <w:rFonts w:ascii="Arial" w:cs="Arial" w:eastAsia="Arial" w:hAnsi="Arial"/>
                <w:sz w:val="13"/>
                <w:szCs w:val="13"/>
                <w:color w:val="auto"/>
              </w:rPr>
              <w:t>968,245,875</w:t>
            </w:r>
          </w:p>
        </w:tc>
        <w:tc>
          <w:tcPr>
            <w:tcW w:w="220" w:type="dxa"/>
            <w:vAlign w:val="bottom"/>
          </w:tcPr>
          <w:p>
            <w:pPr>
              <w:jc w:val="right"/>
              <w:spacing w:after="0"/>
              <w:rPr>
                <w:sz w:val="20"/>
                <w:szCs w:val="20"/>
                <w:color w:val="auto"/>
              </w:rPr>
            </w:pPr>
            <w:r>
              <w:rPr>
                <w:rFonts w:ascii="Arial" w:cs="Arial" w:eastAsia="Arial" w:hAnsi="Arial"/>
                <w:sz w:val="13"/>
                <w:szCs w:val="13"/>
                <w:color w:val="auto"/>
              </w:rPr>
              <w:t>$</w:t>
            </w:r>
          </w:p>
        </w:tc>
        <w:tc>
          <w:tcPr>
            <w:tcW w:w="960" w:type="dxa"/>
            <w:vAlign w:val="bottom"/>
          </w:tcPr>
          <w:p>
            <w:pPr>
              <w:jc w:val="right"/>
              <w:ind w:right="37"/>
              <w:spacing w:after="0"/>
              <w:rPr>
                <w:sz w:val="20"/>
                <w:szCs w:val="20"/>
                <w:color w:val="auto"/>
              </w:rPr>
            </w:pPr>
            <w:r>
              <w:rPr>
                <w:rFonts w:ascii="Arial" w:cs="Arial" w:eastAsia="Arial" w:hAnsi="Arial"/>
                <w:sz w:val="13"/>
                <w:szCs w:val="13"/>
                <w:color w:val="auto"/>
              </w:rPr>
              <w:t>1,336,940,990</w:t>
            </w: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1160" w:type="dxa"/>
            <w:vAlign w:val="bottom"/>
          </w:tcPr>
          <w:p>
            <w:pPr>
              <w:jc w:val="right"/>
              <w:spacing w:after="0"/>
              <w:rPr>
                <w:sz w:val="20"/>
                <w:szCs w:val="20"/>
                <w:color w:val="auto"/>
              </w:rPr>
            </w:pPr>
            <w:r>
              <w:rPr>
                <w:rFonts w:ascii="Arial" w:cs="Arial" w:eastAsia="Arial" w:hAnsi="Arial"/>
                <w:sz w:val="13"/>
                <w:szCs w:val="13"/>
                <w:color w:val="auto"/>
              </w:rPr>
              <w:t>(6,557,122)</w:t>
            </w:r>
          </w:p>
        </w:tc>
        <w:tc>
          <w:tcPr>
            <w:tcW w:w="180" w:type="dxa"/>
            <w:vAlign w:val="bottom"/>
          </w:tcPr>
          <w:p>
            <w:pPr>
              <w:jc w:val="right"/>
              <w:spacing w:after="0"/>
              <w:rPr>
                <w:sz w:val="20"/>
                <w:szCs w:val="20"/>
                <w:color w:val="auto"/>
              </w:rPr>
            </w:pPr>
            <w:r>
              <w:rPr>
                <w:rFonts w:ascii="Arial" w:cs="Arial" w:eastAsia="Arial" w:hAnsi="Arial"/>
                <w:sz w:val="13"/>
                <w:szCs w:val="13"/>
                <w:color w:val="auto"/>
              </w:rPr>
              <w:t>$</w:t>
            </w:r>
          </w:p>
        </w:tc>
        <w:tc>
          <w:tcPr>
            <w:tcW w:w="960" w:type="dxa"/>
            <w:vAlign w:val="bottom"/>
          </w:tcPr>
          <w:p>
            <w:pPr>
              <w:jc w:val="right"/>
              <w:ind w:right="37"/>
              <w:spacing w:after="0"/>
              <w:rPr>
                <w:sz w:val="20"/>
                <w:szCs w:val="20"/>
                <w:color w:val="auto"/>
              </w:rPr>
            </w:pPr>
            <w:r>
              <w:rPr>
                <w:rFonts w:ascii="Arial" w:cs="Arial" w:eastAsia="Arial" w:hAnsi="Arial"/>
                <w:sz w:val="13"/>
                <w:szCs w:val="13"/>
                <w:color w:val="auto"/>
              </w:rPr>
              <w:t>2,312,517,069</w:t>
            </w:r>
          </w:p>
        </w:tc>
        <w:tc>
          <w:tcPr>
            <w:tcW w:w="14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000" w:type="dxa"/>
            <w:vAlign w:val="bottom"/>
            <w:vMerge w:val="restart"/>
          </w:tcPr>
          <w:p>
            <w:pPr>
              <w:jc w:val="right"/>
              <w:ind w:right="17"/>
              <w:spacing w:after="0"/>
              <w:rPr>
                <w:sz w:val="20"/>
                <w:szCs w:val="20"/>
                <w:color w:val="auto"/>
              </w:rPr>
            </w:pPr>
            <w:r>
              <w:rPr>
                <w:rFonts w:ascii="Arial" w:cs="Arial" w:eastAsia="Arial" w:hAnsi="Arial"/>
                <w:sz w:val="13"/>
                <w:szCs w:val="13"/>
                <w:color w:val="auto"/>
              </w:rPr>
              <w:t>—</w:t>
            </w:r>
          </w:p>
        </w:tc>
        <w:tc>
          <w:tcPr>
            <w:tcW w:w="16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960" w:type="dxa"/>
            <w:vAlign w:val="bottom"/>
            <w:vMerge w:val="restart"/>
          </w:tcPr>
          <w:p>
            <w:pPr>
              <w:jc w:val="right"/>
              <w:spacing w:after="0"/>
              <w:rPr>
                <w:sz w:val="20"/>
                <w:szCs w:val="20"/>
                <w:color w:val="auto"/>
              </w:rPr>
            </w:pPr>
            <w:r>
              <w:rPr>
                <w:rFonts w:ascii="Arial" w:cs="Arial" w:eastAsia="Arial" w:hAnsi="Arial"/>
                <w:sz w:val="13"/>
                <w:szCs w:val="13"/>
                <w:color w:val="auto"/>
              </w:rPr>
              <w:t>2,312,517,069</w:t>
            </w:r>
          </w:p>
        </w:tc>
        <w:tc>
          <w:tcPr>
            <w:tcW w:w="0" w:type="dxa"/>
            <w:vAlign w:val="bottom"/>
          </w:tcPr>
          <w:p>
            <w:pPr>
              <w:spacing w:after="0"/>
              <w:rPr>
                <w:sz w:val="1"/>
                <w:szCs w:val="1"/>
                <w:color w:val="auto"/>
              </w:rPr>
            </w:pPr>
          </w:p>
        </w:tc>
      </w:tr>
      <w:tr>
        <w:trPr>
          <w:trHeight w:val="135"/>
        </w:trPr>
        <w:tc>
          <w:tcPr>
            <w:tcW w:w="10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40" w:type="dxa"/>
            <w:vAlign w:val="bottom"/>
            <w:vMerge w:val="continue"/>
          </w:tcPr>
          <w:p>
            <w:pPr>
              <w:spacing w:after="0"/>
              <w:rPr>
                <w:sz w:val="11"/>
                <w:szCs w:val="11"/>
                <w:color w:val="auto"/>
              </w:rPr>
            </w:pPr>
          </w:p>
        </w:tc>
        <w:tc>
          <w:tcPr>
            <w:tcW w:w="1000" w:type="dxa"/>
            <w:vAlign w:val="bottom"/>
            <w:vMerge w:val="continue"/>
          </w:tcPr>
          <w:p>
            <w:pPr>
              <w:spacing w:after="0"/>
              <w:rPr>
                <w:sz w:val="11"/>
                <w:szCs w:val="11"/>
                <w:color w:val="auto"/>
              </w:rPr>
            </w:pPr>
          </w:p>
        </w:tc>
        <w:tc>
          <w:tcPr>
            <w:tcW w:w="160" w:type="dxa"/>
            <w:vAlign w:val="bottom"/>
            <w:vMerge w:val="continue"/>
          </w:tcPr>
          <w:p>
            <w:pPr>
              <w:spacing w:after="0"/>
              <w:rPr>
                <w:sz w:val="11"/>
                <w:szCs w:val="11"/>
                <w:color w:val="auto"/>
              </w:rPr>
            </w:pPr>
          </w:p>
        </w:tc>
        <w:tc>
          <w:tcPr>
            <w:tcW w:w="9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310"/>
        </w:trPr>
        <w:tc>
          <w:tcPr>
            <w:tcW w:w="1060" w:type="dxa"/>
            <w:vAlign w:val="bottom"/>
          </w:tcPr>
          <w:p>
            <w:pPr>
              <w:jc w:val="right"/>
              <w:ind w:right="17"/>
              <w:spacing w:after="0"/>
              <w:rPr>
                <w:sz w:val="20"/>
                <w:szCs w:val="20"/>
                <w:color w:val="auto"/>
              </w:rPr>
            </w:pPr>
            <w:r>
              <w:rPr>
                <w:rFonts w:ascii="Arial" w:cs="Arial" w:eastAsia="Arial" w:hAnsi="Arial"/>
                <w:sz w:val="13"/>
                <w:szCs w:val="13"/>
                <w:color w:val="auto"/>
              </w:rPr>
              <w:t>944,345</w:t>
            </w:r>
          </w:p>
        </w:tc>
        <w:tc>
          <w:tcPr>
            <w:tcW w:w="220" w:type="dxa"/>
            <w:vAlign w:val="bottom"/>
          </w:tcPr>
          <w:p>
            <w:pPr>
              <w:spacing w:after="0"/>
              <w:rPr>
                <w:sz w:val="24"/>
                <w:szCs w:val="24"/>
                <w:color w:val="auto"/>
              </w:rPr>
            </w:pPr>
          </w:p>
        </w:tc>
        <w:tc>
          <w:tcPr>
            <w:tcW w:w="900" w:type="dxa"/>
            <w:vAlign w:val="bottom"/>
          </w:tcPr>
          <w:p>
            <w:pPr>
              <w:jc w:val="right"/>
              <w:ind w:right="17"/>
              <w:spacing w:after="0"/>
              <w:rPr>
                <w:sz w:val="20"/>
                <w:szCs w:val="20"/>
                <w:color w:val="auto"/>
              </w:rPr>
            </w:pPr>
            <w:r>
              <w:rPr>
                <w:rFonts w:ascii="Arial" w:cs="Arial" w:eastAsia="Arial" w:hAnsi="Arial"/>
                <w:sz w:val="13"/>
                <w:szCs w:val="13"/>
                <w:color w:val="auto"/>
              </w:rPr>
              <w:t>56,661</w:t>
            </w:r>
          </w:p>
        </w:tc>
        <w:tc>
          <w:tcPr>
            <w:tcW w:w="200" w:type="dxa"/>
            <w:vAlign w:val="bottom"/>
          </w:tcPr>
          <w:p>
            <w:pPr>
              <w:spacing w:after="0"/>
              <w:rPr>
                <w:sz w:val="24"/>
                <w:szCs w:val="24"/>
                <w:color w:val="auto"/>
              </w:rPr>
            </w:pPr>
          </w:p>
        </w:tc>
        <w:tc>
          <w:tcPr>
            <w:tcW w:w="960" w:type="dxa"/>
            <w:vAlign w:val="bottom"/>
          </w:tcPr>
          <w:p>
            <w:pPr>
              <w:jc w:val="right"/>
              <w:ind w:right="37"/>
              <w:spacing w:after="0"/>
              <w:rPr>
                <w:sz w:val="20"/>
                <w:szCs w:val="20"/>
                <w:color w:val="auto"/>
              </w:rPr>
            </w:pPr>
            <w:r>
              <w:rPr>
                <w:rFonts w:ascii="Arial" w:cs="Arial" w:eastAsia="Arial" w:hAnsi="Arial"/>
                <w:sz w:val="13"/>
                <w:szCs w:val="13"/>
                <w:color w:val="auto"/>
              </w:rPr>
              <w:t>16,777,325</w:t>
            </w:r>
          </w:p>
        </w:tc>
        <w:tc>
          <w:tcPr>
            <w:tcW w:w="220" w:type="dxa"/>
            <w:vAlign w:val="bottom"/>
          </w:tcPr>
          <w:p>
            <w:pPr>
              <w:spacing w:after="0"/>
              <w:rPr>
                <w:sz w:val="24"/>
                <w:szCs w:val="24"/>
                <w:color w:val="auto"/>
              </w:rPr>
            </w:pPr>
          </w:p>
        </w:tc>
        <w:tc>
          <w:tcPr>
            <w:tcW w:w="96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4"/>
                <w:szCs w:val="24"/>
                <w:color w:val="auto"/>
              </w:rPr>
            </w:pPr>
          </w:p>
        </w:tc>
        <w:tc>
          <w:tcPr>
            <w:tcW w:w="116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24"/>
                <w:szCs w:val="24"/>
                <w:color w:val="auto"/>
              </w:rPr>
            </w:pPr>
          </w:p>
        </w:tc>
        <w:tc>
          <w:tcPr>
            <w:tcW w:w="960" w:type="dxa"/>
            <w:vAlign w:val="bottom"/>
          </w:tcPr>
          <w:p>
            <w:pPr>
              <w:jc w:val="right"/>
              <w:ind w:right="37"/>
              <w:spacing w:after="0"/>
              <w:rPr>
                <w:sz w:val="20"/>
                <w:szCs w:val="20"/>
                <w:color w:val="auto"/>
              </w:rPr>
            </w:pPr>
            <w:r>
              <w:rPr>
                <w:rFonts w:ascii="Arial" w:cs="Arial" w:eastAsia="Arial" w:hAnsi="Arial"/>
                <w:sz w:val="13"/>
                <w:szCs w:val="13"/>
                <w:color w:val="auto"/>
              </w:rPr>
              <w:t>16,833,986</w:t>
            </w:r>
          </w:p>
        </w:tc>
        <w:tc>
          <w:tcPr>
            <w:tcW w:w="140" w:type="dxa"/>
            <w:vAlign w:val="bottom"/>
          </w:tcPr>
          <w:p>
            <w:pPr>
              <w:spacing w:after="0"/>
              <w:rPr>
                <w:sz w:val="24"/>
                <w:szCs w:val="24"/>
                <w:color w:val="auto"/>
              </w:rPr>
            </w:pPr>
          </w:p>
        </w:tc>
        <w:tc>
          <w:tcPr>
            <w:tcW w:w="100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16,833,986</w:t>
            </w:r>
          </w:p>
        </w:tc>
        <w:tc>
          <w:tcPr>
            <w:tcW w:w="0" w:type="dxa"/>
            <w:vAlign w:val="bottom"/>
          </w:tcPr>
          <w:p>
            <w:pPr>
              <w:spacing w:after="0"/>
              <w:rPr>
                <w:sz w:val="1"/>
                <w:szCs w:val="1"/>
                <w:color w:val="auto"/>
              </w:rPr>
            </w:pPr>
          </w:p>
        </w:tc>
      </w:tr>
      <w:tr>
        <w:trPr>
          <w:trHeight w:val="175"/>
        </w:trPr>
        <w:tc>
          <w:tcPr>
            <w:tcW w:w="1060" w:type="dxa"/>
            <w:vAlign w:val="bottom"/>
          </w:tcPr>
          <w:p>
            <w:pPr>
              <w:jc w:val="right"/>
              <w:spacing w:after="0"/>
              <w:rPr>
                <w:sz w:val="20"/>
                <w:szCs w:val="20"/>
                <w:color w:val="auto"/>
              </w:rPr>
            </w:pPr>
            <w:r>
              <w:rPr>
                <w:rFonts w:ascii="Arial" w:cs="Arial" w:eastAsia="Arial" w:hAnsi="Arial"/>
                <w:sz w:val="13"/>
                <w:szCs w:val="13"/>
                <w:color w:val="auto"/>
              </w:rPr>
              <w:t>(1,200,903)</w:t>
            </w:r>
          </w:p>
        </w:tc>
        <w:tc>
          <w:tcPr>
            <w:tcW w:w="2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(72,054)</w:t>
            </w:r>
          </w:p>
        </w:tc>
        <w:tc>
          <w:tcPr>
            <w:tcW w:w="2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(4,443,340)</w:t>
            </w:r>
          </w:p>
        </w:tc>
        <w:tc>
          <w:tcPr>
            <w:tcW w:w="220" w:type="dxa"/>
            <w:vAlign w:val="bottom"/>
          </w:tcPr>
          <w:p>
            <w:pPr>
              <w:spacing w:after="0"/>
              <w:rPr>
                <w:sz w:val="15"/>
                <w:szCs w:val="15"/>
                <w:color w:val="auto"/>
              </w:rPr>
            </w:pPr>
          </w:p>
        </w:tc>
        <w:tc>
          <w:tcPr>
            <w:tcW w:w="960" w:type="dxa"/>
            <w:vAlign w:val="bottom"/>
          </w:tcPr>
          <w:p>
            <w:pPr>
              <w:jc w:val="right"/>
              <w:ind w:right="17"/>
              <w:spacing w:after="0"/>
              <w:rPr>
                <w:sz w:val="20"/>
                <w:szCs w:val="20"/>
                <w:color w:val="auto"/>
              </w:rPr>
            </w:pPr>
            <w:r>
              <w:rPr>
                <w:rFonts w:ascii="Arial" w:cs="Arial" w:eastAsia="Arial" w:hAnsi="Arial"/>
                <w:sz w:val="13"/>
                <w:szCs w:val="13"/>
                <w:color w:val="auto"/>
              </w:rPr>
              <w:t>(38,523,693)</w:t>
            </w:r>
          </w:p>
        </w:tc>
        <w:tc>
          <w:tcPr>
            <w:tcW w:w="160" w:type="dxa"/>
            <w:vAlign w:val="bottom"/>
          </w:tcPr>
          <w:p>
            <w:pPr>
              <w:spacing w:after="0"/>
              <w:rPr>
                <w:sz w:val="15"/>
                <w:szCs w:val="15"/>
                <w:color w:val="auto"/>
              </w:rPr>
            </w:pPr>
          </w:p>
        </w:tc>
        <w:tc>
          <w:tcPr>
            <w:tcW w:w="116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(43,039,087)</w:t>
            </w:r>
          </w:p>
        </w:tc>
        <w:tc>
          <w:tcPr>
            <w:tcW w:w="140" w:type="dxa"/>
            <w:vAlign w:val="bottom"/>
          </w:tcPr>
          <w:p>
            <w:pPr>
              <w:spacing w:after="0"/>
              <w:rPr>
                <w:sz w:val="15"/>
                <w:szCs w:val="15"/>
                <w:color w:val="auto"/>
              </w:rPr>
            </w:pPr>
          </w:p>
        </w:tc>
        <w:tc>
          <w:tcPr>
            <w:tcW w:w="100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(43,039,087)</w:t>
            </w:r>
          </w:p>
        </w:tc>
        <w:tc>
          <w:tcPr>
            <w:tcW w:w="0" w:type="dxa"/>
            <w:vAlign w:val="bottom"/>
          </w:tcPr>
          <w:p>
            <w:pPr>
              <w:spacing w:after="0"/>
              <w:rPr>
                <w:sz w:val="1"/>
                <w:szCs w:val="1"/>
                <w:color w:val="auto"/>
              </w:rPr>
            </w:pPr>
          </w:p>
        </w:tc>
      </w:tr>
      <w:tr>
        <w:trPr>
          <w:trHeight w:val="553"/>
        </w:trPr>
        <w:tc>
          <w:tcPr>
            <w:tcW w:w="106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24"/>
                <w:szCs w:val="24"/>
                <w:color w:val="auto"/>
              </w:rPr>
            </w:pPr>
          </w:p>
        </w:tc>
        <w:tc>
          <w:tcPr>
            <w:tcW w:w="90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24"/>
                <w:szCs w:val="24"/>
                <w:color w:val="auto"/>
              </w:rPr>
            </w:pPr>
          </w:p>
        </w:tc>
        <w:tc>
          <w:tcPr>
            <w:tcW w:w="960" w:type="dxa"/>
            <w:vAlign w:val="bottom"/>
          </w:tcPr>
          <w:p>
            <w:pPr>
              <w:jc w:val="right"/>
              <w:ind w:right="37"/>
              <w:spacing w:after="0"/>
              <w:rPr>
                <w:sz w:val="20"/>
                <w:szCs w:val="20"/>
                <w:color w:val="auto"/>
              </w:rPr>
            </w:pPr>
            <w:r>
              <w:rPr>
                <w:rFonts w:ascii="Arial" w:cs="Arial" w:eastAsia="Arial" w:hAnsi="Arial"/>
                <w:sz w:val="13"/>
                <w:szCs w:val="13"/>
                <w:color w:val="auto"/>
              </w:rPr>
              <w:t>10,473,792</w:t>
            </w:r>
          </w:p>
        </w:tc>
        <w:tc>
          <w:tcPr>
            <w:tcW w:w="220" w:type="dxa"/>
            <w:vAlign w:val="bottom"/>
          </w:tcPr>
          <w:p>
            <w:pPr>
              <w:spacing w:after="0"/>
              <w:rPr>
                <w:sz w:val="24"/>
                <w:szCs w:val="24"/>
                <w:color w:val="auto"/>
              </w:rPr>
            </w:pPr>
          </w:p>
        </w:tc>
        <w:tc>
          <w:tcPr>
            <w:tcW w:w="96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4"/>
                <w:szCs w:val="24"/>
                <w:color w:val="auto"/>
              </w:rPr>
            </w:pPr>
          </w:p>
        </w:tc>
        <w:tc>
          <w:tcPr>
            <w:tcW w:w="116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24"/>
                <w:szCs w:val="24"/>
                <w:color w:val="auto"/>
              </w:rPr>
            </w:pPr>
          </w:p>
        </w:tc>
        <w:tc>
          <w:tcPr>
            <w:tcW w:w="960" w:type="dxa"/>
            <w:vAlign w:val="bottom"/>
          </w:tcPr>
          <w:p>
            <w:pPr>
              <w:jc w:val="right"/>
              <w:ind w:right="37"/>
              <w:spacing w:after="0"/>
              <w:rPr>
                <w:sz w:val="20"/>
                <w:szCs w:val="20"/>
                <w:color w:val="auto"/>
              </w:rPr>
            </w:pPr>
            <w:r>
              <w:rPr>
                <w:rFonts w:ascii="Arial" w:cs="Arial" w:eastAsia="Arial" w:hAnsi="Arial"/>
                <w:sz w:val="13"/>
                <w:szCs w:val="13"/>
                <w:color w:val="auto"/>
              </w:rPr>
              <w:t>10,473,792</w:t>
            </w:r>
          </w:p>
        </w:tc>
        <w:tc>
          <w:tcPr>
            <w:tcW w:w="140" w:type="dxa"/>
            <w:vAlign w:val="bottom"/>
          </w:tcPr>
          <w:p>
            <w:pPr>
              <w:spacing w:after="0"/>
              <w:rPr>
                <w:sz w:val="24"/>
                <w:szCs w:val="24"/>
                <w:color w:val="auto"/>
              </w:rPr>
            </w:pPr>
          </w:p>
        </w:tc>
        <w:tc>
          <w:tcPr>
            <w:tcW w:w="100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10,473,792</w:t>
            </w:r>
          </w:p>
        </w:tc>
        <w:tc>
          <w:tcPr>
            <w:tcW w:w="0" w:type="dxa"/>
            <w:vAlign w:val="bottom"/>
          </w:tcPr>
          <w:p>
            <w:pPr>
              <w:spacing w:after="0"/>
              <w:rPr>
                <w:sz w:val="1"/>
                <w:szCs w:val="1"/>
                <w:color w:val="auto"/>
              </w:rPr>
            </w:pPr>
          </w:p>
        </w:tc>
      </w:tr>
      <w:tr>
        <w:trPr>
          <w:trHeight w:val="351"/>
        </w:trPr>
        <w:tc>
          <w:tcPr>
            <w:tcW w:w="106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24"/>
                <w:szCs w:val="24"/>
                <w:color w:val="auto"/>
              </w:rPr>
            </w:pPr>
          </w:p>
        </w:tc>
        <w:tc>
          <w:tcPr>
            <w:tcW w:w="90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24"/>
                <w:szCs w:val="24"/>
                <w:color w:val="auto"/>
              </w:rPr>
            </w:pPr>
          </w:p>
        </w:tc>
        <w:tc>
          <w:tcPr>
            <w:tcW w:w="96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24"/>
                <w:szCs w:val="24"/>
                <w:color w:val="auto"/>
              </w:rPr>
            </w:pPr>
          </w:p>
        </w:tc>
        <w:tc>
          <w:tcPr>
            <w:tcW w:w="960" w:type="dxa"/>
            <w:vAlign w:val="bottom"/>
          </w:tcPr>
          <w:p>
            <w:pPr>
              <w:jc w:val="right"/>
              <w:ind w:right="17"/>
              <w:spacing w:after="0"/>
              <w:rPr>
                <w:sz w:val="20"/>
                <w:szCs w:val="20"/>
                <w:color w:val="auto"/>
              </w:rPr>
            </w:pPr>
            <w:r>
              <w:rPr>
                <w:rFonts w:ascii="Arial" w:cs="Arial" w:eastAsia="Arial" w:hAnsi="Arial"/>
                <w:sz w:val="13"/>
                <w:szCs w:val="13"/>
                <w:color w:val="auto"/>
              </w:rPr>
              <w:t>(27,743,481)</w:t>
            </w:r>
          </w:p>
        </w:tc>
        <w:tc>
          <w:tcPr>
            <w:tcW w:w="160" w:type="dxa"/>
            <w:vAlign w:val="bottom"/>
          </w:tcPr>
          <w:p>
            <w:pPr>
              <w:spacing w:after="0"/>
              <w:rPr>
                <w:sz w:val="24"/>
                <w:szCs w:val="24"/>
                <w:color w:val="auto"/>
              </w:rPr>
            </w:pPr>
          </w:p>
        </w:tc>
        <w:tc>
          <w:tcPr>
            <w:tcW w:w="116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(27,743,481)</w:t>
            </w:r>
          </w:p>
        </w:tc>
        <w:tc>
          <w:tcPr>
            <w:tcW w:w="140" w:type="dxa"/>
            <w:vAlign w:val="bottom"/>
          </w:tcPr>
          <w:p>
            <w:pPr>
              <w:spacing w:after="0"/>
              <w:rPr>
                <w:sz w:val="24"/>
                <w:szCs w:val="24"/>
                <w:color w:val="auto"/>
              </w:rPr>
            </w:pPr>
          </w:p>
        </w:tc>
        <w:tc>
          <w:tcPr>
            <w:tcW w:w="100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(27,743,481)</w:t>
            </w:r>
          </w:p>
        </w:tc>
        <w:tc>
          <w:tcPr>
            <w:tcW w:w="0" w:type="dxa"/>
            <w:vAlign w:val="bottom"/>
          </w:tcPr>
          <w:p>
            <w:pPr>
              <w:spacing w:after="0"/>
              <w:rPr>
                <w:sz w:val="1"/>
                <w:szCs w:val="1"/>
                <w:color w:val="auto"/>
              </w:rPr>
            </w:pPr>
          </w:p>
        </w:tc>
      </w:tr>
      <w:tr>
        <w:trPr>
          <w:trHeight w:val="175"/>
        </w:trPr>
        <w:tc>
          <w:tcPr>
            <w:tcW w:w="106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5"/>
                <w:szCs w:val="15"/>
                <w:color w:val="auto"/>
              </w:rPr>
            </w:pPr>
          </w:p>
        </w:tc>
        <w:tc>
          <w:tcPr>
            <w:tcW w:w="90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5"/>
                <w:szCs w:val="15"/>
                <w:color w:val="auto"/>
              </w:rPr>
            </w:pPr>
          </w:p>
        </w:tc>
        <w:tc>
          <w:tcPr>
            <w:tcW w:w="96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5"/>
                <w:szCs w:val="15"/>
                <w:color w:val="auto"/>
              </w:rPr>
            </w:pPr>
          </w:p>
        </w:tc>
        <w:tc>
          <w:tcPr>
            <w:tcW w:w="960" w:type="dxa"/>
            <w:vAlign w:val="bottom"/>
          </w:tcPr>
          <w:p>
            <w:pPr>
              <w:jc w:val="right"/>
              <w:ind w:right="37"/>
              <w:spacing w:after="0"/>
              <w:rPr>
                <w:sz w:val="20"/>
                <w:szCs w:val="20"/>
                <w:color w:val="auto"/>
              </w:rPr>
            </w:pPr>
            <w:r>
              <w:rPr>
                <w:rFonts w:ascii="Arial" w:cs="Arial" w:eastAsia="Arial" w:hAnsi="Arial"/>
                <w:sz w:val="13"/>
                <w:szCs w:val="13"/>
                <w:color w:val="auto"/>
              </w:rPr>
              <w:t>108,230,714</w:t>
            </w:r>
          </w:p>
        </w:tc>
        <w:tc>
          <w:tcPr>
            <w:tcW w:w="160" w:type="dxa"/>
            <w:vAlign w:val="bottom"/>
          </w:tcPr>
          <w:p>
            <w:pPr>
              <w:spacing w:after="0"/>
              <w:rPr>
                <w:sz w:val="15"/>
                <w:szCs w:val="15"/>
                <w:color w:val="auto"/>
              </w:rPr>
            </w:pPr>
          </w:p>
        </w:tc>
        <w:tc>
          <w:tcPr>
            <w:tcW w:w="116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960" w:type="dxa"/>
            <w:vAlign w:val="bottom"/>
          </w:tcPr>
          <w:p>
            <w:pPr>
              <w:jc w:val="right"/>
              <w:ind w:right="37"/>
              <w:spacing w:after="0"/>
              <w:rPr>
                <w:sz w:val="20"/>
                <w:szCs w:val="20"/>
                <w:color w:val="auto"/>
              </w:rPr>
            </w:pPr>
            <w:r>
              <w:rPr>
                <w:rFonts w:ascii="Arial" w:cs="Arial" w:eastAsia="Arial" w:hAnsi="Arial"/>
                <w:sz w:val="13"/>
                <w:szCs w:val="13"/>
                <w:color w:val="auto"/>
              </w:rPr>
              <w:t>108,230,714</w:t>
            </w:r>
          </w:p>
        </w:tc>
        <w:tc>
          <w:tcPr>
            <w:tcW w:w="140" w:type="dxa"/>
            <w:vAlign w:val="bottom"/>
          </w:tcPr>
          <w:p>
            <w:pPr>
              <w:spacing w:after="0"/>
              <w:rPr>
                <w:sz w:val="15"/>
                <w:szCs w:val="15"/>
                <w:color w:val="auto"/>
              </w:rPr>
            </w:pPr>
          </w:p>
        </w:tc>
        <w:tc>
          <w:tcPr>
            <w:tcW w:w="100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108,230,714</w:t>
            </w:r>
          </w:p>
        </w:tc>
        <w:tc>
          <w:tcPr>
            <w:tcW w:w="0" w:type="dxa"/>
            <w:vAlign w:val="bottom"/>
          </w:tcPr>
          <w:p>
            <w:pPr>
              <w:spacing w:after="0"/>
              <w:rPr>
                <w:sz w:val="1"/>
                <w:szCs w:val="1"/>
                <w:color w:val="auto"/>
              </w:rPr>
            </w:pPr>
          </w:p>
        </w:tc>
      </w:tr>
      <w:tr>
        <w:trPr>
          <w:trHeight w:val="183"/>
        </w:trPr>
        <w:tc>
          <w:tcPr>
            <w:tcW w:w="106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w:t>
            </w:r>
          </w:p>
        </w:tc>
        <w:tc>
          <w:tcPr>
            <w:tcW w:w="2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w:t>
            </w:r>
          </w:p>
        </w:tc>
        <w:tc>
          <w:tcPr>
            <w:tcW w:w="2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w:t>
            </w:r>
          </w:p>
        </w:tc>
        <w:tc>
          <w:tcPr>
            <w:tcW w:w="2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w:t>
            </w:r>
          </w:p>
        </w:tc>
        <w:tc>
          <w:tcPr>
            <w:tcW w:w="1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(909,204)</w:t>
            </w:r>
          </w:p>
        </w:tc>
        <w:tc>
          <w:tcPr>
            <w:tcW w:w="1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(909,204)</w:t>
            </w:r>
          </w:p>
        </w:tc>
        <w:tc>
          <w:tcPr>
            <w:tcW w:w="1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w:t>
            </w:r>
          </w:p>
        </w:tc>
        <w:tc>
          <w:tcPr>
            <w:tcW w:w="1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(909,204)</w:t>
            </w:r>
          </w:p>
        </w:tc>
        <w:tc>
          <w:tcPr>
            <w:tcW w:w="0" w:type="dxa"/>
            <w:vAlign w:val="bottom"/>
          </w:tcPr>
          <w:p>
            <w:pPr>
              <w:spacing w:after="0"/>
              <w:rPr>
                <w:sz w:val="1"/>
                <w:szCs w:val="1"/>
                <w:color w:val="auto"/>
              </w:rPr>
            </w:pPr>
          </w:p>
        </w:tc>
      </w:tr>
      <w:tr>
        <w:trPr>
          <w:trHeight w:val="166"/>
        </w:trPr>
        <w:tc>
          <w:tcPr>
            <w:tcW w:w="1060" w:type="dxa"/>
            <w:vAlign w:val="bottom"/>
          </w:tcPr>
          <w:p>
            <w:pPr>
              <w:jc w:val="right"/>
              <w:ind w:right="17"/>
              <w:spacing w:after="0"/>
              <w:rPr>
                <w:sz w:val="20"/>
                <w:szCs w:val="20"/>
                <w:color w:val="auto"/>
              </w:rPr>
            </w:pPr>
            <w:r>
              <w:rPr>
                <w:rFonts w:ascii="Arial" w:cs="Arial" w:eastAsia="Arial" w:hAnsi="Arial"/>
                <w:sz w:val="13"/>
                <w:szCs w:val="13"/>
                <w:color w:val="auto"/>
              </w:rPr>
              <w:t>231,198,885</w:t>
            </w:r>
          </w:p>
        </w:tc>
        <w:tc>
          <w:tcPr>
            <w:tcW w:w="22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900" w:type="dxa"/>
            <w:vAlign w:val="bottom"/>
          </w:tcPr>
          <w:p>
            <w:pPr>
              <w:jc w:val="right"/>
              <w:ind w:right="17"/>
              <w:spacing w:after="0"/>
              <w:rPr>
                <w:sz w:val="20"/>
                <w:szCs w:val="20"/>
                <w:color w:val="auto"/>
              </w:rPr>
            </w:pPr>
            <w:r>
              <w:rPr>
                <w:rFonts w:ascii="Arial" w:cs="Arial" w:eastAsia="Arial" w:hAnsi="Arial"/>
                <w:sz w:val="13"/>
                <w:szCs w:val="13"/>
                <w:color w:val="auto"/>
              </w:rPr>
              <w:t>13,871,933</w:t>
            </w:r>
          </w:p>
        </w:tc>
        <w:tc>
          <w:tcPr>
            <w:tcW w:w="200" w:type="dxa"/>
            <w:vAlign w:val="bottom"/>
          </w:tcPr>
          <w:p>
            <w:pPr>
              <w:jc w:val="right"/>
              <w:spacing w:after="0"/>
              <w:rPr>
                <w:sz w:val="20"/>
                <w:szCs w:val="20"/>
                <w:color w:val="auto"/>
              </w:rPr>
            </w:pPr>
            <w:r>
              <w:rPr>
                <w:rFonts w:ascii="Arial" w:cs="Arial" w:eastAsia="Arial" w:hAnsi="Arial"/>
                <w:sz w:val="13"/>
                <w:szCs w:val="13"/>
                <w:color w:val="auto"/>
              </w:rPr>
              <w:t>$</w:t>
            </w:r>
          </w:p>
        </w:tc>
        <w:tc>
          <w:tcPr>
            <w:tcW w:w="960" w:type="dxa"/>
            <w:vAlign w:val="bottom"/>
          </w:tcPr>
          <w:p>
            <w:pPr>
              <w:jc w:val="right"/>
              <w:ind w:right="37"/>
              <w:spacing w:after="0"/>
              <w:rPr>
                <w:sz w:val="20"/>
                <w:szCs w:val="20"/>
                <w:color w:val="auto"/>
              </w:rPr>
            </w:pPr>
            <w:r>
              <w:rPr>
                <w:rFonts w:ascii="Arial" w:cs="Arial" w:eastAsia="Arial" w:hAnsi="Arial"/>
                <w:sz w:val="13"/>
                <w:szCs w:val="13"/>
                <w:color w:val="auto"/>
              </w:rPr>
              <w:t>991,053,652</w:t>
            </w:r>
          </w:p>
        </w:tc>
        <w:tc>
          <w:tcPr>
            <w:tcW w:w="220" w:type="dxa"/>
            <w:vAlign w:val="bottom"/>
          </w:tcPr>
          <w:p>
            <w:pPr>
              <w:jc w:val="right"/>
              <w:spacing w:after="0"/>
              <w:rPr>
                <w:sz w:val="20"/>
                <w:szCs w:val="20"/>
                <w:color w:val="auto"/>
              </w:rPr>
            </w:pPr>
            <w:r>
              <w:rPr>
                <w:rFonts w:ascii="Arial" w:cs="Arial" w:eastAsia="Arial" w:hAnsi="Arial"/>
                <w:sz w:val="13"/>
                <w:szCs w:val="13"/>
                <w:color w:val="auto"/>
              </w:rPr>
              <w:t>$</w:t>
            </w:r>
          </w:p>
        </w:tc>
        <w:tc>
          <w:tcPr>
            <w:tcW w:w="960" w:type="dxa"/>
            <w:vAlign w:val="bottom"/>
          </w:tcPr>
          <w:p>
            <w:pPr>
              <w:jc w:val="right"/>
              <w:ind w:right="37"/>
              <w:spacing w:after="0"/>
              <w:rPr>
                <w:sz w:val="20"/>
                <w:szCs w:val="20"/>
                <w:color w:val="auto"/>
              </w:rPr>
            </w:pPr>
            <w:r>
              <w:rPr>
                <w:rFonts w:ascii="Arial" w:cs="Arial" w:eastAsia="Arial" w:hAnsi="Arial"/>
                <w:sz w:val="13"/>
                <w:szCs w:val="13"/>
                <w:color w:val="auto"/>
              </w:rPr>
              <w:t>1,378,904,530</w:t>
            </w: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1160" w:type="dxa"/>
            <w:vAlign w:val="bottom"/>
          </w:tcPr>
          <w:p>
            <w:pPr>
              <w:jc w:val="right"/>
              <w:spacing w:after="0"/>
              <w:rPr>
                <w:sz w:val="20"/>
                <w:szCs w:val="20"/>
                <w:color w:val="auto"/>
              </w:rPr>
            </w:pPr>
            <w:r>
              <w:rPr>
                <w:rFonts w:ascii="Arial" w:cs="Arial" w:eastAsia="Arial" w:hAnsi="Arial"/>
                <w:sz w:val="13"/>
                <w:szCs w:val="13"/>
                <w:color w:val="auto"/>
              </w:rPr>
              <w:t>(7,466,326)</w:t>
            </w:r>
          </w:p>
        </w:tc>
        <w:tc>
          <w:tcPr>
            <w:tcW w:w="180" w:type="dxa"/>
            <w:vAlign w:val="bottom"/>
          </w:tcPr>
          <w:p>
            <w:pPr>
              <w:jc w:val="right"/>
              <w:spacing w:after="0"/>
              <w:rPr>
                <w:sz w:val="20"/>
                <w:szCs w:val="20"/>
                <w:color w:val="auto"/>
              </w:rPr>
            </w:pPr>
            <w:r>
              <w:rPr>
                <w:rFonts w:ascii="Arial" w:cs="Arial" w:eastAsia="Arial" w:hAnsi="Arial"/>
                <w:sz w:val="13"/>
                <w:szCs w:val="13"/>
                <w:color w:val="auto"/>
              </w:rPr>
              <w:t>$</w:t>
            </w:r>
          </w:p>
        </w:tc>
        <w:tc>
          <w:tcPr>
            <w:tcW w:w="960" w:type="dxa"/>
            <w:vAlign w:val="bottom"/>
          </w:tcPr>
          <w:p>
            <w:pPr>
              <w:jc w:val="right"/>
              <w:ind w:right="37"/>
              <w:spacing w:after="0"/>
              <w:rPr>
                <w:sz w:val="20"/>
                <w:szCs w:val="20"/>
                <w:color w:val="auto"/>
              </w:rPr>
            </w:pPr>
            <w:r>
              <w:rPr>
                <w:rFonts w:ascii="Arial" w:cs="Arial" w:eastAsia="Arial" w:hAnsi="Arial"/>
                <w:sz w:val="13"/>
                <w:szCs w:val="13"/>
                <w:color w:val="auto"/>
              </w:rPr>
              <w:t>2,376,363,789</w:t>
            </w: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100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960" w:type="dxa"/>
            <w:vAlign w:val="bottom"/>
          </w:tcPr>
          <w:p>
            <w:pPr>
              <w:jc w:val="right"/>
              <w:spacing w:after="0"/>
              <w:rPr>
                <w:sz w:val="20"/>
                <w:szCs w:val="20"/>
                <w:color w:val="auto"/>
              </w:rPr>
            </w:pPr>
            <w:r>
              <w:rPr>
                <w:rFonts w:ascii="Arial" w:cs="Arial" w:eastAsia="Arial" w:hAnsi="Arial"/>
                <w:sz w:val="13"/>
                <w:szCs w:val="13"/>
                <w:color w:val="auto"/>
              </w:rPr>
              <w:t>2,376,363,789</w:t>
            </w:r>
          </w:p>
        </w:tc>
        <w:tc>
          <w:tcPr>
            <w:tcW w:w="0" w:type="dxa"/>
            <w:vAlign w:val="bottom"/>
          </w:tcPr>
          <w:p>
            <w:pPr>
              <w:spacing w:after="0"/>
              <w:rPr>
                <w:sz w:val="1"/>
                <w:szCs w:val="1"/>
                <w:color w:val="auto"/>
              </w:rPr>
            </w:pPr>
          </w:p>
        </w:tc>
      </w:tr>
      <w:tr>
        <w:trPr>
          <w:trHeight w:val="104"/>
        </w:trPr>
        <w:tc>
          <w:tcPr>
            <w:tcW w:w="106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96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96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116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96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96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10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-1264285</wp:posOffset>
            </wp:positionH>
            <wp:positionV relativeFrom="paragraph">
              <wp:posOffset>-3299460</wp:posOffset>
            </wp:positionV>
            <wp:extent cx="7132320" cy="1968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96850"/>
                    </a:xfrm>
                    <a:prstGeom prst="rect">
                      <a:avLst/>
                    </a:prstGeom>
                    <a:noFill/>
                  </pic:spPr>
                </pic:pic>
              </a:graphicData>
            </a:graphic>
          </wp:anchor>
        </w:drawing>
        <w:drawing>
          <wp:anchor simplePos="0" relativeHeight="251657728" behindDoc="1" locked="0" layoutInCell="0" allowOverlap="1">
            <wp:simplePos x="0" y="0"/>
            <wp:positionH relativeFrom="column">
              <wp:posOffset>-1264285</wp:posOffset>
            </wp:positionH>
            <wp:positionV relativeFrom="paragraph">
              <wp:posOffset>-2905125</wp:posOffset>
            </wp:positionV>
            <wp:extent cx="7132320" cy="11112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11125"/>
                    </a:xfrm>
                    <a:prstGeom prst="rect">
                      <a:avLst/>
                    </a:prstGeom>
                    <a:noFill/>
                  </pic:spPr>
                </pic:pic>
              </a:graphicData>
            </a:graphic>
          </wp:anchor>
        </w:drawing>
        <w:drawing>
          <wp:anchor simplePos="0" relativeHeight="251657728" behindDoc="1" locked="0" layoutInCell="0" allowOverlap="1">
            <wp:simplePos x="0" y="0"/>
            <wp:positionH relativeFrom="column">
              <wp:posOffset>-1264285</wp:posOffset>
            </wp:positionH>
            <wp:positionV relativeFrom="paragraph">
              <wp:posOffset>-2442210</wp:posOffset>
            </wp:positionV>
            <wp:extent cx="7132320" cy="22288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222885"/>
                    </a:xfrm>
                    <a:prstGeom prst="rect">
                      <a:avLst/>
                    </a:prstGeom>
                    <a:noFill/>
                  </pic:spPr>
                </pic:pic>
              </a:graphicData>
            </a:graphic>
          </wp:anchor>
        </w:drawing>
        <w:drawing>
          <wp:anchor simplePos="0" relativeHeight="251657728" behindDoc="1" locked="0" layoutInCell="0" allowOverlap="1">
            <wp:simplePos x="0" y="0"/>
            <wp:positionH relativeFrom="column">
              <wp:posOffset>-1264285</wp:posOffset>
            </wp:positionH>
            <wp:positionV relativeFrom="paragraph">
              <wp:posOffset>-2108200</wp:posOffset>
            </wp:positionV>
            <wp:extent cx="7132320" cy="11176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11760"/>
                    </a:xfrm>
                    <a:prstGeom prst="rect">
                      <a:avLst/>
                    </a:prstGeom>
                    <a:noFill/>
                  </pic:spPr>
                </pic:pic>
              </a:graphicData>
            </a:graphic>
          </wp:anchor>
        </w:drawing>
        <w:drawing>
          <wp:anchor simplePos="0" relativeHeight="251657728" behindDoc="1" locked="0" layoutInCell="0" allowOverlap="1">
            <wp:simplePos x="0" y="0"/>
            <wp:positionH relativeFrom="column">
              <wp:posOffset>-1264285</wp:posOffset>
            </wp:positionH>
            <wp:positionV relativeFrom="paragraph">
              <wp:posOffset>-1885315</wp:posOffset>
            </wp:positionV>
            <wp:extent cx="7132320" cy="1968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96850"/>
                    </a:xfrm>
                    <a:prstGeom prst="rect">
                      <a:avLst/>
                    </a:prstGeom>
                    <a:noFill/>
                  </pic:spPr>
                </pic:pic>
              </a:graphicData>
            </a:graphic>
          </wp:anchor>
        </w:drawing>
        <w:drawing>
          <wp:anchor simplePos="0" relativeHeight="251657728" behindDoc="1" locked="0" layoutInCell="0" allowOverlap="1">
            <wp:simplePos x="0" y="0"/>
            <wp:positionH relativeFrom="column">
              <wp:posOffset>-1264285</wp:posOffset>
            </wp:positionH>
            <wp:positionV relativeFrom="paragraph">
              <wp:posOffset>-1517015</wp:posOffset>
            </wp:positionV>
            <wp:extent cx="7132320" cy="19748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97485"/>
                    </a:xfrm>
                    <a:prstGeom prst="rect">
                      <a:avLst/>
                    </a:prstGeom>
                    <a:noFill/>
                  </pic:spPr>
                </pic:pic>
              </a:graphicData>
            </a:graphic>
          </wp:anchor>
        </w:drawing>
        <w:drawing>
          <wp:anchor simplePos="0" relativeHeight="251657728" behindDoc="1" locked="0" layoutInCell="0" allowOverlap="1">
            <wp:simplePos x="0" y="0"/>
            <wp:positionH relativeFrom="column">
              <wp:posOffset>-1264285</wp:posOffset>
            </wp:positionH>
            <wp:positionV relativeFrom="paragraph">
              <wp:posOffset>-1122680</wp:posOffset>
            </wp:positionV>
            <wp:extent cx="7132320" cy="1117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11760"/>
                    </a:xfrm>
                    <a:prstGeom prst="rect">
                      <a:avLst/>
                    </a:prstGeom>
                    <a:noFill/>
                  </pic:spPr>
                </pic:pic>
              </a:graphicData>
            </a:graphic>
          </wp:anchor>
        </w:drawing>
        <w:drawing>
          <wp:anchor simplePos="0" relativeHeight="251657728" behindDoc="1" locked="0" layoutInCell="0" allowOverlap="1">
            <wp:simplePos x="0" y="0"/>
            <wp:positionH relativeFrom="column">
              <wp:posOffset>-1264285</wp:posOffset>
            </wp:positionH>
            <wp:positionV relativeFrom="paragraph">
              <wp:posOffset>-659765</wp:posOffset>
            </wp:positionV>
            <wp:extent cx="7132320" cy="22288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222885"/>
                    </a:xfrm>
                    <a:prstGeom prst="rect">
                      <a:avLst/>
                    </a:prstGeom>
                    <a:noFill/>
                  </pic:spPr>
                </pic:pic>
              </a:graphicData>
            </a:graphic>
          </wp:anchor>
        </w:drawing>
        <w:drawing>
          <wp:anchor simplePos="0" relativeHeight="251657728" behindDoc="1" locked="0" layoutInCell="0" allowOverlap="1">
            <wp:simplePos x="0" y="0"/>
            <wp:positionH relativeFrom="column">
              <wp:posOffset>-1264285</wp:posOffset>
            </wp:positionH>
            <wp:positionV relativeFrom="paragraph">
              <wp:posOffset>-325120</wp:posOffset>
            </wp:positionV>
            <wp:extent cx="7132320" cy="1117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1176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840" w:space="140"/>
            <w:col w:w="9240"/>
          </w:cols>
          <w:pgMar w:left="34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11120"/>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80645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1440" w:right="339" w:bottom="1440" w:gutter="0" w:footer="0" w:header="0"/>
          <w:type w:val="continuous"/>
        </w:sectPr>
      </w:pPr>
    </w:p>
    <w:bookmarkStart w:id="6" w:name="page7"/>
    <w:bookmarkEnd w:id="6"/>
    <w:p>
      <w:pPr>
        <w:jc w:val="center"/>
        <w:ind w:left="340" w:right="2340"/>
        <w:spacing w:after="0" w:line="395" w:lineRule="auto"/>
        <w:rPr>
          <w:sz w:val="20"/>
          <w:szCs w:val="20"/>
          <w:color w:val="auto"/>
        </w:rPr>
      </w:pPr>
      <w:r>
        <w:rPr>
          <w:rFonts w:ascii="Arial" w:cs="Arial" w:eastAsia="Arial" w:hAnsi="Arial"/>
          <w:sz w:val="18"/>
          <w:szCs w:val="18"/>
          <w:b w:val="1"/>
          <w:bCs w:val="1"/>
          <w:color w:val="auto"/>
        </w:rPr>
        <w:t>GENTEX CORPORATION AND SUBSIDIARIES UNAUDITED CONDENSED CONSOLIDATED STATEMENTS OF CASH FLOWS For the Three Months Ended March 31, 2025 and 2024</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40" w:type="dxa"/>
            <w:vAlign w:val="bottom"/>
          </w:tcPr>
          <w:p>
            <w:pPr>
              <w:spacing w:after="0"/>
              <w:rPr>
                <w:sz w:val="17"/>
                <w:szCs w:val="17"/>
                <w:color w:val="auto"/>
              </w:rPr>
            </w:pPr>
          </w:p>
        </w:tc>
        <w:tc>
          <w:tcPr>
            <w:tcW w:w="7360" w:type="dxa"/>
            <w:vAlign w:val="bottom"/>
            <w:shd w:val="clear" w:color="auto" w:fill="CCEEFF"/>
          </w:tcPr>
          <w:p>
            <w:pPr>
              <w:spacing w:after="0"/>
              <w:rPr>
                <w:sz w:val="17"/>
                <w:szCs w:val="17"/>
                <w:color w:val="auto"/>
              </w:rPr>
            </w:pPr>
          </w:p>
        </w:tc>
        <w:tc>
          <w:tcPr>
            <w:tcW w:w="60" w:type="dxa"/>
            <w:vAlign w:val="bottom"/>
            <w:tcBorders>
              <w:bottom w:val="single" w:sz="8" w:color="auto"/>
            </w:tcBorders>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1400" w:type="dxa"/>
            <w:vAlign w:val="bottom"/>
            <w:tcBorders>
              <w:bottom w:val="single" w:sz="8" w:color="auto"/>
            </w:tcBorders>
            <w:shd w:val="clear" w:color="auto" w:fill="CCEEFF"/>
          </w:tcPr>
          <w:p>
            <w:pPr>
              <w:jc w:val="right"/>
              <w:ind w:right="672"/>
              <w:spacing w:after="0"/>
              <w:rPr>
                <w:sz w:val="20"/>
                <w:szCs w:val="20"/>
                <w:color w:val="auto"/>
              </w:rPr>
            </w:pPr>
            <w:r>
              <w:rPr>
                <w:rFonts w:ascii="Arial" w:cs="Arial" w:eastAsia="Arial" w:hAnsi="Arial"/>
                <w:sz w:val="14"/>
                <w:szCs w:val="14"/>
                <w:b w:val="1"/>
                <w:bCs w:val="1"/>
                <w:color w:val="auto"/>
              </w:rPr>
              <w:t>2025</w:t>
            </w: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tcBorders>
              <w:bottom w:val="single" w:sz="8" w:color="auto"/>
            </w:tcBorders>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spacing w:after="0"/>
              <w:rPr>
                <w:sz w:val="17"/>
                <w:szCs w:val="17"/>
                <w:color w:val="auto"/>
              </w:rPr>
            </w:pPr>
          </w:p>
        </w:tc>
        <w:tc>
          <w:tcPr>
            <w:tcW w:w="1400" w:type="dxa"/>
            <w:vAlign w:val="bottom"/>
            <w:tcBorders>
              <w:bottom w:val="single" w:sz="8" w:color="auto"/>
            </w:tcBorders>
            <w:shd w:val="clear" w:color="auto" w:fill="CCEEFF"/>
          </w:tcPr>
          <w:p>
            <w:pPr>
              <w:jc w:val="right"/>
              <w:ind w:right="691"/>
              <w:spacing w:after="0"/>
              <w:rPr>
                <w:sz w:val="20"/>
                <w:szCs w:val="20"/>
                <w:color w:val="auto"/>
              </w:rPr>
            </w:pPr>
            <w:r>
              <w:rPr>
                <w:rFonts w:ascii="Arial" w:cs="Arial" w:eastAsia="Arial" w:hAnsi="Arial"/>
                <w:sz w:val="14"/>
                <w:szCs w:val="14"/>
                <w:b w:val="1"/>
                <w:bCs w:val="1"/>
                <w:color w:val="auto"/>
              </w:rPr>
              <w:t>2024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40" w:type="dxa"/>
            <w:vAlign w:val="bottom"/>
          </w:tcPr>
          <w:p>
            <w:pPr>
              <w:spacing w:after="0"/>
              <w:rPr>
                <w:sz w:val="18"/>
                <w:szCs w:val="18"/>
                <w:color w:val="auto"/>
              </w:rPr>
            </w:pPr>
          </w:p>
        </w:tc>
        <w:tc>
          <w:tcPr>
            <w:tcW w:w="7360" w:type="dxa"/>
            <w:vAlign w:val="bottom"/>
          </w:tcPr>
          <w:p>
            <w:pPr>
              <w:ind w:left="20"/>
              <w:spacing w:after="0"/>
              <w:rPr>
                <w:sz w:val="20"/>
                <w:szCs w:val="20"/>
                <w:color w:val="auto"/>
              </w:rPr>
            </w:pPr>
            <w:r>
              <w:rPr>
                <w:rFonts w:ascii="Arial" w:cs="Arial" w:eastAsia="Arial" w:hAnsi="Arial"/>
                <w:sz w:val="18"/>
                <w:szCs w:val="18"/>
                <w:color w:val="auto"/>
              </w:rPr>
              <w:t>CASH FLOWS FROM OPERATING ACTIVITIES:</w:t>
            </w: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73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Net income</w:t>
            </w:r>
          </w:p>
        </w:tc>
        <w:tc>
          <w:tcPr>
            <w:tcW w:w="4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94,874,045</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108,230,714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7360" w:type="dxa"/>
            <w:vAlign w:val="bottom"/>
          </w:tcPr>
          <w:p>
            <w:pPr>
              <w:ind w:left="24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7360" w:type="dxa"/>
            <w:vAlign w:val="bottom"/>
            <w:shd w:val="clear" w:color="auto" w:fill="CCEEFF"/>
          </w:tcPr>
          <w:p>
            <w:pPr>
              <w:ind w:left="560"/>
              <w:spacing w:after="0"/>
              <w:rPr>
                <w:sz w:val="20"/>
                <w:szCs w:val="20"/>
                <w:color w:val="auto"/>
              </w:rPr>
            </w:pPr>
            <w:r>
              <w:rPr>
                <w:rFonts w:ascii="Arial" w:cs="Arial" w:eastAsia="Arial" w:hAnsi="Arial"/>
                <w:sz w:val="18"/>
                <w:szCs w:val="18"/>
                <w:color w:val="auto"/>
              </w:rPr>
              <w:t>Depreciation and amortization</w:t>
            </w:r>
          </w:p>
        </w:tc>
        <w:tc>
          <w:tcPr>
            <w:tcW w:w="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25,509,069</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23,953,768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7360" w:type="dxa"/>
            <w:vAlign w:val="bottom"/>
          </w:tcPr>
          <w:p>
            <w:pPr>
              <w:ind w:left="560"/>
              <w:spacing w:after="0"/>
              <w:rPr>
                <w:sz w:val="20"/>
                <w:szCs w:val="20"/>
                <w:color w:val="auto"/>
              </w:rPr>
            </w:pPr>
            <w:r>
              <w:rPr>
                <w:rFonts w:ascii="Arial" w:cs="Arial" w:eastAsia="Arial" w:hAnsi="Arial"/>
                <w:sz w:val="18"/>
                <w:szCs w:val="18"/>
                <w:color w:val="auto"/>
              </w:rPr>
              <w:t>(Gain) on disposal of assets</w:t>
            </w:r>
          </w:p>
        </w:tc>
        <w:tc>
          <w:tcPr>
            <w:tcW w:w="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(24,367)</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(25,671)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7360" w:type="dxa"/>
            <w:vAlign w:val="bottom"/>
            <w:shd w:val="clear" w:color="auto" w:fill="CCEEFF"/>
          </w:tcPr>
          <w:p>
            <w:pPr>
              <w:ind w:left="560"/>
              <w:spacing w:after="0"/>
              <w:rPr>
                <w:sz w:val="20"/>
                <w:szCs w:val="20"/>
                <w:color w:val="auto"/>
              </w:rPr>
            </w:pPr>
            <w:r>
              <w:rPr>
                <w:rFonts w:ascii="Arial" w:cs="Arial" w:eastAsia="Arial" w:hAnsi="Arial"/>
                <w:sz w:val="18"/>
                <w:szCs w:val="18"/>
                <w:color w:val="auto"/>
              </w:rPr>
              <w:t>Loss on disposal of assets</w:t>
            </w:r>
          </w:p>
        </w:tc>
        <w:tc>
          <w:tcPr>
            <w:tcW w:w="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5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6,838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7360" w:type="dxa"/>
            <w:vAlign w:val="bottom"/>
          </w:tcPr>
          <w:p>
            <w:pPr>
              <w:ind w:left="560"/>
              <w:spacing w:after="0"/>
              <w:rPr>
                <w:sz w:val="20"/>
                <w:szCs w:val="20"/>
                <w:color w:val="auto"/>
              </w:rPr>
            </w:pPr>
            <w:r>
              <w:rPr>
                <w:rFonts w:ascii="Arial" w:cs="Arial" w:eastAsia="Arial" w:hAnsi="Arial"/>
                <w:sz w:val="18"/>
                <w:szCs w:val="18"/>
                <w:color w:val="auto"/>
              </w:rPr>
              <w:t>(Gain) on sale of investments and technology investment income</w:t>
            </w:r>
          </w:p>
        </w:tc>
        <w:tc>
          <w:tcPr>
            <w:tcW w:w="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(787,579)</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(4,687,471)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7360" w:type="dxa"/>
            <w:vAlign w:val="bottom"/>
            <w:shd w:val="clear" w:color="auto" w:fill="CCEEFF"/>
          </w:tcPr>
          <w:p>
            <w:pPr>
              <w:ind w:left="560"/>
              <w:spacing w:after="0"/>
              <w:rPr>
                <w:sz w:val="20"/>
                <w:szCs w:val="20"/>
                <w:color w:val="auto"/>
              </w:rPr>
            </w:pPr>
            <w:r>
              <w:rPr>
                <w:rFonts w:ascii="Arial" w:cs="Arial" w:eastAsia="Arial" w:hAnsi="Arial"/>
                <w:sz w:val="18"/>
                <w:szCs w:val="18"/>
                <w:color w:val="auto"/>
              </w:rPr>
              <w:t>Loss on sale of investments and technology investment losses</w:t>
            </w:r>
          </w:p>
        </w:tc>
        <w:tc>
          <w:tcPr>
            <w:tcW w:w="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3,274,941</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10,384,965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7360" w:type="dxa"/>
            <w:vAlign w:val="bottom"/>
          </w:tcPr>
          <w:p>
            <w:pPr>
              <w:ind w:left="560"/>
              <w:spacing w:after="0"/>
              <w:rPr>
                <w:sz w:val="20"/>
                <w:szCs w:val="20"/>
                <w:color w:val="auto"/>
              </w:rPr>
            </w:pPr>
            <w:r>
              <w:rPr>
                <w:rFonts w:ascii="Arial" w:cs="Arial" w:eastAsia="Arial" w:hAnsi="Arial"/>
                <w:sz w:val="18"/>
                <w:szCs w:val="18"/>
                <w:color w:val="auto"/>
              </w:rPr>
              <w:t>Deferred tax expense</w:t>
            </w:r>
          </w:p>
        </w:tc>
        <w:tc>
          <w:tcPr>
            <w:tcW w:w="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(927,401)</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(3,638,218)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40" w:type="dxa"/>
            <w:vAlign w:val="bottom"/>
          </w:tcPr>
          <w:p>
            <w:pPr>
              <w:spacing w:after="0"/>
              <w:rPr>
                <w:sz w:val="15"/>
                <w:szCs w:val="15"/>
                <w:color w:val="auto"/>
              </w:rPr>
            </w:pPr>
          </w:p>
        </w:tc>
        <w:tc>
          <w:tcPr>
            <w:tcW w:w="7360" w:type="dxa"/>
            <w:vAlign w:val="bottom"/>
            <w:shd w:val="clear" w:color="auto" w:fill="CCEEFF"/>
          </w:tcPr>
          <w:p>
            <w:pPr>
              <w:ind w:left="560"/>
              <w:spacing w:after="0" w:line="176" w:lineRule="exact"/>
              <w:rPr>
                <w:sz w:val="20"/>
                <w:szCs w:val="20"/>
                <w:color w:val="auto"/>
              </w:rPr>
            </w:pPr>
            <w:r>
              <w:rPr>
                <w:rFonts w:ascii="Arial" w:cs="Arial" w:eastAsia="Arial" w:hAnsi="Arial"/>
                <w:sz w:val="18"/>
                <w:szCs w:val="18"/>
                <w:color w:val="auto"/>
              </w:rPr>
              <w:t>Stock-based compensation expense related to employee stock options, employee</w:t>
            </w:r>
          </w:p>
        </w:tc>
        <w:tc>
          <w:tcPr>
            <w:tcW w:w="6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4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8,671,763</w:t>
            </w: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400" w:type="dxa"/>
            <w:vAlign w:val="bottom"/>
            <w:vMerge w:val="restart"/>
            <w:shd w:val="clear" w:color="auto" w:fill="CCEEFF"/>
          </w:tcPr>
          <w:p>
            <w:pPr>
              <w:jc w:val="right"/>
              <w:ind w:right="11"/>
              <w:spacing w:after="0"/>
              <w:rPr>
                <w:sz w:val="20"/>
                <w:szCs w:val="20"/>
                <w:color w:val="auto"/>
              </w:rPr>
            </w:pPr>
            <w:r>
              <w:rPr>
                <w:rFonts w:ascii="Arial" w:cs="Arial" w:eastAsia="Arial" w:hAnsi="Arial"/>
                <w:sz w:val="18"/>
                <w:szCs w:val="18"/>
                <w:color w:val="auto"/>
              </w:rPr>
              <w:t>10,473,792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7360" w:type="dxa"/>
            <w:vAlign w:val="bottom"/>
            <w:shd w:val="clear" w:color="auto" w:fill="CCEEFF"/>
          </w:tcPr>
          <w:p>
            <w:pPr>
              <w:ind w:left="560"/>
              <w:spacing w:after="0"/>
              <w:rPr>
                <w:sz w:val="20"/>
                <w:szCs w:val="20"/>
                <w:color w:val="auto"/>
              </w:rPr>
            </w:pPr>
            <w:r>
              <w:rPr>
                <w:rFonts w:ascii="Arial" w:cs="Arial" w:eastAsia="Arial" w:hAnsi="Arial"/>
                <w:sz w:val="18"/>
                <w:szCs w:val="18"/>
                <w:color w:val="auto"/>
              </w:rPr>
              <w:t>stock purchases and restricted stock</w:t>
            </w:r>
          </w:p>
        </w:tc>
        <w:tc>
          <w:tcPr>
            <w:tcW w:w="6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400" w:type="dxa"/>
            <w:vAlign w:val="bottom"/>
            <w:vMerge w:val="continue"/>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400" w:type="dxa"/>
            <w:vAlign w:val="bottom"/>
            <w:vMerge w:val="continue"/>
            <w:shd w:val="clear" w:color="auto" w:fill="CCEEFF"/>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7360" w:type="dxa"/>
            <w:vAlign w:val="bottom"/>
          </w:tcPr>
          <w:p>
            <w:pPr>
              <w:ind w:left="560"/>
              <w:spacing w:after="0"/>
              <w:rPr>
                <w:sz w:val="20"/>
                <w:szCs w:val="20"/>
                <w:color w:val="auto"/>
              </w:rPr>
            </w:pPr>
            <w:r>
              <w:rPr>
                <w:rFonts w:ascii="Arial" w:cs="Arial" w:eastAsia="Arial" w:hAnsi="Arial"/>
                <w:sz w:val="18"/>
                <w:szCs w:val="18"/>
                <w:color w:val="auto"/>
              </w:rPr>
              <w:t>Change in operating assets and liabilities:</w:t>
            </w:r>
          </w:p>
        </w:tc>
        <w:tc>
          <w:tcPr>
            <w:tcW w:w="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7360" w:type="dxa"/>
            <w:vAlign w:val="bottom"/>
            <w:shd w:val="clear" w:color="auto" w:fill="CCEEFF"/>
          </w:tcPr>
          <w:p>
            <w:pPr>
              <w:ind w:left="780"/>
              <w:spacing w:after="0"/>
              <w:rPr>
                <w:sz w:val="20"/>
                <w:szCs w:val="20"/>
                <w:color w:val="auto"/>
              </w:rPr>
            </w:pPr>
            <w:r>
              <w:rPr>
                <w:rFonts w:ascii="Arial" w:cs="Arial" w:eastAsia="Arial" w:hAnsi="Arial"/>
                <w:sz w:val="18"/>
                <w:szCs w:val="18"/>
                <w:color w:val="auto"/>
              </w:rPr>
              <w:t>Accounts receivable, net</w:t>
            </w:r>
          </w:p>
        </w:tc>
        <w:tc>
          <w:tcPr>
            <w:tcW w:w="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(35,280,995)</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(19,781,263)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7360" w:type="dxa"/>
            <w:vAlign w:val="bottom"/>
          </w:tcPr>
          <w:p>
            <w:pPr>
              <w:ind w:left="780"/>
              <w:spacing w:after="0"/>
              <w:rPr>
                <w:sz w:val="20"/>
                <w:szCs w:val="20"/>
                <w:color w:val="auto"/>
              </w:rPr>
            </w:pPr>
            <w:r>
              <w:rPr>
                <w:rFonts w:ascii="Arial" w:cs="Arial" w:eastAsia="Arial" w:hAnsi="Arial"/>
                <w:sz w:val="18"/>
                <w:szCs w:val="18"/>
                <w:color w:val="auto"/>
              </w:rPr>
              <w:t>Inventories</w:t>
            </w:r>
          </w:p>
        </w:tc>
        <w:tc>
          <w:tcPr>
            <w:tcW w:w="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27,562,638</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(34,064,216)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7360" w:type="dxa"/>
            <w:vAlign w:val="bottom"/>
            <w:shd w:val="clear" w:color="auto" w:fill="CCEEFF"/>
          </w:tcPr>
          <w:p>
            <w:pPr>
              <w:ind w:left="780"/>
              <w:spacing w:after="0"/>
              <w:rPr>
                <w:sz w:val="20"/>
                <w:szCs w:val="20"/>
                <w:color w:val="auto"/>
              </w:rPr>
            </w:pPr>
            <w:r>
              <w:rPr>
                <w:rFonts w:ascii="Arial" w:cs="Arial" w:eastAsia="Arial" w:hAnsi="Arial"/>
                <w:sz w:val="18"/>
                <w:szCs w:val="18"/>
                <w:color w:val="auto"/>
              </w:rPr>
              <w:t>Prepaid expenses and other</w:t>
            </w:r>
          </w:p>
        </w:tc>
        <w:tc>
          <w:tcPr>
            <w:tcW w:w="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9,056,108</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4,663,897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7360" w:type="dxa"/>
            <w:vAlign w:val="bottom"/>
          </w:tcPr>
          <w:p>
            <w:pPr>
              <w:ind w:left="780"/>
              <w:spacing w:after="0"/>
              <w:rPr>
                <w:sz w:val="20"/>
                <w:szCs w:val="20"/>
                <w:color w:val="auto"/>
              </w:rPr>
            </w:pPr>
            <w:r>
              <w:rPr>
                <w:rFonts w:ascii="Arial" w:cs="Arial" w:eastAsia="Arial" w:hAnsi="Arial"/>
                <w:sz w:val="18"/>
                <w:szCs w:val="18"/>
                <w:color w:val="auto"/>
              </w:rPr>
              <w:t>Accounts payable</w:t>
            </w:r>
          </w:p>
        </w:tc>
        <w:tc>
          <w:tcPr>
            <w:tcW w:w="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(3,809,528)</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6,080,702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7360" w:type="dxa"/>
            <w:vAlign w:val="bottom"/>
            <w:shd w:val="clear" w:color="auto" w:fill="CCEEFF"/>
          </w:tcPr>
          <w:p>
            <w:pPr>
              <w:ind w:left="780"/>
              <w:spacing w:after="0"/>
              <w:rPr>
                <w:sz w:val="20"/>
                <w:szCs w:val="20"/>
                <w:color w:val="auto"/>
              </w:rPr>
            </w:pPr>
            <w:r>
              <w:rPr>
                <w:rFonts w:ascii="Arial" w:cs="Arial" w:eastAsia="Arial" w:hAnsi="Arial"/>
                <w:sz w:val="18"/>
                <w:szCs w:val="18"/>
                <w:color w:val="auto"/>
              </w:rPr>
              <w:t>Accrued liabilities, excluding dividends declared</w:t>
            </w:r>
          </w:p>
        </w:tc>
        <w:tc>
          <w:tcPr>
            <w:tcW w:w="6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20,386,827</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28,279,293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7360" w:type="dxa"/>
            <w:vAlign w:val="bottom"/>
            <w:tcBorders>
              <w:bottom w:val="single" w:sz="8" w:color="CCEEFF"/>
            </w:tcBorders>
          </w:tcPr>
          <w:p>
            <w:pPr>
              <w:ind w:left="1000"/>
              <w:spacing w:after="0"/>
              <w:rPr>
                <w:sz w:val="20"/>
                <w:szCs w:val="20"/>
                <w:color w:val="auto"/>
              </w:rPr>
            </w:pPr>
            <w:r>
              <w:rPr>
                <w:rFonts w:ascii="Arial" w:cs="Arial" w:eastAsia="Arial" w:hAnsi="Arial"/>
                <w:sz w:val="18"/>
                <w:szCs w:val="18"/>
                <w:color w:val="auto"/>
              </w:rPr>
              <w:t>Net cash provided by operating activities</w:t>
            </w:r>
          </w:p>
        </w:tc>
        <w:tc>
          <w:tcPr>
            <w:tcW w:w="6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148,505,521</w:t>
            </w: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129,877,130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6"/>
        </w:trPr>
        <w:tc>
          <w:tcPr>
            <w:tcW w:w="40" w:type="dxa"/>
            <w:vAlign w:val="bottom"/>
          </w:tcPr>
          <w:p>
            <w:pPr>
              <w:spacing w:after="0"/>
              <w:rPr>
                <w:sz w:val="13"/>
                <w:szCs w:val="13"/>
                <w:color w:val="auto"/>
              </w:rPr>
            </w:pPr>
          </w:p>
        </w:tc>
        <w:tc>
          <w:tcPr>
            <w:tcW w:w="73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4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400" w:type="dxa"/>
            <w:vAlign w:val="bottom"/>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7360" w:type="dxa"/>
            <w:vAlign w:val="bottom"/>
          </w:tcPr>
          <w:p>
            <w:pPr>
              <w:ind w:left="20"/>
              <w:spacing w:after="0"/>
              <w:rPr>
                <w:sz w:val="20"/>
                <w:szCs w:val="20"/>
                <w:color w:val="auto"/>
              </w:rPr>
            </w:pPr>
            <w:r>
              <w:rPr>
                <w:rFonts w:ascii="Arial" w:cs="Arial" w:eastAsia="Arial" w:hAnsi="Arial"/>
                <w:sz w:val="18"/>
                <w:szCs w:val="18"/>
                <w:color w:val="auto"/>
              </w:rPr>
              <w:t>CASH FLOWS USED FOR INVESTING ACTIVITIES:</w:t>
            </w:r>
          </w:p>
        </w:tc>
        <w:tc>
          <w:tcPr>
            <w:tcW w:w="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73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Activity in investments:</w:t>
            </w:r>
          </w:p>
        </w:tc>
        <w:tc>
          <w:tcPr>
            <w:tcW w:w="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7360" w:type="dxa"/>
            <w:vAlign w:val="bottom"/>
          </w:tcPr>
          <w:p>
            <w:pPr>
              <w:ind w:left="340"/>
              <w:spacing w:after="0"/>
              <w:rPr>
                <w:sz w:val="20"/>
                <w:szCs w:val="20"/>
                <w:color w:val="auto"/>
              </w:rPr>
            </w:pPr>
            <w:r>
              <w:rPr>
                <w:rFonts w:ascii="Arial" w:cs="Arial" w:eastAsia="Arial" w:hAnsi="Arial"/>
                <w:sz w:val="18"/>
                <w:szCs w:val="18"/>
                <w:color w:val="auto"/>
              </w:rPr>
              <w:t>Sales proceeds</w:t>
            </w:r>
          </w:p>
        </w:tc>
        <w:tc>
          <w:tcPr>
            <w:tcW w:w="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48,810,102</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16,121,684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73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Maturities and calls</w:t>
            </w:r>
          </w:p>
        </w:tc>
        <w:tc>
          <w:tcPr>
            <w:tcW w:w="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5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1,420,000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7360" w:type="dxa"/>
            <w:vAlign w:val="bottom"/>
          </w:tcPr>
          <w:p>
            <w:pPr>
              <w:ind w:left="340"/>
              <w:spacing w:after="0"/>
              <w:rPr>
                <w:sz w:val="20"/>
                <w:szCs w:val="20"/>
                <w:color w:val="auto"/>
              </w:rPr>
            </w:pPr>
            <w:r>
              <w:rPr>
                <w:rFonts w:ascii="Arial" w:cs="Arial" w:eastAsia="Arial" w:hAnsi="Arial"/>
                <w:sz w:val="18"/>
                <w:szCs w:val="18"/>
                <w:color w:val="auto"/>
              </w:rPr>
              <w:t>Purchases</w:t>
            </w:r>
          </w:p>
        </w:tc>
        <w:tc>
          <w:tcPr>
            <w:tcW w:w="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(12,180,407)</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(37,537,250)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73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Plant and equipment additions</w:t>
            </w:r>
          </w:p>
        </w:tc>
        <w:tc>
          <w:tcPr>
            <w:tcW w:w="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(36,722,401)</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(31,871,370)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7360" w:type="dxa"/>
            <w:vAlign w:val="bottom"/>
          </w:tcPr>
          <w:p>
            <w:pPr>
              <w:ind w:left="240"/>
              <w:spacing w:after="0"/>
              <w:rPr>
                <w:sz w:val="20"/>
                <w:szCs w:val="20"/>
                <w:color w:val="auto"/>
              </w:rPr>
            </w:pPr>
            <w:r>
              <w:rPr>
                <w:rFonts w:ascii="Arial" w:cs="Arial" w:eastAsia="Arial" w:hAnsi="Arial"/>
                <w:sz w:val="18"/>
                <w:szCs w:val="18"/>
                <w:color w:val="auto"/>
              </w:rPr>
              <w:t>Proceeds from sale of plant and equipment</w:t>
            </w:r>
          </w:p>
        </w:tc>
        <w:tc>
          <w:tcPr>
            <w:tcW w:w="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53,110</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9,500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73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Increase in other assets</w:t>
            </w:r>
          </w:p>
        </w:tc>
        <w:tc>
          <w:tcPr>
            <w:tcW w:w="6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(5,061,949)</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(3,285,058)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7360" w:type="dxa"/>
            <w:vAlign w:val="bottom"/>
            <w:tcBorders>
              <w:bottom w:val="single" w:sz="8" w:color="CCEEFF"/>
            </w:tcBorders>
          </w:tcPr>
          <w:p>
            <w:pPr>
              <w:ind w:left="780"/>
              <w:spacing w:after="0"/>
              <w:rPr>
                <w:sz w:val="20"/>
                <w:szCs w:val="20"/>
                <w:color w:val="auto"/>
              </w:rPr>
            </w:pPr>
            <w:r>
              <w:rPr>
                <w:rFonts w:ascii="Arial" w:cs="Arial" w:eastAsia="Arial" w:hAnsi="Arial"/>
                <w:sz w:val="18"/>
                <w:szCs w:val="18"/>
                <w:color w:val="auto"/>
              </w:rPr>
              <w:t>Net cash used for investing activities</w:t>
            </w:r>
          </w:p>
        </w:tc>
        <w:tc>
          <w:tcPr>
            <w:tcW w:w="6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(5,101,545)</w:t>
            </w: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(55,142,494)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2"/>
        </w:trPr>
        <w:tc>
          <w:tcPr>
            <w:tcW w:w="40" w:type="dxa"/>
            <w:vAlign w:val="bottom"/>
          </w:tcPr>
          <w:p>
            <w:pPr>
              <w:spacing w:after="0"/>
              <w:rPr>
                <w:sz w:val="12"/>
                <w:szCs w:val="12"/>
                <w:color w:val="auto"/>
              </w:rPr>
            </w:pPr>
          </w:p>
        </w:tc>
        <w:tc>
          <w:tcPr>
            <w:tcW w:w="73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4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40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7360" w:type="dxa"/>
            <w:vAlign w:val="bottom"/>
          </w:tcPr>
          <w:p>
            <w:pPr>
              <w:ind w:left="20"/>
              <w:spacing w:after="0"/>
              <w:rPr>
                <w:sz w:val="20"/>
                <w:szCs w:val="20"/>
                <w:color w:val="auto"/>
              </w:rPr>
            </w:pPr>
            <w:r>
              <w:rPr>
                <w:rFonts w:ascii="Arial" w:cs="Arial" w:eastAsia="Arial" w:hAnsi="Arial"/>
                <w:sz w:val="18"/>
                <w:szCs w:val="18"/>
                <w:color w:val="auto"/>
              </w:rPr>
              <w:t>CASH FLOWS USED FOR FINANCING ACTIVITIES:</w:t>
            </w:r>
          </w:p>
        </w:tc>
        <w:tc>
          <w:tcPr>
            <w:tcW w:w="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73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Issuance of common stock from stock plan transactions</w:t>
            </w:r>
          </w:p>
        </w:tc>
        <w:tc>
          <w:tcPr>
            <w:tcW w:w="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4,933,702</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16,833,987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7360" w:type="dxa"/>
            <w:vAlign w:val="bottom"/>
          </w:tcPr>
          <w:p>
            <w:pPr>
              <w:ind w:left="240"/>
              <w:spacing w:after="0"/>
              <w:rPr>
                <w:sz w:val="20"/>
                <w:szCs w:val="20"/>
                <w:color w:val="auto"/>
              </w:rPr>
            </w:pPr>
            <w:r>
              <w:rPr>
                <w:rFonts w:ascii="Arial" w:cs="Arial" w:eastAsia="Arial" w:hAnsi="Arial"/>
                <w:sz w:val="18"/>
                <w:szCs w:val="18"/>
                <w:color w:val="auto"/>
              </w:rPr>
              <w:t>Cash dividends paid</w:t>
            </w:r>
          </w:p>
        </w:tc>
        <w:tc>
          <w:tcPr>
            <w:tcW w:w="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(27,264,150)</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(27,774,268)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73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Repurchases of common stock</w:t>
            </w:r>
          </w:p>
        </w:tc>
        <w:tc>
          <w:tcPr>
            <w:tcW w:w="6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(67,833,696)</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(41,224,840)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7360" w:type="dxa"/>
            <w:vAlign w:val="bottom"/>
            <w:tcBorders>
              <w:bottom w:val="single" w:sz="8" w:color="CCEEFF"/>
            </w:tcBorders>
          </w:tcPr>
          <w:p>
            <w:pPr>
              <w:ind w:left="780"/>
              <w:spacing w:after="0"/>
              <w:rPr>
                <w:sz w:val="20"/>
                <w:szCs w:val="20"/>
                <w:color w:val="auto"/>
              </w:rPr>
            </w:pPr>
            <w:r>
              <w:rPr>
                <w:rFonts w:ascii="Arial" w:cs="Arial" w:eastAsia="Arial" w:hAnsi="Arial"/>
                <w:sz w:val="18"/>
                <w:szCs w:val="18"/>
                <w:color w:val="auto"/>
              </w:rPr>
              <w:t>Net cash used for financing activities</w:t>
            </w:r>
          </w:p>
        </w:tc>
        <w:tc>
          <w:tcPr>
            <w:tcW w:w="6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(90,164,144)</w:t>
            </w: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(52,165,121)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8"/>
        </w:trPr>
        <w:tc>
          <w:tcPr>
            <w:tcW w:w="40" w:type="dxa"/>
            <w:vAlign w:val="bottom"/>
          </w:tcPr>
          <w:p>
            <w:pPr>
              <w:spacing w:after="0"/>
              <w:rPr>
                <w:sz w:val="11"/>
                <w:szCs w:val="11"/>
                <w:color w:val="auto"/>
              </w:rPr>
            </w:pPr>
          </w:p>
        </w:tc>
        <w:tc>
          <w:tcPr>
            <w:tcW w:w="73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4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40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7360" w:type="dxa"/>
            <w:vAlign w:val="bottom"/>
          </w:tcPr>
          <w:p>
            <w:pPr>
              <w:ind w:left="20"/>
              <w:spacing w:after="0"/>
              <w:rPr>
                <w:sz w:val="20"/>
                <w:szCs w:val="20"/>
                <w:color w:val="auto"/>
              </w:rPr>
            </w:pPr>
            <w:r>
              <w:rPr>
                <w:rFonts w:ascii="Arial" w:cs="Arial" w:eastAsia="Arial" w:hAnsi="Arial"/>
                <w:sz w:val="18"/>
                <w:szCs w:val="18"/>
                <w:color w:val="auto"/>
              </w:rPr>
              <w:t>NET INCREASE IN CASH AND CASH EQUIVALENTS</w:t>
            </w:r>
          </w:p>
        </w:tc>
        <w:tc>
          <w:tcPr>
            <w:tcW w:w="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53,239,832</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22,569,515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8"/>
        </w:trPr>
        <w:tc>
          <w:tcPr>
            <w:tcW w:w="40" w:type="dxa"/>
            <w:vAlign w:val="bottom"/>
          </w:tcPr>
          <w:p>
            <w:pPr>
              <w:spacing w:after="0"/>
              <w:rPr>
                <w:sz w:val="12"/>
                <w:szCs w:val="12"/>
                <w:color w:val="auto"/>
              </w:rPr>
            </w:pPr>
          </w:p>
        </w:tc>
        <w:tc>
          <w:tcPr>
            <w:tcW w:w="736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380" w:type="dxa"/>
            <w:vAlign w:val="bottom"/>
            <w:tcBorders>
              <w:bottom w:val="single" w:sz="8" w:color="auto"/>
            </w:tcBorders>
            <w:shd w:val="clear" w:color="auto" w:fill="CCEEFF"/>
          </w:tcPr>
          <w:p>
            <w:pPr>
              <w:spacing w:after="0"/>
              <w:rPr>
                <w:sz w:val="12"/>
                <w:szCs w:val="12"/>
                <w:color w:val="auto"/>
              </w:rPr>
            </w:pPr>
          </w:p>
        </w:tc>
        <w:tc>
          <w:tcPr>
            <w:tcW w:w="1400" w:type="dxa"/>
            <w:vAlign w:val="bottom"/>
            <w:tcBorders>
              <w:bottom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420" w:type="dxa"/>
            <w:vAlign w:val="bottom"/>
            <w:tcBorders>
              <w:bottom w:val="single" w:sz="8" w:color="auto"/>
            </w:tcBorders>
            <w:shd w:val="clear" w:color="auto" w:fill="CCEEFF"/>
          </w:tcPr>
          <w:p>
            <w:pPr>
              <w:spacing w:after="0"/>
              <w:rPr>
                <w:sz w:val="12"/>
                <w:szCs w:val="12"/>
                <w:color w:val="auto"/>
              </w:rPr>
            </w:pPr>
          </w:p>
        </w:tc>
        <w:tc>
          <w:tcPr>
            <w:tcW w:w="1400" w:type="dxa"/>
            <w:vAlign w:val="bottom"/>
            <w:tcBorders>
              <w:bottom w:val="single" w:sz="8" w:color="auto"/>
            </w:tcBorders>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73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CASH, CASH EQUIVALENTS, and RESTRICTED CASH, beginning of period</w:t>
            </w:r>
          </w:p>
        </w:tc>
        <w:tc>
          <w:tcPr>
            <w:tcW w:w="6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233,318,766</w:t>
            </w: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226,435,019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9"/>
        </w:trPr>
        <w:tc>
          <w:tcPr>
            <w:tcW w:w="40" w:type="dxa"/>
            <w:vAlign w:val="bottom"/>
          </w:tcPr>
          <w:p>
            <w:pPr>
              <w:spacing w:after="0"/>
              <w:rPr>
                <w:sz w:val="11"/>
                <w:szCs w:val="11"/>
                <w:color w:val="auto"/>
              </w:rPr>
            </w:pPr>
          </w:p>
        </w:tc>
        <w:tc>
          <w:tcPr>
            <w:tcW w:w="73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4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40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7360" w:type="dxa"/>
            <w:vAlign w:val="bottom"/>
          </w:tcPr>
          <w:p>
            <w:pPr>
              <w:ind w:left="20"/>
              <w:spacing w:after="0"/>
              <w:rPr>
                <w:sz w:val="20"/>
                <w:szCs w:val="20"/>
                <w:color w:val="auto"/>
              </w:rPr>
            </w:pPr>
            <w:r>
              <w:rPr>
                <w:rFonts w:ascii="Arial" w:cs="Arial" w:eastAsia="Arial" w:hAnsi="Arial"/>
                <w:sz w:val="18"/>
                <w:szCs w:val="18"/>
                <w:color w:val="auto"/>
              </w:rPr>
              <w:t>CASH, CASH EQUIVALENTS, and RESTRICTED CASH, end of period</w:t>
            </w:r>
          </w:p>
        </w:tc>
        <w:tc>
          <w:tcPr>
            <w:tcW w:w="440" w:type="dxa"/>
            <w:vAlign w:val="bottom"/>
            <w:tcBorders>
              <w:bottom w:val="single" w:sz="8" w:color="auto"/>
            </w:tcBorders>
            <w:gridSpan w:val="2"/>
          </w:tcPr>
          <w:p>
            <w:pPr>
              <w:jc w:val="right"/>
              <w:ind w:right="32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286,558,598</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80" w:type="dxa"/>
            <w:vAlign w:val="bottom"/>
            <w:tcBorders>
              <w:bottom w:val="single" w:sz="8" w:color="auto"/>
            </w:tcBorders>
            <w:gridSpan w:val="2"/>
          </w:tcPr>
          <w:p>
            <w:pPr>
              <w:jc w:val="right"/>
              <w:ind w:right="36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249,004,534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73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58"/>
        </w:trPr>
        <w:tc>
          <w:tcPr>
            <w:tcW w:w="40" w:type="dxa"/>
            <w:vAlign w:val="bottom"/>
          </w:tcPr>
          <w:p>
            <w:pPr>
              <w:spacing w:after="0"/>
              <w:rPr>
                <w:sz w:val="24"/>
                <w:szCs w:val="24"/>
                <w:color w:val="auto"/>
              </w:rPr>
            </w:pPr>
          </w:p>
        </w:tc>
        <w:tc>
          <w:tcPr>
            <w:tcW w:w="7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60" w:type="dxa"/>
            <w:vAlign w:val="bottom"/>
            <w:gridSpan w:val="2"/>
          </w:tcPr>
          <w:p>
            <w:pPr>
              <w:spacing w:after="0"/>
              <w:rPr>
                <w:sz w:val="24"/>
                <w:szCs w:val="24"/>
                <w:color w:val="auto"/>
              </w:rPr>
            </w:pPr>
          </w:p>
        </w:tc>
        <w:tc>
          <w:tcPr>
            <w:tcW w:w="100" w:type="dxa"/>
            <w:vAlign w:val="bottom"/>
            <w:gridSpan w:val="2"/>
          </w:tcPr>
          <w:p>
            <w:pPr>
              <w:spacing w:after="0"/>
              <w:rPr>
                <w:sz w:val="24"/>
                <w:szCs w:val="24"/>
                <w:color w:val="auto"/>
              </w:rPr>
            </w:pPr>
          </w:p>
        </w:tc>
        <w:tc>
          <w:tcPr>
            <w:tcW w:w="184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40" w:type="dxa"/>
            <w:vAlign w:val="bottom"/>
            <w:shd w:val="clear" w:color="auto" w:fill="CCEEFF"/>
          </w:tcPr>
          <w:p>
            <w:pPr>
              <w:spacing w:after="0"/>
              <w:rPr>
                <w:sz w:val="17"/>
                <w:szCs w:val="17"/>
                <w:color w:val="auto"/>
              </w:rPr>
            </w:pPr>
          </w:p>
        </w:tc>
        <w:tc>
          <w:tcPr>
            <w:tcW w:w="73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3400" w:type="dxa"/>
            <w:vAlign w:val="bottom"/>
            <w:tcBorders>
              <w:bottom w:val="single" w:sz="8" w:color="auto"/>
            </w:tcBorders>
            <w:gridSpan w:val="7"/>
            <w:shd w:val="clear" w:color="auto" w:fill="CCEEFF"/>
          </w:tcPr>
          <w:p>
            <w:pPr>
              <w:jc w:val="right"/>
              <w:ind w:right="640"/>
              <w:spacing w:after="0"/>
              <w:rPr>
                <w:sz w:val="20"/>
                <w:szCs w:val="20"/>
                <w:color w:val="auto"/>
              </w:rPr>
            </w:pPr>
            <w:r>
              <w:rPr>
                <w:rFonts w:ascii="Arial" w:cs="Arial" w:eastAsia="Arial" w:hAnsi="Arial"/>
                <w:sz w:val="14"/>
                <w:szCs w:val="14"/>
                <w:b w:val="1"/>
                <w:bCs w:val="1"/>
                <w:color w:val="auto"/>
              </w:rPr>
              <w:t>Three Months Ended March 31, 2025</w:t>
            </w:r>
          </w:p>
        </w:tc>
        <w:tc>
          <w:tcPr>
            <w:tcW w:w="0" w:type="dxa"/>
            <w:vAlign w:val="bottom"/>
          </w:tcPr>
          <w:p>
            <w:pPr>
              <w:spacing w:after="0"/>
              <w:rPr>
                <w:sz w:val="1"/>
                <w:szCs w:val="1"/>
                <w:color w:val="auto"/>
              </w:rPr>
            </w:pPr>
          </w:p>
        </w:tc>
      </w:tr>
      <w:tr>
        <w:trPr>
          <w:trHeight w:val="209"/>
        </w:trPr>
        <w:tc>
          <w:tcPr>
            <w:tcW w:w="740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SUPPLEMENTAL CASH FLOW DATA</w:t>
            </w:r>
          </w:p>
        </w:tc>
        <w:tc>
          <w:tcPr>
            <w:tcW w:w="6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612"/>
              <w:spacing w:after="0"/>
              <w:rPr>
                <w:sz w:val="20"/>
                <w:szCs w:val="20"/>
                <w:color w:val="auto"/>
              </w:rPr>
            </w:pPr>
            <w:r>
              <w:rPr>
                <w:rFonts w:ascii="Arial" w:cs="Arial" w:eastAsia="Arial" w:hAnsi="Arial"/>
                <w:sz w:val="14"/>
                <w:szCs w:val="14"/>
                <w:b w:val="1"/>
                <w:bCs w:val="1"/>
                <w:color w:val="auto"/>
              </w:rPr>
              <w:t>2025</w:t>
            </w:r>
          </w:p>
        </w:tc>
        <w:tc>
          <w:tcPr>
            <w:tcW w:w="60" w:type="dxa"/>
            <w:vAlign w:val="bottom"/>
            <w:tcBorders>
              <w:bottom w:val="single" w:sz="8" w:color="auto"/>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651"/>
              <w:spacing w:after="0"/>
              <w:rPr>
                <w:sz w:val="20"/>
                <w:szCs w:val="20"/>
                <w:color w:val="auto"/>
              </w:rPr>
            </w:pPr>
            <w:r>
              <w:rPr>
                <w:rFonts w:ascii="Arial" w:cs="Arial" w:eastAsia="Arial" w:hAnsi="Arial"/>
                <w:sz w:val="14"/>
                <w:szCs w:val="14"/>
                <w:b w:val="1"/>
                <w:bCs w:val="1"/>
                <w:color w:val="auto"/>
              </w:rPr>
              <w:t>2024</w:t>
            </w: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0" w:type="dxa"/>
            <w:vAlign w:val="bottom"/>
            <w:shd w:val="clear" w:color="auto" w:fill="CCEEFF"/>
          </w:tcPr>
          <w:p>
            <w:pPr>
              <w:spacing w:after="0"/>
              <w:rPr>
                <w:sz w:val="18"/>
                <w:szCs w:val="18"/>
                <w:color w:val="auto"/>
              </w:rPr>
            </w:pPr>
          </w:p>
        </w:tc>
        <w:tc>
          <w:tcPr>
            <w:tcW w:w="73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Non-cash investing and financing activities:</w:t>
            </w:r>
          </w:p>
        </w:tc>
        <w:tc>
          <w:tcPr>
            <w:tcW w:w="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40" w:type="dxa"/>
            <w:vAlign w:val="bottom"/>
          </w:tcPr>
          <w:p>
            <w:pPr>
              <w:spacing w:after="0"/>
              <w:rPr>
                <w:sz w:val="15"/>
                <w:szCs w:val="15"/>
                <w:color w:val="auto"/>
              </w:rPr>
            </w:pPr>
          </w:p>
        </w:tc>
        <w:tc>
          <w:tcPr>
            <w:tcW w:w="7360" w:type="dxa"/>
            <w:vAlign w:val="bottom"/>
          </w:tcPr>
          <w:p>
            <w:pPr>
              <w:ind w:left="200"/>
              <w:spacing w:after="0" w:line="176" w:lineRule="exact"/>
              <w:rPr>
                <w:sz w:val="20"/>
                <w:szCs w:val="20"/>
                <w:color w:val="auto"/>
              </w:rPr>
            </w:pPr>
            <w:r>
              <w:rPr>
                <w:rFonts w:ascii="Arial" w:cs="Arial" w:eastAsia="Arial" w:hAnsi="Arial"/>
                <w:sz w:val="18"/>
                <w:szCs w:val="18"/>
                <w:color w:val="auto"/>
              </w:rPr>
              <w:t>Change in property and equipment in accounts payable and accrued expenses and other</w:t>
            </w:r>
          </w:p>
        </w:tc>
        <w:tc>
          <w:tcPr>
            <w:tcW w:w="440" w:type="dxa"/>
            <w:vAlign w:val="bottom"/>
            <w:gridSpan w:val="2"/>
            <w:vMerge w:val="restart"/>
          </w:tcPr>
          <w:p>
            <w:pPr>
              <w:jc w:val="right"/>
              <w:ind w:right="260"/>
              <w:spacing w:after="0"/>
              <w:rPr>
                <w:sz w:val="20"/>
                <w:szCs w:val="20"/>
                <w:color w:val="auto"/>
              </w:rPr>
            </w:pPr>
            <w:r>
              <w:rPr>
                <w:rFonts w:ascii="Arial" w:cs="Arial" w:eastAsia="Arial" w:hAnsi="Arial"/>
                <w:sz w:val="18"/>
                <w:szCs w:val="18"/>
                <w:color w:val="auto"/>
              </w:rPr>
              <w:t>$</w:t>
            </w:r>
          </w:p>
        </w:tc>
        <w:tc>
          <w:tcPr>
            <w:tcW w:w="1400" w:type="dxa"/>
            <w:vAlign w:val="bottom"/>
            <w:vMerge w:val="restart"/>
          </w:tcPr>
          <w:p>
            <w:pPr>
              <w:jc w:val="right"/>
              <w:spacing w:after="0"/>
              <w:rPr>
                <w:sz w:val="20"/>
                <w:szCs w:val="20"/>
                <w:color w:val="auto"/>
              </w:rPr>
            </w:pPr>
            <w:r>
              <w:rPr>
                <w:rFonts w:ascii="Arial" w:cs="Arial" w:eastAsia="Arial" w:hAnsi="Arial"/>
                <w:sz w:val="18"/>
                <w:szCs w:val="18"/>
                <w:color w:val="auto"/>
              </w:rPr>
              <w:t>9,778,725</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80" w:type="dxa"/>
            <w:vAlign w:val="bottom"/>
            <w:gridSpan w:val="2"/>
            <w:vMerge w:val="restart"/>
          </w:tcPr>
          <w:p>
            <w:pPr>
              <w:jc w:val="right"/>
              <w:ind w:right="300"/>
              <w:spacing w:after="0"/>
              <w:rPr>
                <w:sz w:val="20"/>
                <w:szCs w:val="20"/>
                <w:color w:val="auto"/>
              </w:rPr>
            </w:pPr>
            <w:r>
              <w:rPr>
                <w:rFonts w:ascii="Arial" w:cs="Arial" w:eastAsia="Arial" w:hAnsi="Arial"/>
                <w:sz w:val="18"/>
                <w:szCs w:val="18"/>
                <w:color w:val="auto"/>
              </w:rPr>
              <w:t>$</w:t>
            </w:r>
          </w:p>
        </w:tc>
        <w:tc>
          <w:tcPr>
            <w:tcW w:w="1400" w:type="dxa"/>
            <w:vAlign w:val="bottom"/>
            <w:vMerge w:val="restart"/>
          </w:tcPr>
          <w:p>
            <w:pPr>
              <w:jc w:val="right"/>
              <w:spacing w:after="0"/>
              <w:rPr>
                <w:sz w:val="20"/>
                <w:szCs w:val="20"/>
                <w:color w:val="auto"/>
              </w:rPr>
            </w:pPr>
            <w:r>
              <w:rPr>
                <w:rFonts w:ascii="Arial" w:cs="Arial" w:eastAsia="Arial" w:hAnsi="Arial"/>
                <w:sz w:val="18"/>
                <w:szCs w:val="18"/>
                <w:color w:val="auto"/>
              </w:rPr>
              <w:t>557,154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7360" w:type="dxa"/>
            <w:vAlign w:val="bottom"/>
          </w:tcPr>
          <w:p>
            <w:pPr>
              <w:ind w:left="200"/>
              <w:spacing w:after="0"/>
              <w:rPr>
                <w:sz w:val="20"/>
                <w:szCs w:val="20"/>
                <w:color w:val="auto"/>
              </w:rPr>
            </w:pPr>
            <w:r>
              <w:rPr>
                <w:rFonts w:ascii="Arial" w:cs="Arial" w:eastAsia="Arial" w:hAnsi="Arial"/>
                <w:sz w:val="18"/>
                <w:szCs w:val="18"/>
                <w:color w:val="auto"/>
              </w:rPr>
              <w:t>current liabilities</w:t>
            </w:r>
          </w:p>
        </w:tc>
        <w:tc>
          <w:tcPr>
            <w:tcW w:w="440" w:type="dxa"/>
            <w:vAlign w:val="bottom"/>
            <w:gridSpan w:val="2"/>
            <w:vMerge w:val="continue"/>
          </w:tcPr>
          <w:p>
            <w:pPr>
              <w:spacing w:after="0"/>
              <w:rPr>
                <w:sz w:val="18"/>
                <w:szCs w:val="18"/>
                <w:color w:val="auto"/>
              </w:rPr>
            </w:pPr>
          </w:p>
        </w:tc>
        <w:tc>
          <w:tcPr>
            <w:tcW w:w="140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80" w:type="dxa"/>
            <w:vAlign w:val="bottom"/>
            <w:gridSpan w:val="2"/>
            <w:vMerge w:val="continue"/>
          </w:tcPr>
          <w:p>
            <w:pPr>
              <w:spacing w:after="0"/>
              <w:rPr>
                <w:sz w:val="18"/>
                <w:szCs w:val="18"/>
                <w:color w:val="auto"/>
              </w:rPr>
            </w:pPr>
          </w:p>
        </w:tc>
        <w:tc>
          <w:tcPr>
            <w:tcW w:w="140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7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07"/>
        </w:trPr>
        <w:tc>
          <w:tcPr>
            <w:tcW w:w="40" w:type="dxa"/>
            <w:vAlign w:val="bottom"/>
          </w:tcPr>
          <w:p>
            <w:pPr>
              <w:spacing w:after="0"/>
              <w:rPr>
                <w:sz w:val="24"/>
                <w:szCs w:val="24"/>
                <w:color w:val="auto"/>
              </w:rPr>
            </w:pPr>
          </w:p>
        </w:tc>
        <w:tc>
          <w:tcPr>
            <w:tcW w:w="7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111"/>
        </w:trPr>
        <w:tc>
          <w:tcPr>
            <w:tcW w:w="40" w:type="dxa"/>
            <w:vAlign w:val="bottom"/>
            <w:tcBorders>
              <w:bottom w:val="single" w:sz="8" w:color="9A9A9A"/>
            </w:tcBorders>
          </w:tcPr>
          <w:p>
            <w:pPr>
              <w:spacing w:after="0"/>
              <w:rPr>
                <w:sz w:val="9"/>
                <w:szCs w:val="9"/>
                <w:color w:val="auto"/>
              </w:rPr>
            </w:pPr>
          </w:p>
        </w:tc>
        <w:tc>
          <w:tcPr>
            <w:tcW w:w="736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380" w:type="dxa"/>
            <w:vAlign w:val="bottom"/>
            <w:tcBorders>
              <w:bottom w:val="single" w:sz="8" w:color="9A9A9A"/>
            </w:tcBorders>
          </w:tcPr>
          <w:p>
            <w:pPr>
              <w:spacing w:after="0"/>
              <w:rPr>
                <w:sz w:val="9"/>
                <w:szCs w:val="9"/>
                <w:color w:val="auto"/>
              </w:rPr>
            </w:pPr>
          </w:p>
        </w:tc>
        <w:tc>
          <w:tcPr>
            <w:tcW w:w="140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420" w:type="dxa"/>
            <w:vAlign w:val="bottom"/>
            <w:tcBorders>
              <w:bottom w:val="single" w:sz="8" w:color="9A9A9A"/>
            </w:tcBorders>
          </w:tcPr>
          <w:p>
            <w:pPr>
              <w:spacing w:after="0"/>
              <w:rPr>
                <w:sz w:val="9"/>
                <w:szCs w:val="9"/>
                <w:color w:val="auto"/>
              </w:rPr>
            </w:pPr>
          </w:p>
        </w:tc>
        <w:tc>
          <w:tcPr>
            <w:tcW w:w="140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u w:val="single" w:color="auto"/>
          <w:color w:val="auto"/>
        </w:rPr>
        <w:t>GENTEX CORPORATION AND SUBSIDIARIES</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420" w:hanging="412"/>
        <w:spacing w:after="0"/>
        <w:tabs>
          <w:tab w:leader="none" w:pos="420" w:val="left"/>
        </w:tabs>
        <w:numPr>
          <w:ilvl w:val="0"/>
          <w:numId w:val="4"/>
        </w:numPr>
        <w:rPr>
          <w:rFonts w:ascii="Arial" w:cs="Arial" w:eastAsia="Arial" w:hAnsi="Arial"/>
          <w:sz w:val="18"/>
          <w:szCs w:val="18"/>
          <w:color w:val="auto"/>
        </w:rPr>
      </w:pPr>
      <w:r>
        <w:rPr>
          <w:rFonts w:ascii="Arial" w:cs="Arial" w:eastAsia="Arial" w:hAnsi="Arial"/>
          <w:sz w:val="18"/>
          <w:szCs w:val="18"/>
          <w:color w:val="auto"/>
        </w:rPr>
        <w:t>Basis of Presentation</w:t>
      </w:r>
    </w:p>
    <w:p>
      <w:pPr>
        <w:spacing w:after="0" w:line="252" w:lineRule="exact"/>
        <w:rPr>
          <w:sz w:val="20"/>
          <w:szCs w:val="20"/>
          <w:color w:val="auto"/>
        </w:rPr>
      </w:pPr>
    </w:p>
    <w:p>
      <w:pPr>
        <w:jc w:val="both"/>
        <w:ind w:left="660"/>
        <w:spacing w:after="0" w:line="255" w:lineRule="auto"/>
        <w:rPr>
          <w:sz w:val="20"/>
          <w:szCs w:val="20"/>
          <w:color w:val="auto"/>
        </w:rPr>
      </w:pPr>
      <w:r>
        <w:rPr>
          <w:rFonts w:ascii="Arial" w:cs="Arial" w:eastAsia="Arial" w:hAnsi="Arial"/>
          <w:sz w:val="18"/>
          <w:szCs w:val="18"/>
          <w:color w:val="auto"/>
        </w:rPr>
        <w:t>The unaudited condensed consolidated financial statements included herein have been prepared by the Company, pursuant to the rules and regulations of the Securities and Exchange Commission. Certain information and footnote disclosures normally included in financial statements prepared in accordance with accounting principles generally accepted in the United States have been condensed or omitted pursuant to such rules and regulations, although the Company believes that the disclosures are adequate to make the information presented not misleading. It is suggested that these unaudited condensed consolidated financial statements be read in conjunction with the financial statements and notes thereto included in the Company's 2024 annual report on Form 10-K. In the opinion of management, the accompanying unaudited condensed consolidated financial statements contain all adjustments, consisting of only a normal and recurring nature, necessary to present fairly the financial position of the Company as of March 31, 2025, and the results of operations and cash flows for the interim periods presented.</w:t>
      </w:r>
    </w:p>
    <w:p>
      <w:pPr>
        <w:spacing w:after="0" w:line="208" w:lineRule="exact"/>
        <w:rPr>
          <w:sz w:val="20"/>
          <w:szCs w:val="20"/>
          <w:color w:val="auto"/>
        </w:rPr>
      </w:pPr>
    </w:p>
    <w:p>
      <w:pPr>
        <w:ind w:left="420" w:hanging="412"/>
        <w:spacing w:after="0"/>
        <w:tabs>
          <w:tab w:leader="none" w:pos="420" w:val="left"/>
        </w:tabs>
        <w:numPr>
          <w:ilvl w:val="0"/>
          <w:numId w:val="5"/>
        </w:numPr>
        <w:rPr>
          <w:rFonts w:ascii="Arial" w:cs="Arial" w:eastAsia="Arial" w:hAnsi="Arial"/>
          <w:sz w:val="18"/>
          <w:szCs w:val="18"/>
          <w:color w:val="auto"/>
        </w:rPr>
      </w:pPr>
      <w:r>
        <w:rPr>
          <w:rFonts w:ascii="Arial" w:cs="Arial" w:eastAsia="Arial" w:hAnsi="Arial"/>
          <w:sz w:val="18"/>
          <w:szCs w:val="18"/>
          <w:color w:val="auto"/>
        </w:rPr>
        <w:t>Adoption of New Accounting Standards</w:t>
      </w:r>
    </w:p>
    <w:p>
      <w:pPr>
        <w:spacing w:after="0" w:line="252" w:lineRule="exact"/>
        <w:rPr>
          <w:sz w:val="20"/>
          <w:szCs w:val="20"/>
          <w:color w:val="auto"/>
        </w:rPr>
      </w:pPr>
    </w:p>
    <w:p>
      <w:pPr>
        <w:jc w:val="both"/>
        <w:ind w:left="660"/>
        <w:spacing w:after="0" w:line="257" w:lineRule="auto"/>
        <w:rPr>
          <w:sz w:val="20"/>
          <w:szCs w:val="20"/>
          <w:color w:val="auto"/>
        </w:rPr>
      </w:pPr>
      <w:r>
        <w:rPr>
          <w:rFonts w:ascii="Arial" w:cs="Arial" w:eastAsia="Arial" w:hAnsi="Arial"/>
          <w:sz w:val="18"/>
          <w:szCs w:val="18"/>
          <w:color w:val="auto"/>
        </w:rPr>
        <w:t xml:space="preserve">In December 2023, the FASB issued ASU 2023-09, </w:t>
      </w:r>
      <w:r>
        <w:rPr>
          <w:rFonts w:ascii="Arial" w:cs="Arial" w:eastAsia="Arial" w:hAnsi="Arial"/>
          <w:sz w:val="18"/>
          <w:szCs w:val="18"/>
          <w:i w:val="1"/>
          <w:iCs w:val="1"/>
          <w:color w:val="auto"/>
        </w:rPr>
        <w:t>Improvements to Income Tax Disclosures</w:t>
      </w:r>
      <w:r>
        <w:rPr>
          <w:rFonts w:ascii="Arial" w:cs="Arial" w:eastAsia="Arial" w:hAnsi="Arial"/>
          <w:sz w:val="18"/>
          <w:szCs w:val="18"/>
          <w:color w:val="auto"/>
        </w:rPr>
        <w:t>. Under this ASU, public business entities must annually “(1) disclose specific categories in the rate reconciliation and (2) provide additional information for reconciling items that meet a quantitative threshold (if the effect of those reconciling items is equal to or greater than 5 percent of the amount computed by multiplying pretax income (or loss) by the applicable statutory income tax rate).” This ASU is effective on a prospective basis for the Company in the fiscal year ending December 31, 2025 and will result in additional disclosures being included in the consolidated financial statements for the Company's Form 10-K for the year ended December 31, 2025.</w:t>
      </w:r>
    </w:p>
    <w:p>
      <w:pPr>
        <w:spacing w:after="0" w:line="209" w:lineRule="exact"/>
        <w:rPr>
          <w:sz w:val="20"/>
          <w:szCs w:val="20"/>
          <w:color w:val="auto"/>
        </w:rPr>
      </w:pPr>
    </w:p>
    <w:p>
      <w:pPr>
        <w:jc w:val="both"/>
        <w:ind w:left="660"/>
        <w:spacing w:after="0" w:line="255" w:lineRule="auto"/>
        <w:rPr>
          <w:sz w:val="20"/>
          <w:szCs w:val="20"/>
          <w:color w:val="auto"/>
        </w:rPr>
      </w:pPr>
      <w:r>
        <w:rPr>
          <w:rFonts w:ascii="Arial" w:cs="Arial" w:eastAsia="Arial" w:hAnsi="Arial"/>
          <w:sz w:val="18"/>
          <w:szCs w:val="18"/>
          <w:color w:val="auto"/>
        </w:rPr>
        <w:t>In March 2024, the Securities and Exchange Commission ("SEC") issued Final Rule No. 33-11275, "The Enhancement and Standardization of Climate-Related Disclosures for Investors." If such rule becomes effective, the rule will require disclosure of climate-related information outside of the audited financial statements and disclosure in the footnotes to such financial statements addressing specified financial statement effects of severe weather events and other natural conditions above certain financial thresholds, certain carbon offsets and renewable energy credits or certificates, if material. Such disclosure requirements were scheduled to begin phasing in for fiscal years beginning on or after January 1, 2025. On April 4, 2024, the SEC exercised its discretion to voluntarily stay the effective date of the final rules pending completion of certain judicial review. The SEC recently signaled that it may not move forward with these rules. The Company continues to evaluate the impact of adopting these rules and to monitor the status of the related legal challenges and position of the SEC with respect to the foregoing.</w:t>
      </w:r>
    </w:p>
    <w:p>
      <w:pPr>
        <w:spacing w:after="0" w:line="208" w:lineRule="exact"/>
        <w:rPr>
          <w:sz w:val="20"/>
          <w:szCs w:val="20"/>
          <w:color w:val="auto"/>
        </w:rPr>
      </w:pPr>
    </w:p>
    <w:p>
      <w:pPr>
        <w:jc w:val="both"/>
        <w:ind w:left="660"/>
        <w:spacing w:after="0" w:line="254" w:lineRule="auto"/>
        <w:rPr>
          <w:sz w:val="20"/>
          <w:szCs w:val="20"/>
          <w:color w:val="auto"/>
        </w:rPr>
      </w:pPr>
      <w:r>
        <w:rPr>
          <w:rFonts w:ascii="Arial" w:cs="Arial" w:eastAsia="Arial" w:hAnsi="Arial"/>
          <w:sz w:val="18"/>
          <w:szCs w:val="18"/>
          <w:color w:val="auto"/>
        </w:rPr>
        <w:t>In November 2024, the FASB issued ASU No. 2024-03, "Disaggregation of Income Statement Expenses (Subtopic 220-40)." The ASU requires public business entities to disaggregate, in a tabular presentation, certain income statement expenses into different categories, such as purchases of inventory, employee compensation, depreciation, and intangible asset amortization. The guidance is effective for fiscal years beginning after December 15, 2026, and interim periods beginning after December 15, 2027. Companies have the option to apply the guidance either on a retrospective or prospective basis, and early adoption is permitted. The Company is currently evaluating the impact of adopting this ASU on the consolidated financial statements and related disclosures. In January 2025, the FASB issued ASU No. 2025-01, "Income Statement - Reporting Comprehensive Income - Expense Disaggregation Disclosures (Subtopic 220-40): Clarifying the Effective Date." This ASU amends the effective date of ASU 2024-03 to clarify that all public business entities are required to adopt the guidance in annual reporting periods beginning after December 15, 2026, and interim periods within annual reporting periods beginning after December 15, 2027.</w:t>
      </w:r>
    </w:p>
    <w:p>
      <w:pPr>
        <w:spacing w:after="0" w:line="212" w:lineRule="exact"/>
        <w:rPr>
          <w:sz w:val="20"/>
          <w:szCs w:val="20"/>
          <w:color w:val="auto"/>
        </w:rPr>
      </w:pPr>
    </w:p>
    <w:p>
      <w:pPr>
        <w:ind w:left="420" w:hanging="412"/>
        <w:spacing w:after="0"/>
        <w:tabs>
          <w:tab w:leader="none" w:pos="420" w:val="left"/>
        </w:tabs>
        <w:numPr>
          <w:ilvl w:val="0"/>
          <w:numId w:val="6"/>
        </w:numPr>
        <w:rPr>
          <w:rFonts w:ascii="Arial" w:cs="Arial" w:eastAsia="Arial" w:hAnsi="Arial"/>
          <w:sz w:val="18"/>
          <w:szCs w:val="18"/>
          <w:color w:val="auto"/>
        </w:rPr>
      </w:pPr>
      <w:r>
        <w:rPr>
          <w:rFonts w:ascii="Arial" w:cs="Arial" w:eastAsia="Arial" w:hAnsi="Arial"/>
          <w:sz w:val="18"/>
          <w:szCs w:val="18"/>
          <w:color w:val="auto"/>
        </w:rPr>
        <w:t>Goodwill and Other Intangible Assets</w:t>
      </w:r>
    </w:p>
    <w:p>
      <w:pPr>
        <w:spacing w:after="0" w:line="252" w:lineRule="exact"/>
        <w:rPr>
          <w:sz w:val="20"/>
          <w:szCs w:val="20"/>
          <w:color w:val="auto"/>
        </w:rPr>
      </w:pPr>
    </w:p>
    <w:p>
      <w:pPr>
        <w:ind w:left="660"/>
        <w:spacing w:after="0" w:line="287" w:lineRule="auto"/>
        <w:rPr>
          <w:sz w:val="20"/>
          <w:szCs w:val="20"/>
          <w:color w:val="auto"/>
        </w:rPr>
      </w:pPr>
      <w:r>
        <w:rPr>
          <w:rFonts w:ascii="Arial" w:cs="Arial" w:eastAsia="Arial" w:hAnsi="Arial"/>
          <w:sz w:val="18"/>
          <w:szCs w:val="18"/>
          <w:color w:val="auto"/>
        </w:rPr>
        <w:t>Goodwill represents the cost of an acquisition in excess of the fair values assigned to identifiable net assets acquired. The Company recorded Goodwill of: $307.4 million as part of the HomeLink</w:t>
      </w:r>
      <w:r>
        <w:rPr>
          <w:rFonts w:ascii="Arial" w:cs="Arial" w:eastAsia="Arial" w:hAnsi="Arial"/>
          <w:sz w:val="23"/>
          <w:szCs w:val="23"/>
          <w:color w:val="auto"/>
          <w:vertAlign w:val="superscript"/>
        </w:rPr>
        <w:t>®</w:t>
      </w:r>
      <w:r>
        <w:rPr>
          <w:rFonts w:ascii="Arial" w:cs="Arial" w:eastAsia="Arial" w:hAnsi="Arial"/>
          <w:sz w:val="18"/>
          <w:szCs w:val="18"/>
          <w:color w:val="auto"/>
        </w:rPr>
        <w:t xml:space="preserve"> acquisition in 2013;</w:t>
      </w:r>
    </w:p>
    <w:p>
      <w:pPr>
        <w:spacing w:after="0" w:line="200" w:lineRule="exact"/>
        <w:rPr>
          <w:sz w:val="20"/>
          <w:szCs w:val="20"/>
          <w:color w:val="auto"/>
        </w:rPr>
      </w:pPr>
    </w:p>
    <w:p>
      <w:pPr>
        <w:spacing w:after="0" w:line="26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8" w:name="page9"/>
    <w:bookmarkEnd w:id="8"/>
    <w:p>
      <w:pPr>
        <w:jc w:val="center"/>
        <w:ind w:right="640"/>
        <w:spacing w:after="0"/>
        <w:rPr>
          <w:sz w:val="20"/>
          <w:szCs w:val="20"/>
          <w:color w:val="auto"/>
        </w:rPr>
      </w:pPr>
      <w:r>
        <w:rPr>
          <w:rFonts w:ascii="Arial" w:cs="Arial" w:eastAsia="Arial" w:hAnsi="Arial"/>
          <w:sz w:val="18"/>
          <w:szCs w:val="18"/>
          <w:b w:val="1"/>
          <w:bCs w:val="1"/>
          <w:u w:val="single" w:color="auto"/>
          <w:color w:val="auto"/>
        </w:rPr>
        <w:t>GENTEX CORPORATION AND SUBSIDIARIES</w:t>
      </w:r>
    </w:p>
    <w:p>
      <w:pPr>
        <w:spacing w:after="0" w:line="239" w:lineRule="exact"/>
        <w:rPr>
          <w:sz w:val="20"/>
          <w:szCs w:val="20"/>
          <w:color w:val="auto"/>
        </w:rPr>
      </w:pPr>
    </w:p>
    <w:p>
      <w:pPr>
        <w:jc w:val="center"/>
        <w:ind w:right="640"/>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7" w:lineRule="exact"/>
        <w:rPr>
          <w:sz w:val="20"/>
          <w:szCs w:val="20"/>
          <w:color w:val="auto"/>
        </w:rPr>
      </w:pPr>
    </w:p>
    <w:p>
      <w:pPr>
        <w:jc w:val="center"/>
        <w:ind w:right="640"/>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6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$3.7 million as part of the acquisition of Vaporsens, Inc. ("Vaporsens") in 2020; $0.2 million as part of the acquisition of Air-Craftglass Production BV ("Air-Craftglass") in 2020; $1.0 million as a part of the acquisition of Argil, Inc. ("Argil") in 2020; $2.0 million as part of the acquisition of Guardian Optical Technologies ("Guardian") in 2021; $26.7 million as part of the acquisition of eSight Corporation ("eSight") in the fourth quarter of 2023; and $ 4.2 million as part of the acquisition of GalvanEyes LLC in the fourth quarter of 2024 (see </w:t>
      </w:r>
      <w:r>
        <w:rPr>
          <w:rFonts w:ascii="Arial" w:cs="Arial" w:eastAsia="Arial" w:hAnsi="Arial"/>
          <w:sz w:val="18"/>
          <w:szCs w:val="18"/>
          <w:u w:val="single" w:color="auto"/>
          <w:color w:val="0000FF"/>
        </w:rPr>
        <w:t>Note 16</w:t>
      </w:r>
      <w:r>
        <w:rPr>
          <w:rFonts w:ascii="Arial" w:cs="Arial" w:eastAsia="Arial" w:hAnsi="Arial"/>
          <w:sz w:val="18"/>
          <w:szCs w:val="18"/>
          <w:color w:val="auto"/>
        </w:rPr>
        <w:t>). The carrying value of Goodwill as of both March 31, 2025 and December 31, 2024 was $340.7 million as set forth in the table below:</w:t>
      </w:r>
    </w:p>
    <w:p>
      <w:pPr>
        <w:spacing w:after="0" w:line="259" w:lineRule="exact"/>
        <w:rPr>
          <w:sz w:val="20"/>
          <w:szCs w:val="20"/>
          <w:color w:val="auto"/>
        </w:rPr>
      </w:pPr>
    </w:p>
    <w:tbl>
      <w:tblPr>
        <w:tblLayout w:type="fixed"/>
        <w:tblInd w:w="660" w:type="dxa"/>
        <w:tblCellMar>
          <w:top w:w="0" w:type="dxa"/>
          <w:left w:w="0" w:type="dxa"/>
          <w:bottom w:w="0" w:type="dxa"/>
          <w:right w:w="0" w:type="dxa"/>
        </w:tblCellMar>
      </w:tblPr>
      <w:tr>
        <w:trPr>
          <w:trHeight w:val="197"/>
        </w:trPr>
        <w:tc>
          <w:tcPr>
            <w:tcW w:w="7280" w:type="dxa"/>
            <w:vAlign w:val="bottom"/>
          </w:tcPr>
          <w:p>
            <w:pPr>
              <w:spacing w:after="0"/>
              <w:rPr>
                <w:sz w:val="17"/>
                <w:szCs w:val="17"/>
                <w:color w:val="auto"/>
              </w:rPr>
            </w:pPr>
          </w:p>
        </w:tc>
        <w:tc>
          <w:tcPr>
            <w:tcW w:w="2000" w:type="dxa"/>
            <w:vAlign w:val="bottom"/>
            <w:gridSpan w:val="2"/>
          </w:tcPr>
          <w:p>
            <w:pPr>
              <w:spacing w:after="0"/>
              <w:rPr>
                <w:sz w:val="20"/>
                <w:szCs w:val="20"/>
                <w:color w:val="auto"/>
              </w:rPr>
            </w:pPr>
            <w:r>
              <w:rPr>
                <w:rFonts w:ascii="Arial" w:cs="Arial" w:eastAsia="Arial" w:hAnsi="Arial"/>
                <w:sz w:val="14"/>
                <w:szCs w:val="14"/>
                <w:b w:val="1"/>
                <w:bCs w:val="1"/>
                <w:color w:val="auto"/>
              </w:rPr>
              <w:t>Carrying Amount</w:t>
            </w:r>
          </w:p>
        </w:tc>
      </w:tr>
      <w:tr>
        <w:trPr>
          <w:trHeight w:val="230"/>
        </w:trPr>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 as of January 1, 2025</w:t>
            </w:r>
          </w:p>
        </w:tc>
        <w:tc>
          <w:tcPr>
            <w:tcW w:w="5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340,668,927</w:t>
            </w:r>
          </w:p>
        </w:tc>
      </w:tr>
      <w:tr>
        <w:trPr>
          <w:trHeight w:val="230"/>
        </w:trPr>
        <w:tc>
          <w:tcPr>
            <w:tcW w:w="7280" w:type="dxa"/>
            <w:vAlign w:val="bottom"/>
          </w:tcPr>
          <w:p>
            <w:pPr>
              <w:spacing w:after="0"/>
              <w:rPr>
                <w:sz w:val="20"/>
                <w:szCs w:val="20"/>
                <w:color w:val="auto"/>
              </w:rPr>
            </w:pPr>
            <w:r>
              <w:rPr>
                <w:rFonts w:ascii="Arial" w:cs="Arial" w:eastAsia="Arial" w:hAnsi="Arial"/>
                <w:sz w:val="18"/>
                <w:szCs w:val="18"/>
                <w:color w:val="auto"/>
              </w:rPr>
              <w:t>Acquisitions</w:t>
            </w:r>
          </w:p>
        </w:tc>
        <w:tc>
          <w:tcPr>
            <w:tcW w:w="500" w:type="dxa"/>
            <w:vAlign w:val="bottom"/>
          </w:tcPr>
          <w:p>
            <w:pPr>
              <w:spacing w:after="0"/>
              <w:rPr>
                <w:sz w:val="19"/>
                <w:szCs w:val="19"/>
                <w:color w:val="auto"/>
              </w:rPr>
            </w:pP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29"/>
        </w:trPr>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Divestitures</w:t>
            </w:r>
          </w:p>
        </w:tc>
        <w:tc>
          <w:tcPr>
            <w:tcW w:w="50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30"/>
        </w:trPr>
        <w:tc>
          <w:tcPr>
            <w:tcW w:w="7280" w:type="dxa"/>
            <w:vAlign w:val="bottom"/>
          </w:tcPr>
          <w:p>
            <w:pPr>
              <w:spacing w:after="0"/>
              <w:rPr>
                <w:sz w:val="20"/>
                <w:szCs w:val="20"/>
                <w:color w:val="auto"/>
              </w:rPr>
            </w:pPr>
            <w:r>
              <w:rPr>
                <w:rFonts w:ascii="Arial" w:cs="Arial" w:eastAsia="Arial" w:hAnsi="Arial"/>
                <w:sz w:val="18"/>
                <w:szCs w:val="18"/>
                <w:color w:val="auto"/>
              </w:rPr>
              <w:t>Impairments</w:t>
            </w:r>
          </w:p>
        </w:tc>
        <w:tc>
          <w:tcPr>
            <w:tcW w:w="500" w:type="dxa"/>
            <w:vAlign w:val="bottom"/>
          </w:tcPr>
          <w:p>
            <w:pPr>
              <w:spacing w:after="0"/>
              <w:rPr>
                <w:sz w:val="19"/>
                <w:szCs w:val="19"/>
                <w:color w:val="auto"/>
              </w:rPr>
            </w:pP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29"/>
        </w:trPr>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50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23"/>
        </w:trPr>
        <w:tc>
          <w:tcPr>
            <w:tcW w:w="7280" w:type="dxa"/>
            <w:vAlign w:val="bottom"/>
          </w:tcPr>
          <w:p>
            <w:pPr>
              <w:spacing w:after="0"/>
              <w:rPr>
                <w:sz w:val="20"/>
                <w:szCs w:val="20"/>
                <w:color w:val="auto"/>
              </w:rPr>
            </w:pPr>
            <w:r>
              <w:rPr>
                <w:rFonts w:ascii="Arial" w:cs="Arial" w:eastAsia="Arial" w:hAnsi="Arial"/>
                <w:sz w:val="18"/>
                <w:szCs w:val="18"/>
                <w:color w:val="auto"/>
              </w:rPr>
              <w:t>Balance as of March 31, 2025</w:t>
            </w:r>
          </w:p>
        </w:tc>
        <w:tc>
          <w:tcPr>
            <w:tcW w:w="5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340,668,927</w:t>
            </w:r>
          </w:p>
        </w:tc>
      </w:tr>
      <w:tr>
        <w:trPr>
          <w:trHeight w:val="20"/>
        </w:trPr>
        <w:tc>
          <w:tcPr>
            <w:tcW w:w="728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r>
        <w:trPr>
          <w:trHeight w:val="223"/>
        </w:trPr>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Gross carrying value at March 31, 2025</w:t>
            </w:r>
          </w:p>
        </w:tc>
        <w:tc>
          <w:tcPr>
            <w:tcW w:w="5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344,333,631</w:t>
            </w:r>
          </w:p>
        </w:tc>
      </w:tr>
      <w:tr>
        <w:trPr>
          <w:trHeight w:val="229"/>
        </w:trPr>
        <w:tc>
          <w:tcPr>
            <w:tcW w:w="72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Accumulated impairment charges</w:t>
            </w:r>
          </w:p>
        </w:tc>
        <w:tc>
          <w:tcPr>
            <w:tcW w:w="50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(3,664,704)</w:t>
            </w:r>
          </w:p>
        </w:tc>
      </w:tr>
      <w:tr>
        <w:trPr>
          <w:trHeight w:val="248"/>
        </w:trPr>
        <w:tc>
          <w:tcPr>
            <w:tcW w:w="72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carrying value at March 31, 2025</w:t>
            </w:r>
          </w:p>
        </w:tc>
        <w:tc>
          <w:tcPr>
            <w:tcW w:w="5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340,668,927</w:t>
            </w:r>
          </w:p>
        </w:tc>
      </w:tr>
      <w:tr>
        <w:trPr>
          <w:trHeight w:val="20"/>
        </w:trPr>
        <w:tc>
          <w:tcPr>
            <w:tcW w:w="72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 addition to annual impairment testing, which is performed as of the first day of the fourth quarter, the Company continuously monitors for events and circumstances that could negatively impact the key assumptions in determining fair value of goodwill or other intangible assets, thus resulting in the need for interim impairment testing, including long-term revenue growth projections, profitability, discount rates, recent market valuations from transactions by comparable companies, volatility in the Company's market capitalization, and general industry, market and macroeconomic conditions. No such events or circumstances that might negatively impact the key assumptions were observed in the first quarter of 2025 and, as such, nothing indicated the need for interim impairment testing.</w:t>
      </w:r>
    </w:p>
    <w:p>
      <w:pPr>
        <w:spacing w:after="0" w:line="210"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Company also acquired In-Process Research &amp; Development ("In-Process R &amp; D") as part of the acquisitions of Vaporsens; Air-Craftglass; Argil; and Guardian, each of which has been previously disclosed.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The patents and intangible assets and related change in carrying values are set forth in the tables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-426085</wp:posOffset>
            </wp:positionH>
            <wp:positionV relativeFrom="paragraph">
              <wp:posOffset>73660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80"/>
          </w:cols>
          <w:pgMar w:left="980" w:top="364" w:right="339" w:bottom="1440" w:gutter="0" w:footer="0" w:header="0"/>
        </w:sectPr>
      </w:pPr>
    </w:p>
    <w:bookmarkStart w:id="9" w:name="page10"/>
    <w:bookmarkEnd w:id="9"/>
    <w:p>
      <w:pPr>
        <w:jc w:val="center"/>
        <w:ind w:right="640"/>
        <w:spacing w:after="0"/>
        <w:rPr>
          <w:sz w:val="20"/>
          <w:szCs w:val="20"/>
          <w:color w:val="auto"/>
        </w:rPr>
      </w:pPr>
      <w:r>
        <w:rPr>
          <w:rFonts w:ascii="Arial" w:cs="Arial" w:eastAsia="Arial" w:hAnsi="Arial"/>
          <w:sz w:val="18"/>
          <w:szCs w:val="18"/>
          <w:b w:val="1"/>
          <w:bCs w:val="1"/>
          <w:u w:val="single" w:color="auto"/>
          <w:color w:val="auto"/>
        </w:rPr>
        <w:t>GENTEX CORPORATION AND SUBSIDIARIES</w:t>
      </w:r>
    </w:p>
    <w:p>
      <w:pPr>
        <w:spacing w:after="0" w:line="239" w:lineRule="exact"/>
        <w:rPr>
          <w:sz w:val="20"/>
          <w:szCs w:val="20"/>
          <w:color w:val="auto"/>
        </w:rPr>
      </w:pPr>
    </w:p>
    <w:p>
      <w:pPr>
        <w:jc w:val="center"/>
        <w:ind w:right="640"/>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7" w:lineRule="exact"/>
        <w:rPr>
          <w:sz w:val="20"/>
          <w:szCs w:val="20"/>
          <w:color w:val="auto"/>
        </w:rPr>
      </w:pPr>
    </w:p>
    <w:p>
      <w:pPr>
        <w:jc w:val="center"/>
        <w:ind w:right="640"/>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color w:val="auto"/>
        </w:rPr>
        <w:t>As of March 31, 2025:</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40" w:type="dxa"/>
            <w:vAlign w:val="bottom"/>
            <w:vMerge w:val="restart"/>
          </w:tcPr>
          <w:p>
            <w:pPr>
              <w:ind w:left="1200"/>
              <w:spacing w:after="0"/>
              <w:rPr>
                <w:sz w:val="20"/>
                <w:szCs w:val="20"/>
                <w:color w:val="auto"/>
              </w:rPr>
            </w:pPr>
            <w:r>
              <w:rPr>
                <w:rFonts w:ascii="Arial" w:cs="Arial" w:eastAsia="Arial" w:hAnsi="Arial"/>
                <w:sz w:val="14"/>
                <w:szCs w:val="14"/>
                <w:b w:val="1"/>
                <w:bCs w:val="1"/>
                <w:color w:val="auto"/>
              </w:rPr>
              <w:t>Other Intangible Assets</w:t>
            </w:r>
          </w:p>
        </w:tc>
        <w:tc>
          <w:tcPr>
            <w:tcW w:w="280" w:type="dxa"/>
            <w:vAlign w:val="bottom"/>
          </w:tcPr>
          <w:p>
            <w:pPr>
              <w:spacing w:after="0"/>
              <w:rPr>
                <w:sz w:val="14"/>
                <w:szCs w:val="14"/>
                <w:color w:val="auto"/>
              </w:rPr>
            </w:pPr>
          </w:p>
        </w:tc>
        <w:tc>
          <w:tcPr>
            <w:tcW w:w="1220" w:type="dxa"/>
            <w:vAlign w:val="bottom"/>
            <w:vMerge w:val="restart"/>
          </w:tcPr>
          <w:p>
            <w:pPr>
              <w:jc w:val="right"/>
              <w:ind w:right="451"/>
              <w:spacing w:after="0"/>
              <w:rPr>
                <w:sz w:val="20"/>
                <w:szCs w:val="20"/>
                <w:color w:val="auto"/>
              </w:rPr>
            </w:pPr>
            <w:r>
              <w:rPr>
                <w:rFonts w:ascii="Arial" w:cs="Arial" w:eastAsia="Arial" w:hAnsi="Arial"/>
                <w:sz w:val="14"/>
                <w:szCs w:val="14"/>
                <w:b w:val="1"/>
                <w:bCs w:val="1"/>
                <w:color w:val="auto"/>
              </w:rPr>
              <w:t>Gross</w:t>
            </w:r>
          </w:p>
        </w:tc>
        <w:tc>
          <w:tcPr>
            <w:tcW w:w="280" w:type="dxa"/>
            <w:vAlign w:val="bottom"/>
          </w:tcPr>
          <w:p>
            <w:pPr>
              <w:spacing w:after="0"/>
              <w:rPr>
                <w:sz w:val="14"/>
                <w:szCs w:val="14"/>
                <w:color w:val="auto"/>
              </w:rPr>
            </w:pPr>
          </w:p>
        </w:tc>
        <w:tc>
          <w:tcPr>
            <w:tcW w:w="1400" w:type="dxa"/>
            <w:vAlign w:val="bottom"/>
          </w:tcPr>
          <w:p>
            <w:pPr>
              <w:jc w:val="right"/>
              <w:ind w:right="292"/>
              <w:spacing w:after="0"/>
              <w:rPr>
                <w:sz w:val="20"/>
                <w:szCs w:val="20"/>
                <w:color w:val="auto"/>
              </w:rPr>
            </w:pPr>
            <w:r>
              <w:rPr>
                <w:rFonts w:ascii="Arial" w:cs="Arial" w:eastAsia="Arial" w:hAnsi="Arial"/>
                <w:sz w:val="14"/>
                <w:szCs w:val="14"/>
                <w:b w:val="1"/>
                <w:bCs w:val="1"/>
                <w:color w:val="auto"/>
              </w:rPr>
              <w:t>Accumulated</w:t>
            </w:r>
          </w:p>
        </w:tc>
        <w:tc>
          <w:tcPr>
            <w:tcW w:w="260" w:type="dxa"/>
            <w:vAlign w:val="bottom"/>
          </w:tcPr>
          <w:p>
            <w:pPr>
              <w:spacing w:after="0"/>
              <w:rPr>
                <w:sz w:val="14"/>
                <w:szCs w:val="14"/>
                <w:color w:val="auto"/>
              </w:rPr>
            </w:pPr>
          </w:p>
        </w:tc>
        <w:tc>
          <w:tcPr>
            <w:tcW w:w="1200" w:type="dxa"/>
            <w:vAlign w:val="bottom"/>
            <w:vMerge w:val="restart"/>
          </w:tcPr>
          <w:p>
            <w:pPr>
              <w:jc w:val="right"/>
              <w:ind w:right="511"/>
              <w:spacing w:after="0"/>
              <w:rPr>
                <w:sz w:val="20"/>
                <w:szCs w:val="20"/>
                <w:color w:val="auto"/>
              </w:rPr>
            </w:pPr>
            <w:r>
              <w:rPr>
                <w:rFonts w:ascii="Arial" w:cs="Arial" w:eastAsia="Arial" w:hAnsi="Arial"/>
                <w:sz w:val="14"/>
                <w:szCs w:val="14"/>
                <w:b w:val="1"/>
                <w:bCs w:val="1"/>
                <w:color w:val="auto"/>
              </w:rPr>
              <w:t>Net</w:t>
            </w: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rPr>
              <w:t>Assumed</w:t>
            </w:r>
          </w:p>
        </w:tc>
        <w:tc>
          <w:tcPr>
            <w:tcW w:w="0" w:type="dxa"/>
            <w:vAlign w:val="bottom"/>
          </w:tcPr>
          <w:p>
            <w:pPr>
              <w:spacing w:after="0"/>
              <w:rPr>
                <w:sz w:val="1"/>
                <w:szCs w:val="1"/>
                <w:color w:val="auto"/>
              </w:rPr>
            </w:pPr>
          </w:p>
        </w:tc>
      </w:tr>
      <w:tr>
        <w:trPr>
          <w:trHeight w:val="185"/>
        </w:trPr>
        <w:tc>
          <w:tcPr>
            <w:tcW w:w="4040" w:type="dxa"/>
            <w:vAlign w:val="bottom"/>
            <w:tcBorders>
              <w:bottom w:val="single" w:sz="8" w:color="auto"/>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Amortization</w:t>
            </w:r>
          </w:p>
        </w:tc>
        <w:tc>
          <w:tcPr>
            <w:tcW w:w="2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Useful Life</w:t>
            </w:r>
          </w:p>
        </w:tc>
        <w:tc>
          <w:tcPr>
            <w:tcW w:w="0" w:type="dxa"/>
            <w:vAlign w:val="bottom"/>
          </w:tcPr>
          <w:p>
            <w:pPr>
              <w:spacing w:after="0"/>
              <w:rPr>
                <w:sz w:val="1"/>
                <w:szCs w:val="1"/>
                <w:color w:val="auto"/>
              </w:rPr>
            </w:pPr>
          </w:p>
        </w:tc>
      </w:tr>
      <w:tr>
        <w:trPr>
          <w:trHeight w:val="223"/>
        </w:trPr>
        <w:tc>
          <w:tcPr>
            <w:tcW w:w="4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Gentex Patents</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39,503,234</w:t>
            </w:r>
          </w:p>
        </w:tc>
        <w:tc>
          <w:tcPr>
            <w:tcW w:w="2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(28,395,328)</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11,107,906</w:t>
            </w: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8"/>
              </w:rPr>
              <w:t>Various</w:t>
            </w:r>
          </w:p>
        </w:tc>
        <w:tc>
          <w:tcPr>
            <w:tcW w:w="0" w:type="dxa"/>
            <w:vAlign w:val="bottom"/>
          </w:tcPr>
          <w:p>
            <w:pPr>
              <w:spacing w:after="0"/>
              <w:rPr>
                <w:sz w:val="1"/>
                <w:szCs w:val="1"/>
                <w:color w:val="auto"/>
              </w:rPr>
            </w:pPr>
          </w:p>
        </w:tc>
      </w:tr>
      <w:tr>
        <w:trPr>
          <w:trHeight w:val="270"/>
        </w:trPr>
        <w:tc>
          <w:tcPr>
            <w:tcW w:w="40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4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Intangible Assets</w:t>
            </w: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40" w:type="dxa"/>
            <w:vAlign w:val="bottom"/>
          </w:tcPr>
          <w:p>
            <w:pPr>
              <w:ind w:left="240"/>
              <w:spacing w:after="0" w:line="230" w:lineRule="exact"/>
              <w:rPr>
                <w:sz w:val="20"/>
                <w:szCs w:val="20"/>
                <w:color w:val="auto"/>
              </w:rPr>
            </w:pPr>
            <w:r>
              <w:rPr>
                <w:rFonts w:ascii="Arial" w:cs="Arial" w:eastAsia="Arial" w:hAnsi="Arial"/>
                <w:sz w:val="18"/>
                <w:szCs w:val="18"/>
                <w:color w:val="auto"/>
              </w:rPr>
              <w:t>HomeLink</w:t>
            </w:r>
            <w:r>
              <w:rPr>
                <w:rFonts w:ascii="Arial" w:cs="Arial" w:eastAsia="Arial" w:hAnsi="Arial"/>
                <w:sz w:val="23"/>
                <w:szCs w:val="23"/>
                <w:color w:val="auto"/>
                <w:vertAlign w:val="superscript"/>
              </w:rPr>
              <w:t>®</w:t>
            </w:r>
            <w:r>
              <w:rPr>
                <w:rFonts w:ascii="Arial" w:cs="Arial" w:eastAsia="Arial" w:hAnsi="Arial"/>
                <w:sz w:val="18"/>
                <w:szCs w:val="18"/>
                <w:color w:val="auto"/>
              </w:rPr>
              <w:t xml:space="preserve"> Trade Names and Trademarks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52,000,000</w:t>
            </w:r>
          </w:p>
        </w:tc>
        <w:tc>
          <w:tcPr>
            <w:tcW w:w="2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660" w:type="dxa"/>
            <w:vAlign w:val="bottom"/>
            <w:gridSpan w:val="2"/>
          </w:tcPr>
          <w:p>
            <w:pPr>
              <w:jc w:val="right"/>
              <w:ind w:right="50"/>
              <w:spacing w:after="0"/>
              <w:rPr>
                <w:sz w:val="20"/>
                <w:szCs w:val="20"/>
                <w:color w:val="auto"/>
              </w:rPr>
            </w:pPr>
            <w:r>
              <w:rPr>
                <w:rFonts w:ascii="Arial" w:cs="Arial" w:eastAsia="Arial" w:hAnsi="Arial"/>
                <w:sz w:val="18"/>
                <w:szCs w:val="18"/>
                <w:color w:val="auto"/>
              </w:rPr>
              <w:t>— $</w:t>
            </w:r>
          </w:p>
        </w:tc>
        <w:tc>
          <w:tcPr>
            <w:tcW w:w="1200" w:type="dxa"/>
            <w:vAlign w:val="bottom"/>
          </w:tcPr>
          <w:p>
            <w:pPr>
              <w:jc w:val="right"/>
              <w:spacing w:after="0"/>
              <w:rPr>
                <w:sz w:val="20"/>
                <w:szCs w:val="20"/>
                <w:color w:val="auto"/>
              </w:rPr>
            </w:pPr>
            <w:r>
              <w:rPr>
                <w:rFonts w:ascii="Arial" w:cs="Arial" w:eastAsia="Arial" w:hAnsi="Arial"/>
                <w:sz w:val="18"/>
                <w:szCs w:val="18"/>
                <w:color w:val="auto"/>
              </w:rPr>
              <w:t>52,000,000</w:t>
            </w:r>
          </w:p>
        </w:tc>
        <w:tc>
          <w:tcPr>
            <w:tcW w:w="1140" w:type="dxa"/>
            <w:vAlign w:val="bottom"/>
          </w:tcPr>
          <w:p>
            <w:pPr>
              <w:jc w:val="center"/>
              <w:spacing w:after="0"/>
              <w:rPr>
                <w:sz w:val="20"/>
                <w:szCs w:val="20"/>
                <w:color w:val="auto"/>
              </w:rPr>
            </w:pPr>
            <w:r>
              <w:rPr>
                <w:rFonts w:ascii="Arial" w:cs="Arial" w:eastAsia="Arial" w:hAnsi="Arial"/>
                <w:sz w:val="18"/>
                <w:szCs w:val="18"/>
                <w:color w:val="auto"/>
                <w:w w:val="98"/>
              </w:rPr>
              <w:t>Indefinite</w:t>
            </w:r>
          </w:p>
        </w:tc>
        <w:tc>
          <w:tcPr>
            <w:tcW w:w="0" w:type="dxa"/>
            <w:vAlign w:val="bottom"/>
          </w:tcPr>
          <w:p>
            <w:pPr>
              <w:spacing w:after="0"/>
              <w:rPr>
                <w:sz w:val="1"/>
                <w:szCs w:val="1"/>
                <w:color w:val="auto"/>
              </w:rPr>
            </w:pPr>
          </w:p>
        </w:tc>
      </w:tr>
      <w:tr>
        <w:trPr>
          <w:trHeight w:val="229"/>
        </w:trPr>
        <w:tc>
          <w:tcPr>
            <w:tcW w:w="4040" w:type="dxa"/>
            <w:vAlign w:val="bottom"/>
            <w:shd w:val="clear" w:color="auto" w:fill="CCEEFF"/>
          </w:tcPr>
          <w:p>
            <w:pPr>
              <w:ind w:left="240"/>
              <w:spacing w:after="0" w:line="230" w:lineRule="exact"/>
              <w:rPr>
                <w:sz w:val="20"/>
                <w:szCs w:val="20"/>
                <w:color w:val="auto"/>
              </w:rPr>
            </w:pPr>
            <w:r>
              <w:rPr>
                <w:rFonts w:ascii="Arial" w:cs="Arial" w:eastAsia="Arial" w:hAnsi="Arial"/>
                <w:sz w:val="18"/>
                <w:szCs w:val="18"/>
                <w:color w:val="auto"/>
              </w:rPr>
              <w:t>HomeLink</w:t>
            </w:r>
            <w:r>
              <w:rPr>
                <w:rFonts w:ascii="Arial" w:cs="Arial" w:eastAsia="Arial" w:hAnsi="Arial"/>
                <w:sz w:val="23"/>
                <w:szCs w:val="23"/>
                <w:color w:val="auto"/>
                <w:vertAlign w:val="superscript"/>
              </w:rPr>
              <w:t>®</w:t>
            </w:r>
            <w:r>
              <w:rPr>
                <w:rFonts w:ascii="Arial" w:cs="Arial" w:eastAsia="Arial" w:hAnsi="Arial"/>
                <w:sz w:val="18"/>
                <w:szCs w:val="18"/>
                <w:color w:val="auto"/>
              </w:rPr>
              <w:t xml:space="preserve"> Technology</w:t>
            </w: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180,000,000</w:t>
            </w:r>
          </w:p>
        </w:tc>
        <w:tc>
          <w:tcPr>
            <w:tcW w:w="2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(172,500,000)</w:t>
            </w: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7,500,000</w:t>
            </w: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8"/>
              </w:rPr>
              <w:t>12 years</w:t>
            </w:r>
          </w:p>
        </w:tc>
        <w:tc>
          <w:tcPr>
            <w:tcW w:w="0" w:type="dxa"/>
            <w:vAlign w:val="bottom"/>
          </w:tcPr>
          <w:p>
            <w:pPr>
              <w:spacing w:after="0"/>
              <w:rPr>
                <w:sz w:val="1"/>
                <w:szCs w:val="1"/>
                <w:color w:val="auto"/>
              </w:rPr>
            </w:pPr>
          </w:p>
        </w:tc>
      </w:tr>
      <w:tr>
        <w:trPr>
          <w:trHeight w:val="230"/>
        </w:trPr>
        <w:tc>
          <w:tcPr>
            <w:tcW w:w="4040" w:type="dxa"/>
            <w:vAlign w:val="bottom"/>
          </w:tcPr>
          <w:p>
            <w:pPr>
              <w:ind w:left="240"/>
              <w:spacing w:after="0"/>
              <w:rPr>
                <w:sz w:val="20"/>
                <w:szCs w:val="20"/>
                <w:color w:val="auto"/>
              </w:rPr>
            </w:pPr>
            <w:r>
              <w:rPr>
                <w:rFonts w:ascii="Arial" w:cs="Arial" w:eastAsia="Arial" w:hAnsi="Arial"/>
                <w:sz w:val="18"/>
                <w:szCs w:val="18"/>
                <w:color w:val="auto"/>
              </w:rPr>
              <w:t>Existing Customer Platforms</w:t>
            </w: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43,000,000</w:t>
            </w:r>
          </w:p>
        </w:tc>
        <w:tc>
          <w:tcPr>
            <w:tcW w:w="2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(43,000,000)</w:t>
            </w:r>
          </w:p>
        </w:tc>
        <w:tc>
          <w:tcPr>
            <w:tcW w:w="2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center"/>
              <w:spacing w:after="0"/>
              <w:rPr>
                <w:sz w:val="20"/>
                <w:szCs w:val="20"/>
                <w:color w:val="auto"/>
              </w:rPr>
            </w:pPr>
            <w:r>
              <w:rPr>
                <w:rFonts w:ascii="Arial" w:cs="Arial" w:eastAsia="Arial" w:hAnsi="Arial"/>
                <w:sz w:val="18"/>
                <w:szCs w:val="18"/>
                <w:color w:val="auto"/>
                <w:w w:val="98"/>
              </w:rPr>
              <w:t>10 years</w:t>
            </w:r>
          </w:p>
        </w:tc>
        <w:tc>
          <w:tcPr>
            <w:tcW w:w="0" w:type="dxa"/>
            <w:vAlign w:val="bottom"/>
          </w:tcPr>
          <w:p>
            <w:pPr>
              <w:spacing w:after="0"/>
              <w:rPr>
                <w:sz w:val="1"/>
                <w:szCs w:val="1"/>
                <w:color w:val="auto"/>
              </w:rPr>
            </w:pPr>
          </w:p>
        </w:tc>
      </w:tr>
      <w:tr>
        <w:trPr>
          <w:trHeight w:val="229"/>
        </w:trPr>
        <w:tc>
          <w:tcPr>
            <w:tcW w:w="40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Exclusive Licensing Agreement</w:t>
            </w: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96,000,000</w:t>
            </w:r>
          </w:p>
        </w:tc>
        <w:tc>
          <w:tcPr>
            <w:tcW w:w="2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96,000,000</w:t>
            </w: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8"/>
              </w:rPr>
              <w:t>Indefinite</w:t>
            </w:r>
          </w:p>
        </w:tc>
        <w:tc>
          <w:tcPr>
            <w:tcW w:w="0" w:type="dxa"/>
            <w:vAlign w:val="bottom"/>
          </w:tcPr>
          <w:p>
            <w:pPr>
              <w:spacing w:after="0"/>
              <w:rPr>
                <w:sz w:val="1"/>
                <w:szCs w:val="1"/>
                <w:color w:val="auto"/>
              </w:rPr>
            </w:pPr>
          </w:p>
        </w:tc>
      </w:tr>
      <w:tr>
        <w:trPr>
          <w:trHeight w:val="176"/>
        </w:trPr>
        <w:tc>
          <w:tcPr>
            <w:tcW w:w="4040" w:type="dxa"/>
            <w:vAlign w:val="bottom"/>
          </w:tcPr>
          <w:p>
            <w:pPr>
              <w:ind w:left="240"/>
              <w:spacing w:after="0" w:line="176" w:lineRule="exact"/>
              <w:rPr>
                <w:sz w:val="20"/>
                <w:szCs w:val="20"/>
                <w:color w:val="auto"/>
              </w:rPr>
            </w:pPr>
            <w:r>
              <w:rPr>
                <w:rFonts w:ascii="Arial" w:cs="Arial" w:eastAsia="Arial" w:hAnsi="Arial"/>
                <w:sz w:val="18"/>
                <w:szCs w:val="18"/>
                <w:color w:val="auto"/>
              </w:rPr>
              <w:t>BioCenturion LLC ("BioCenturion") Trade</w:t>
            </w:r>
          </w:p>
        </w:tc>
        <w:tc>
          <w:tcPr>
            <w:tcW w:w="280" w:type="dxa"/>
            <w:vAlign w:val="bottom"/>
          </w:tcPr>
          <w:p>
            <w:pPr>
              <w:spacing w:after="0"/>
              <w:rPr>
                <w:sz w:val="15"/>
                <w:szCs w:val="15"/>
                <w:color w:val="auto"/>
              </w:rPr>
            </w:pPr>
          </w:p>
        </w:tc>
        <w:tc>
          <w:tcPr>
            <w:tcW w:w="1220" w:type="dxa"/>
            <w:vAlign w:val="bottom"/>
            <w:vMerge w:val="restart"/>
          </w:tcPr>
          <w:p>
            <w:pPr>
              <w:jc w:val="right"/>
              <w:spacing w:after="0"/>
              <w:rPr>
                <w:sz w:val="20"/>
                <w:szCs w:val="20"/>
                <w:color w:val="auto"/>
              </w:rPr>
            </w:pPr>
            <w:r>
              <w:rPr>
                <w:rFonts w:ascii="Arial" w:cs="Arial" w:eastAsia="Arial" w:hAnsi="Arial"/>
                <w:sz w:val="18"/>
                <w:szCs w:val="18"/>
                <w:color w:val="auto"/>
              </w:rPr>
              <w:t>640,000</w:t>
            </w:r>
          </w:p>
        </w:tc>
        <w:tc>
          <w:tcPr>
            <w:tcW w:w="280" w:type="dxa"/>
            <w:vAlign w:val="bottom"/>
          </w:tcPr>
          <w:p>
            <w:pPr>
              <w:spacing w:after="0"/>
              <w:rPr>
                <w:sz w:val="15"/>
                <w:szCs w:val="15"/>
                <w:color w:val="auto"/>
              </w:rPr>
            </w:pPr>
          </w:p>
        </w:tc>
        <w:tc>
          <w:tcPr>
            <w:tcW w:w="1400" w:type="dxa"/>
            <w:vAlign w:val="bottom"/>
            <w:vMerge w:val="restart"/>
          </w:tcPr>
          <w:p>
            <w:pPr>
              <w:jc w:val="right"/>
              <w:spacing w:after="0"/>
              <w:rPr>
                <w:sz w:val="20"/>
                <w:szCs w:val="20"/>
                <w:color w:val="auto"/>
              </w:rPr>
            </w:pPr>
            <w:r>
              <w:rPr>
                <w:rFonts w:ascii="Arial" w:cs="Arial" w:eastAsia="Arial" w:hAnsi="Arial"/>
                <w:sz w:val="18"/>
                <w:szCs w:val="18"/>
                <w:color w:val="auto"/>
              </w:rPr>
              <w:t>(26,666)</w:t>
            </w:r>
          </w:p>
        </w:tc>
        <w:tc>
          <w:tcPr>
            <w:tcW w:w="260" w:type="dxa"/>
            <w:vAlign w:val="bottom"/>
          </w:tcPr>
          <w:p>
            <w:pPr>
              <w:spacing w:after="0"/>
              <w:rPr>
                <w:sz w:val="15"/>
                <w:szCs w:val="15"/>
                <w:color w:val="auto"/>
              </w:rPr>
            </w:pP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613,334</w:t>
            </w:r>
          </w:p>
        </w:tc>
        <w:tc>
          <w:tcPr>
            <w:tcW w:w="1140" w:type="dxa"/>
            <w:vAlign w:val="bottom"/>
            <w:vMerge w:val="restart"/>
          </w:tcPr>
          <w:p>
            <w:pPr>
              <w:jc w:val="center"/>
              <w:spacing w:after="0"/>
              <w:rPr>
                <w:sz w:val="20"/>
                <w:szCs w:val="20"/>
                <w:color w:val="auto"/>
              </w:rPr>
            </w:pPr>
            <w:r>
              <w:rPr>
                <w:rFonts w:ascii="Arial" w:cs="Arial" w:eastAsia="Arial" w:hAnsi="Arial"/>
                <w:sz w:val="18"/>
                <w:szCs w:val="18"/>
                <w:color w:val="auto"/>
                <w:w w:val="98"/>
              </w:rPr>
              <w:t>10 years</w:t>
            </w:r>
          </w:p>
        </w:tc>
        <w:tc>
          <w:tcPr>
            <w:tcW w:w="0" w:type="dxa"/>
            <w:vAlign w:val="bottom"/>
          </w:tcPr>
          <w:p>
            <w:pPr>
              <w:spacing w:after="0"/>
              <w:rPr>
                <w:sz w:val="1"/>
                <w:szCs w:val="1"/>
                <w:color w:val="auto"/>
              </w:rPr>
            </w:pPr>
          </w:p>
        </w:tc>
      </w:tr>
      <w:tr>
        <w:trPr>
          <w:trHeight w:val="243"/>
        </w:trPr>
        <w:tc>
          <w:tcPr>
            <w:tcW w:w="4040" w:type="dxa"/>
            <w:vAlign w:val="bottom"/>
          </w:tcPr>
          <w:p>
            <w:pPr>
              <w:ind w:left="240"/>
              <w:spacing w:after="0"/>
              <w:rPr>
                <w:sz w:val="20"/>
                <w:szCs w:val="20"/>
                <w:color w:val="auto"/>
              </w:rPr>
            </w:pPr>
            <w:r>
              <w:rPr>
                <w:rFonts w:ascii="Arial" w:cs="Arial" w:eastAsia="Arial" w:hAnsi="Arial"/>
                <w:sz w:val="18"/>
                <w:szCs w:val="18"/>
                <w:color w:val="auto"/>
              </w:rPr>
              <w:t>Names and Trademarks</w:t>
            </w:r>
          </w:p>
        </w:tc>
        <w:tc>
          <w:tcPr>
            <w:tcW w:w="280" w:type="dxa"/>
            <w:vAlign w:val="bottom"/>
          </w:tcPr>
          <w:p>
            <w:pPr>
              <w:spacing w:after="0"/>
              <w:rPr>
                <w:sz w:val="21"/>
                <w:szCs w:val="21"/>
                <w:color w:val="auto"/>
              </w:rPr>
            </w:pPr>
          </w:p>
        </w:tc>
        <w:tc>
          <w:tcPr>
            <w:tcW w:w="1220" w:type="dxa"/>
            <w:vAlign w:val="bottom"/>
            <w:vMerge w:val="continue"/>
          </w:tcPr>
          <w:p>
            <w:pPr>
              <w:spacing w:after="0"/>
              <w:rPr>
                <w:sz w:val="21"/>
                <w:szCs w:val="21"/>
                <w:color w:val="auto"/>
              </w:rPr>
            </w:pPr>
          </w:p>
        </w:tc>
        <w:tc>
          <w:tcPr>
            <w:tcW w:w="280" w:type="dxa"/>
            <w:vAlign w:val="bottom"/>
          </w:tcPr>
          <w:p>
            <w:pPr>
              <w:spacing w:after="0"/>
              <w:rPr>
                <w:sz w:val="21"/>
                <w:szCs w:val="21"/>
                <w:color w:val="auto"/>
              </w:rPr>
            </w:pPr>
          </w:p>
        </w:tc>
        <w:tc>
          <w:tcPr>
            <w:tcW w:w="1400" w:type="dxa"/>
            <w:vAlign w:val="bottom"/>
            <w:vMerge w:val="continue"/>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vMerge w:val="continue"/>
          </w:tcPr>
          <w:p>
            <w:pPr>
              <w:spacing w:after="0"/>
              <w:rPr>
                <w:sz w:val="21"/>
                <w:szCs w:val="21"/>
                <w:color w:val="auto"/>
              </w:rPr>
            </w:pPr>
          </w:p>
        </w:tc>
        <w:tc>
          <w:tcPr>
            <w:tcW w:w="11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40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BioCenturion Technology</w:t>
            </w: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2,300,000</w:t>
            </w:r>
          </w:p>
        </w:tc>
        <w:tc>
          <w:tcPr>
            <w:tcW w:w="2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(79,861)</w:t>
            </w: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2,220,139</w:t>
            </w: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8"/>
              </w:rPr>
              <w:t>12 years</w:t>
            </w:r>
          </w:p>
        </w:tc>
        <w:tc>
          <w:tcPr>
            <w:tcW w:w="0" w:type="dxa"/>
            <w:vAlign w:val="bottom"/>
          </w:tcPr>
          <w:p>
            <w:pPr>
              <w:spacing w:after="0"/>
              <w:rPr>
                <w:sz w:val="1"/>
                <w:szCs w:val="1"/>
                <w:color w:val="auto"/>
              </w:rPr>
            </w:pPr>
          </w:p>
        </w:tc>
      </w:tr>
      <w:tr>
        <w:trPr>
          <w:trHeight w:val="229"/>
        </w:trPr>
        <w:tc>
          <w:tcPr>
            <w:tcW w:w="4040" w:type="dxa"/>
            <w:vAlign w:val="bottom"/>
          </w:tcPr>
          <w:p>
            <w:pPr>
              <w:ind w:left="240"/>
              <w:spacing w:after="0"/>
              <w:rPr>
                <w:sz w:val="20"/>
                <w:szCs w:val="20"/>
                <w:color w:val="auto"/>
              </w:rPr>
            </w:pPr>
            <w:r>
              <w:rPr>
                <w:rFonts w:ascii="Arial" w:cs="Arial" w:eastAsia="Arial" w:hAnsi="Arial"/>
                <w:sz w:val="18"/>
                <w:szCs w:val="18"/>
                <w:color w:val="auto"/>
              </w:rPr>
              <w:t>eSight Technology</w:t>
            </w: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12,000,000</w:t>
            </w:r>
          </w:p>
        </w:tc>
        <w:tc>
          <w:tcPr>
            <w:tcW w:w="2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(1,416,667)</w:t>
            </w:r>
          </w:p>
        </w:tc>
        <w:tc>
          <w:tcPr>
            <w:tcW w:w="2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10,583,333</w:t>
            </w:r>
          </w:p>
        </w:tc>
        <w:tc>
          <w:tcPr>
            <w:tcW w:w="1140" w:type="dxa"/>
            <w:vAlign w:val="bottom"/>
          </w:tcPr>
          <w:p>
            <w:pPr>
              <w:jc w:val="center"/>
              <w:spacing w:after="0"/>
              <w:rPr>
                <w:sz w:val="20"/>
                <w:szCs w:val="20"/>
                <w:color w:val="auto"/>
              </w:rPr>
            </w:pPr>
            <w:r>
              <w:rPr>
                <w:rFonts w:ascii="Arial" w:cs="Arial" w:eastAsia="Arial" w:hAnsi="Arial"/>
                <w:sz w:val="18"/>
                <w:szCs w:val="18"/>
                <w:color w:val="auto"/>
                <w:w w:val="98"/>
              </w:rPr>
              <w:t>12 years</w:t>
            </w:r>
          </w:p>
        </w:tc>
        <w:tc>
          <w:tcPr>
            <w:tcW w:w="0" w:type="dxa"/>
            <w:vAlign w:val="bottom"/>
          </w:tcPr>
          <w:p>
            <w:pPr>
              <w:spacing w:after="0"/>
              <w:rPr>
                <w:sz w:val="1"/>
                <w:szCs w:val="1"/>
                <w:color w:val="auto"/>
              </w:rPr>
            </w:pPr>
          </w:p>
        </w:tc>
      </w:tr>
      <w:tr>
        <w:trPr>
          <w:trHeight w:val="229"/>
        </w:trPr>
        <w:tc>
          <w:tcPr>
            <w:tcW w:w="40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eSight Trade Names and Trademarks</w:t>
            </w: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870,000</w:t>
            </w:r>
          </w:p>
        </w:tc>
        <w:tc>
          <w:tcPr>
            <w:tcW w:w="2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(102,708)</w:t>
            </w: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767,292</w:t>
            </w: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8"/>
              </w:rPr>
              <w:t>12 years</w:t>
            </w:r>
          </w:p>
        </w:tc>
        <w:tc>
          <w:tcPr>
            <w:tcW w:w="0" w:type="dxa"/>
            <w:vAlign w:val="bottom"/>
          </w:tcPr>
          <w:p>
            <w:pPr>
              <w:spacing w:after="0"/>
              <w:rPr>
                <w:sz w:val="1"/>
                <w:szCs w:val="1"/>
                <w:color w:val="auto"/>
              </w:rPr>
            </w:pPr>
          </w:p>
        </w:tc>
      </w:tr>
      <w:tr>
        <w:trPr>
          <w:trHeight w:val="230"/>
        </w:trPr>
        <w:tc>
          <w:tcPr>
            <w:tcW w:w="4040" w:type="dxa"/>
            <w:vAlign w:val="bottom"/>
          </w:tcPr>
          <w:p>
            <w:pPr>
              <w:ind w:left="240"/>
              <w:spacing w:after="0"/>
              <w:rPr>
                <w:sz w:val="20"/>
                <w:szCs w:val="20"/>
                <w:color w:val="auto"/>
              </w:rPr>
            </w:pPr>
            <w:r>
              <w:rPr>
                <w:rFonts w:ascii="Arial" w:cs="Arial" w:eastAsia="Arial" w:hAnsi="Arial"/>
                <w:sz w:val="18"/>
                <w:szCs w:val="18"/>
                <w:color w:val="auto"/>
              </w:rPr>
              <w:t>Vaporsens In-Process R&amp;D</w:t>
            </w: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5,800,000</w:t>
            </w:r>
          </w:p>
        </w:tc>
        <w:tc>
          <w:tcPr>
            <w:tcW w:w="2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5,800,000</w:t>
            </w:r>
          </w:p>
        </w:tc>
        <w:tc>
          <w:tcPr>
            <w:tcW w:w="1140" w:type="dxa"/>
            <w:vAlign w:val="bottom"/>
          </w:tcPr>
          <w:p>
            <w:pPr>
              <w:jc w:val="center"/>
              <w:spacing w:after="0"/>
              <w:rPr>
                <w:sz w:val="20"/>
                <w:szCs w:val="20"/>
                <w:color w:val="auto"/>
              </w:rPr>
            </w:pPr>
            <w:r>
              <w:rPr>
                <w:rFonts w:ascii="Arial" w:cs="Arial" w:eastAsia="Arial" w:hAnsi="Arial"/>
                <w:sz w:val="18"/>
                <w:szCs w:val="18"/>
                <w:color w:val="auto"/>
                <w:w w:val="98"/>
              </w:rPr>
              <w:t>Indefinite</w:t>
            </w:r>
          </w:p>
        </w:tc>
        <w:tc>
          <w:tcPr>
            <w:tcW w:w="0" w:type="dxa"/>
            <w:vAlign w:val="bottom"/>
          </w:tcPr>
          <w:p>
            <w:pPr>
              <w:spacing w:after="0"/>
              <w:rPr>
                <w:sz w:val="1"/>
                <w:szCs w:val="1"/>
                <w:color w:val="auto"/>
              </w:rPr>
            </w:pPr>
          </w:p>
        </w:tc>
      </w:tr>
      <w:tr>
        <w:trPr>
          <w:trHeight w:val="229"/>
        </w:trPr>
        <w:tc>
          <w:tcPr>
            <w:tcW w:w="40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Argil In-Process R&amp;D</w:t>
            </w: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6,278,132</w:t>
            </w:r>
          </w:p>
        </w:tc>
        <w:tc>
          <w:tcPr>
            <w:tcW w:w="2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6,278,132</w:t>
            </w: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8"/>
              </w:rPr>
              <w:t>Indefinite</w:t>
            </w:r>
          </w:p>
        </w:tc>
        <w:tc>
          <w:tcPr>
            <w:tcW w:w="0" w:type="dxa"/>
            <w:vAlign w:val="bottom"/>
          </w:tcPr>
          <w:p>
            <w:pPr>
              <w:spacing w:after="0"/>
              <w:rPr>
                <w:sz w:val="1"/>
                <w:szCs w:val="1"/>
                <w:color w:val="auto"/>
              </w:rPr>
            </w:pPr>
          </w:p>
        </w:tc>
      </w:tr>
      <w:tr>
        <w:trPr>
          <w:trHeight w:val="229"/>
        </w:trPr>
        <w:tc>
          <w:tcPr>
            <w:tcW w:w="4040" w:type="dxa"/>
            <w:vAlign w:val="bottom"/>
          </w:tcPr>
          <w:p>
            <w:pPr>
              <w:ind w:left="240"/>
              <w:spacing w:after="0"/>
              <w:rPr>
                <w:sz w:val="20"/>
                <w:szCs w:val="20"/>
                <w:color w:val="auto"/>
              </w:rPr>
            </w:pPr>
            <w:r>
              <w:rPr>
                <w:rFonts w:ascii="Arial" w:cs="Arial" w:eastAsia="Arial" w:hAnsi="Arial"/>
                <w:sz w:val="18"/>
                <w:szCs w:val="18"/>
                <w:color w:val="auto"/>
              </w:rPr>
              <w:t>Air-Craftglass Technology</w:t>
            </w: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1,507,778</w:t>
            </w:r>
          </w:p>
        </w:tc>
        <w:tc>
          <w:tcPr>
            <w:tcW w:w="2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(31,412)</w:t>
            </w:r>
          </w:p>
        </w:tc>
        <w:tc>
          <w:tcPr>
            <w:tcW w:w="2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1,476,366</w:t>
            </w:r>
          </w:p>
        </w:tc>
        <w:tc>
          <w:tcPr>
            <w:tcW w:w="1140" w:type="dxa"/>
            <w:vAlign w:val="bottom"/>
          </w:tcPr>
          <w:p>
            <w:pPr>
              <w:jc w:val="center"/>
              <w:spacing w:after="0"/>
              <w:rPr>
                <w:sz w:val="20"/>
                <w:szCs w:val="20"/>
                <w:color w:val="auto"/>
              </w:rPr>
            </w:pPr>
            <w:r>
              <w:rPr>
                <w:rFonts w:ascii="Arial" w:cs="Arial" w:eastAsia="Arial" w:hAnsi="Arial"/>
                <w:sz w:val="18"/>
                <w:szCs w:val="18"/>
                <w:color w:val="auto"/>
                <w:w w:val="98"/>
              </w:rPr>
              <w:t>12 years</w:t>
            </w:r>
          </w:p>
        </w:tc>
        <w:tc>
          <w:tcPr>
            <w:tcW w:w="0" w:type="dxa"/>
            <w:vAlign w:val="bottom"/>
          </w:tcPr>
          <w:p>
            <w:pPr>
              <w:spacing w:after="0"/>
              <w:rPr>
                <w:sz w:val="1"/>
                <w:szCs w:val="1"/>
                <w:color w:val="auto"/>
              </w:rPr>
            </w:pPr>
          </w:p>
        </w:tc>
      </w:tr>
      <w:tr>
        <w:trPr>
          <w:trHeight w:val="230"/>
        </w:trPr>
        <w:tc>
          <w:tcPr>
            <w:tcW w:w="40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Guardian Trade Names</w:t>
            </w: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1,300,000</w:t>
            </w:r>
          </w:p>
        </w:tc>
        <w:tc>
          <w:tcPr>
            <w:tcW w:w="2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(81,250)</w:t>
            </w: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1,218,750</w:t>
            </w: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8"/>
              </w:rPr>
              <w:t>12 years</w:t>
            </w:r>
          </w:p>
        </w:tc>
        <w:tc>
          <w:tcPr>
            <w:tcW w:w="0" w:type="dxa"/>
            <w:vAlign w:val="bottom"/>
          </w:tcPr>
          <w:p>
            <w:pPr>
              <w:spacing w:after="0"/>
              <w:rPr>
                <w:sz w:val="1"/>
                <w:szCs w:val="1"/>
                <w:color w:val="auto"/>
              </w:rPr>
            </w:pPr>
          </w:p>
        </w:tc>
      </w:tr>
      <w:tr>
        <w:trPr>
          <w:trHeight w:val="229"/>
        </w:trPr>
        <w:tc>
          <w:tcPr>
            <w:tcW w:w="404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Guardian Technology</w:t>
            </w:r>
          </w:p>
        </w:tc>
        <w:tc>
          <w:tcPr>
            <w:tcW w:w="2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6,800,000</w:t>
            </w:r>
          </w:p>
        </w:tc>
        <w:tc>
          <w:tcPr>
            <w:tcW w:w="2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(425,000)</w:t>
            </w:r>
          </w:p>
        </w:tc>
        <w:tc>
          <w:tcPr>
            <w:tcW w:w="2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6,375,000</w:t>
            </w:r>
          </w:p>
        </w:tc>
        <w:tc>
          <w:tcPr>
            <w:tcW w:w="1140" w:type="dxa"/>
            <w:vAlign w:val="bottom"/>
            <w:tcBorders>
              <w:bottom w:val="single" w:sz="8" w:color="CCEEFF"/>
            </w:tcBorders>
          </w:tcPr>
          <w:p>
            <w:pPr>
              <w:jc w:val="center"/>
              <w:spacing w:after="0"/>
              <w:rPr>
                <w:sz w:val="20"/>
                <w:szCs w:val="20"/>
                <w:color w:val="auto"/>
              </w:rPr>
            </w:pPr>
            <w:r>
              <w:rPr>
                <w:rFonts w:ascii="Arial" w:cs="Arial" w:eastAsia="Arial" w:hAnsi="Arial"/>
                <w:sz w:val="18"/>
                <w:szCs w:val="18"/>
                <w:color w:val="auto"/>
                <w:w w:val="98"/>
              </w:rPr>
              <w:t>12 years</w:t>
            </w:r>
          </w:p>
        </w:tc>
        <w:tc>
          <w:tcPr>
            <w:tcW w:w="0" w:type="dxa"/>
            <w:vAlign w:val="bottom"/>
          </w:tcPr>
          <w:p>
            <w:pPr>
              <w:spacing w:after="0"/>
              <w:rPr>
                <w:sz w:val="1"/>
                <w:szCs w:val="1"/>
                <w:color w:val="auto"/>
              </w:rPr>
            </w:pPr>
          </w:p>
        </w:tc>
      </w:tr>
      <w:tr>
        <w:trPr>
          <w:trHeight w:val="248"/>
        </w:trPr>
        <w:tc>
          <w:tcPr>
            <w:tcW w:w="4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Other Intangible Assets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408,495,910</w:t>
            </w:r>
          </w:p>
        </w:tc>
        <w:tc>
          <w:tcPr>
            <w:tcW w:w="2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(217,663,564)</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190,832,346</w:t>
            </w:r>
          </w:p>
        </w:tc>
        <w:tc>
          <w:tcPr>
            <w:tcW w:w="1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04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11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4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Patents &amp; Other Intangible Assets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447,999,144</w:t>
            </w:r>
          </w:p>
        </w:tc>
        <w:tc>
          <w:tcPr>
            <w:tcW w:w="2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(246,058,892)</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201,940,252</w:t>
            </w:r>
          </w:p>
        </w:tc>
        <w:tc>
          <w:tcPr>
            <w:tcW w:w="1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-426085</wp:posOffset>
            </wp:positionH>
            <wp:positionV relativeFrom="paragraph">
              <wp:posOffset>73660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80"/>
          </w:cols>
          <w:pgMar w:left="980" w:top="364" w:right="3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u w:val="single" w:color="auto"/>
          <w:color w:val="auto"/>
        </w:rPr>
        <w:t>GENTEX CORPORATION AND SUBSIDIARIES</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6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December 31, 2024:</w:t>
      </w:r>
    </w:p>
    <w:p>
      <w:pPr>
        <w:spacing w:after="0" w:line="47" w:lineRule="exact"/>
        <w:rPr>
          <w:sz w:val="20"/>
          <w:szCs w:val="20"/>
          <w:color w:val="auto"/>
        </w:rPr>
      </w:pPr>
    </w:p>
    <w:tbl>
      <w:tblPr>
        <w:tblLayout w:type="fixed"/>
        <w:tblInd w:w="660" w:type="dxa"/>
        <w:tblCellMar>
          <w:top w:w="0" w:type="dxa"/>
          <w:left w:w="0" w:type="dxa"/>
          <w:bottom w:w="0" w:type="dxa"/>
          <w:right w:w="0" w:type="dxa"/>
        </w:tblCellMar>
      </w:tblPr>
      <w:tr>
        <w:trPr>
          <w:trHeight w:val="161"/>
        </w:trPr>
        <w:tc>
          <w:tcPr>
            <w:tcW w:w="4160" w:type="dxa"/>
            <w:vAlign w:val="bottom"/>
            <w:vMerge w:val="restart"/>
          </w:tcPr>
          <w:p>
            <w:pPr>
              <w:ind w:left="1280"/>
              <w:spacing w:after="0"/>
              <w:rPr>
                <w:sz w:val="20"/>
                <w:szCs w:val="20"/>
                <w:color w:val="auto"/>
              </w:rPr>
            </w:pPr>
            <w:r>
              <w:rPr>
                <w:rFonts w:ascii="Arial" w:cs="Arial" w:eastAsia="Arial" w:hAnsi="Arial"/>
                <w:sz w:val="14"/>
                <w:szCs w:val="14"/>
                <w:b w:val="1"/>
                <w:bCs w:val="1"/>
                <w:color w:val="auto"/>
              </w:rPr>
              <w:t>Other Intangible Assets</w:t>
            </w:r>
          </w:p>
        </w:tc>
        <w:tc>
          <w:tcPr>
            <w:tcW w:w="260" w:type="dxa"/>
            <w:vAlign w:val="bottom"/>
          </w:tcPr>
          <w:p>
            <w:pPr>
              <w:spacing w:after="0"/>
              <w:rPr>
                <w:sz w:val="14"/>
                <w:szCs w:val="14"/>
                <w:color w:val="auto"/>
              </w:rPr>
            </w:pPr>
          </w:p>
        </w:tc>
        <w:tc>
          <w:tcPr>
            <w:tcW w:w="1180" w:type="dxa"/>
            <w:vAlign w:val="bottom"/>
            <w:vMerge w:val="restart"/>
          </w:tcPr>
          <w:p>
            <w:pPr>
              <w:jc w:val="right"/>
              <w:ind w:right="391"/>
              <w:spacing w:after="0"/>
              <w:rPr>
                <w:sz w:val="20"/>
                <w:szCs w:val="20"/>
                <w:color w:val="auto"/>
              </w:rPr>
            </w:pPr>
            <w:r>
              <w:rPr>
                <w:rFonts w:ascii="Arial" w:cs="Arial" w:eastAsia="Arial" w:hAnsi="Arial"/>
                <w:sz w:val="14"/>
                <w:szCs w:val="14"/>
                <w:b w:val="1"/>
                <w:bCs w:val="1"/>
                <w:color w:val="auto"/>
              </w:rPr>
              <w:t>Gross</w:t>
            </w:r>
          </w:p>
        </w:tc>
        <w:tc>
          <w:tcPr>
            <w:tcW w:w="280" w:type="dxa"/>
            <w:vAlign w:val="bottom"/>
          </w:tcPr>
          <w:p>
            <w:pPr>
              <w:spacing w:after="0"/>
              <w:rPr>
                <w:sz w:val="14"/>
                <w:szCs w:val="14"/>
                <w:color w:val="auto"/>
              </w:rPr>
            </w:pPr>
          </w:p>
        </w:tc>
        <w:tc>
          <w:tcPr>
            <w:tcW w:w="1360" w:type="dxa"/>
            <w:vAlign w:val="bottom"/>
          </w:tcPr>
          <w:p>
            <w:pPr>
              <w:jc w:val="right"/>
              <w:ind w:right="252"/>
              <w:spacing w:after="0"/>
              <w:rPr>
                <w:sz w:val="20"/>
                <w:szCs w:val="20"/>
                <w:color w:val="auto"/>
              </w:rPr>
            </w:pPr>
            <w:r>
              <w:rPr>
                <w:rFonts w:ascii="Arial" w:cs="Arial" w:eastAsia="Arial" w:hAnsi="Arial"/>
                <w:sz w:val="14"/>
                <w:szCs w:val="14"/>
                <w:b w:val="1"/>
                <w:bCs w:val="1"/>
                <w:color w:val="auto"/>
              </w:rPr>
              <w:t>Accumulated</w:t>
            </w:r>
          </w:p>
        </w:tc>
        <w:tc>
          <w:tcPr>
            <w:tcW w:w="260" w:type="dxa"/>
            <w:vAlign w:val="bottom"/>
          </w:tcPr>
          <w:p>
            <w:pPr>
              <w:spacing w:after="0"/>
              <w:rPr>
                <w:sz w:val="14"/>
                <w:szCs w:val="14"/>
                <w:color w:val="auto"/>
              </w:rPr>
            </w:pPr>
          </w:p>
        </w:tc>
        <w:tc>
          <w:tcPr>
            <w:tcW w:w="1220" w:type="dxa"/>
            <w:vAlign w:val="bottom"/>
            <w:vMerge w:val="restart"/>
          </w:tcPr>
          <w:p>
            <w:pPr>
              <w:jc w:val="right"/>
              <w:ind w:right="531"/>
              <w:spacing w:after="0"/>
              <w:rPr>
                <w:sz w:val="20"/>
                <w:szCs w:val="20"/>
                <w:color w:val="auto"/>
              </w:rPr>
            </w:pPr>
            <w:r>
              <w:rPr>
                <w:rFonts w:ascii="Arial" w:cs="Arial" w:eastAsia="Arial" w:hAnsi="Arial"/>
                <w:sz w:val="14"/>
                <w:szCs w:val="14"/>
                <w:b w:val="1"/>
                <w:bCs w:val="1"/>
                <w:color w:val="auto"/>
              </w:rPr>
              <w:t>Net</w:t>
            </w: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rPr>
              <w:t>Assumed</w:t>
            </w:r>
          </w:p>
        </w:tc>
        <w:tc>
          <w:tcPr>
            <w:tcW w:w="0" w:type="dxa"/>
            <w:vAlign w:val="bottom"/>
          </w:tcPr>
          <w:p>
            <w:pPr>
              <w:spacing w:after="0"/>
              <w:rPr>
                <w:sz w:val="1"/>
                <w:szCs w:val="1"/>
                <w:color w:val="auto"/>
              </w:rPr>
            </w:pPr>
          </w:p>
        </w:tc>
      </w:tr>
      <w:tr>
        <w:trPr>
          <w:trHeight w:val="185"/>
        </w:trPr>
        <w:tc>
          <w:tcPr>
            <w:tcW w:w="4160" w:type="dxa"/>
            <w:vAlign w:val="bottom"/>
            <w:tcBorders>
              <w:bottom w:val="single" w:sz="8" w:color="auto"/>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Amortization</w:t>
            </w: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Useful Life</w:t>
            </w:r>
          </w:p>
        </w:tc>
        <w:tc>
          <w:tcPr>
            <w:tcW w:w="0" w:type="dxa"/>
            <w:vAlign w:val="bottom"/>
          </w:tcPr>
          <w:p>
            <w:pPr>
              <w:spacing w:after="0"/>
              <w:rPr>
                <w:sz w:val="1"/>
                <w:szCs w:val="1"/>
                <w:color w:val="auto"/>
              </w:rPr>
            </w:pPr>
          </w:p>
        </w:tc>
      </w:tr>
      <w:tr>
        <w:trPr>
          <w:trHeight w:val="223"/>
        </w:trPr>
        <w:tc>
          <w:tcPr>
            <w:tcW w:w="4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Gentex Patents</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39,266,409</w:t>
            </w:r>
          </w:p>
        </w:tc>
        <w:tc>
          <w:tcPr>
            <w:tcW w:w="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(28,137,761)</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11,128,648</w:t>
            </w:r>
          </w:p>
        </w:tc>
        <w:tc>
          <w:tcPr>
            <w:tcW w:w="1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Various</w:t>
            </w:r>
          </w:p>
        </w:tc>
        <w:tc>
          <w:tcPr>
            <w:tcW w:w="0" w:type="dxa"/>
            <w:vAlign w:val="bottom"/>
          </w:tcPr>
          <w:p>
            <w:pPr>
              <w:spacing w:after="0"/>
              <w:rPr>
                <w:sz w:val="1"/>
                <w:szCs w:val="1"/>
                <w:color w:val="auto"/>
              </w:rPr>
            </w:pPr>
          </w:p>
        </w:tc>
      </w:tr>
      <w:tr>
        <w:trPr>
          <w:trHeight w:val="270"/>
        </w:trPr>
        <w:tc>
          <w:tcPr>
            <w:tcW w:w="41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4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Intangible Assets</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60" w:type="dxa"/>
            <w:vAlign w:val="bottom"/>
          </w:tcPr>
          <w:p>
            <w:pPr>
              <w:ind w:left="240"/>
              <w:spacing w:after="0" w:line="230" w:lineRule="exact"/>
              <w:rPr>
                <w:sz w:val="20"/>
                <w:szCs w:val="20"/>
                <w:color w:val="auto"/>
              </w:rPr>
            </w:pPr>
            <w:r>
              <w:rPr>
                <w:rFonts w:ascii="Arial" w:cs="Arial" w:eastAsia="Arial" w:hAnsi="Arial"/>
                <w:sz w:val="18"/>
                <w:szCs w:val="18"/>
                <w:color w:val="auto"/>
              </w:rPr>
              <w:t>HomeLink</w:t>
            </w:r>
            <w:r>
              <w:rPr>
                <w:rFonts w:ascii="Arial" w:cs="Arial" w:eastAsia="Arial" w:hAnsi="Arial"/>
                <w:sz w:val="23"/>
                <w:szCs w:val="23"/>
                <w:color w:val="auto"/>
                <w:vertAlign w:val="superscript"/>
              </w:rPr>
              <w:t>®</w:t>
            </w:r>
            <w:r>
              <w:rPr>
                <w:rFonts w:ascii="Arial" w:cs="Arial" w:eastAsia="Arial" w:hAnsi="Arial"/>
                <w:sz w:val="18"/>
                <w:szCs w:val="18"/>
                <w:color w:val="auto"/>
              </w:rPr>
              <w:t xml:space="preserve"> Trade Names and Trademarks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52,000,000</w:t>
            </w:r>
          </w:p>
        </w:tc>
        <w:tc>
          <w:tcPr>
            <w:tcW w:w="2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620" w:type="dxa"/>
            <w:vAlign w:val="bottom"/>
            <w:gridSpan w:val="2"/>
          </w:tcPr>
          <w:p>
            <w:pPr>
              <w:ind w:left="1100"/>
              <w:spacing w:after="0"/>
              <w:rPr>
                <w:sz w:val="20"/>
                <w:szCs w:val="20"/>
                <w:color w:val="auto"/>
              </w:rPr>
            </w:pPr>
            <w:r>
              <w:rPr>
                <w:rFonts w:ascii="Arial" w:cs="Arial" w:eastAsia="Arial" w:hAnsi="Arial"/>
                <w:sz w:val="18"/>
                <w:szCs w:val="18"/>
                <w:color w:val="auto"/>
              </w:rPr>
              <w:t>— $</w:t>
            </w:r>
          </w:p>
        </w:tc>
        <w:tc>
          <w:tcPr>
            <w:tcW w:w="1220" w:type="dxa"/>
            <w:vAlign w:val="bottom"/>
          </w:tcPr>
          <w:p>
            <w:pPr>
              <w:jc w:val="right"/>
              <w:spacing w:after="0"/>
              <w:rPr>
                <w:sz w:val="20"/>
                <w:szCs w:val="20"/>
                <w:color w:val="auto"/>
              </w:rPr>
            </w:pPr>
            <w:r>
              <w:rPr>
                <w:rFonts w:ascii="Arial" w:cs="Arial" w:eastAsia="Arial" w:hAnsi="Arial"/>
                <w:sz w:val="18"/>
                <w:szCs w:val="18"/>
                <w:color w:val="auto"/>
              </w:rPr>
              <w:t>52,000,000</w:t>
            </w:r>
          </w:p>
        </w:tc>
        <w:tc>
          <w:tcPr>
            <w:tcW w:w="1100" w:type="dxa"/>
            <w:vAlign w:val="bottom"/>
          </w:tcPr>
          <w:p>
            <w:pPr>
              <w:jc w:val="center"/>
              <w:spacing w:after="0"/>
              <w:rPr>
                <w:sz w:val="20"/>
                <w:szCs w:val="20"/>
                <w:color w:val="auto"/>
              </w:rPr>
            </w:pPr>
            <w:r>
              <w:rPr>
                <w:rFonts w:ascii="Arial" w:cs="Arial" w:eastAsia="Arial" w:hAnsi="Arial"/>
                <w:sz w:val="18"/>
                <w:szCs w:val="18"/>
                <w:color w:val="auto"/>
              </w:rPr>
              <w:t>Indefinite</w:t>
            </w:r>
          </w:p>
        </w:tc>
        <w:tc>
          <w:tcPr>
            <w:tcW w:w="0" w:type="dxa"/>
            <w:vAlign w:val="bottom"/>
          </w:tcPr>
          <w:p>
            <w:pPr>
              <w:spacing w:after="0"/>
              <w:rPr>
                <w:sz w:val="1"/>
                <w:szCs w:val="1"/>
                <w:color w:val="auto"/>
              </w:rPr>
            </w:pPr>
          </w:p>
        </w:tc>
      </w:tr>
      <w:tr>
        <w:trPr>
          <w:trHeight w:val="229"/>
        </w:trPr>
        <w:tc>
          <w:tcPr>
            <w:tcW w:w="4160" w:type="dxa"/>
            <w:vAlign w:val="bottom"/>
            <w:shd w:val="clear" w:color="auto" w:fill="CCEEFF"/>
          </w:tcPr>
          <w:p>
            <w:pPr>
              <w:ind w:left="240"/>
              <w:spacing w:after="0" w:line="230" w:lineRule="exact"/>
              <w:rPr>
                <w:sz w:val="20"/>
                <w:szCs w:val="20"/>
                <w:color w:val="auto"/>
              </w:rPr>
            </w:pPr>
            <w:r>
              <w:rPr>
                <w:rFonts w:ascii="Arial" w:cs="Arial" w:eastAsia="Arial" w:hAnsi="Arial"/>
                <w:sz w:val="18"/>
                <w:szCs w:val="18"/>
                <w:color w:val="auto"/>
              </w:rPr>
              <w:t>HomeLink</w:t>
            </w:r>
            <w:r>
              <w:rPr>
                <w:rFonts w:ascii="Arial" w:cs="Arial" w:eastAsia="Arial" w:hAnsi="Arial"/>
                <w:sz w:val="23"/>
                <w:szCs w:val="23"/>
                <w:color w:val="auto"/>
                <w:vertAlign w:val="superscript"/>
              </w:rPr>
              <w:t>®</w:t>
            </w:r>
            <w:r>
              <w:rPr>
                <w:rFonts w:ascii="Arial" w:cs="Arial" w:eastAsia="Arial" w:hAnsi="Arial"/>
                <w:sz w:val="18"/>
                <w:szCs w:val="18"/>
                <w:color w:val="auto"/>
              </w:rPr>
              <w:t xml:space="preserve"> Technology</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180,000,000</w:t>
            </w:r>
          </w:p>
        </w:tc>
        <w:tc>
          <w:tcPr>
            <w:tcW w:w="2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(168,750,000)</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11,250,000</w:t>
            </w:r>
          </w:p>
        </w:tc>
        <w:tc>
          <w:tcPr>
            <w:tcW w:w="110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12 years</w:t>
            </w:r>
          </w:p>
        </w:tc>
        <w:tc>
          <w:tcPr>
            <w:tcW w:w="0" w:type="dxa"/>
            <w:vAlign w:val="bottom"/>
          </w:tcPr>
          <w:p>
            <w:pPr>
              <w:spacing w:after="0"/>
              <w:rPr>
                <w:sz w:val="1"/>
                <w:szCs w:val="1"/>
                <w:color w:val="auto"/>
              </w:rPr>
            </w:pPr>
          </w:p>
        </w:tc>
      </w:tr>
      <w:tr>
        <w:trPr>
          <w:trHeight w:val="229"/>
        </w:trPr>
        <w:tc>
          <w:tcPr>
            <w:tcW w:w="4160" w:type="dxa"/>
            <w:vAlign w:val="bottom"/>
          </w:tcPr>
          <w:p>
            <w:pPr>
              <w:ind w:left="240"/>
              <w:spacing w:after="0"/>
              <w:rPr>
                <w:sz w:val="20"/>
                <w:szCs w:val="20"/>
                <w:color w:val="auto"/>
              </w:rPr>
            </w:pPr>
            <w:r>
              <w:rPr>
                <w:rFonts w:ascii="Arial" w:cs="Arial" w:eastAsia="Arial" w:hAnsi="Arial"/>
                <w:sz w:val="18"/>
                <w:szCs w:val="18"/>
                <w:color w:val="auto"/>
              </w:rPr>
              <w:t>Existing Customer Platforms</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43,000,000</w:t>
            </w:r>
          </w:p>
        </w:tc>
        <w:tc>
          <w:tcPr>
            <w:tcW w:w="2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(43,000,000)</w:t>
            </w: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center"/>
              <w:spacing w:after="0"/>
              <w:rPr>
                <w:sz w:val="20"/>
                <w:szCs w:val="20"/>
                <w:color w:val="auto"/>
              </w:rPr>
            </w:pPr>
            <w:r>
              <w:rPr>
                <w:rFonts w:ascii="Arial" w:cs="Arial" w:eastAsia="Arial" w:hAnsi="Arial"/>
                <w:sz w:val="18"/>
                <w:szCs w:val="18"/>
                <w:color w:val="auto"/>
              </w:rPr>
              <w:t>10 years</w:t>
            </w:r>
          </w:p>
        </w:tc>
        <w:tc>
          <w:tcPr>
            <w:tcW w:w="0" w:type="dxa"/>
            <w:vAlign w:val="bottom"/>
          </w:tcPr>
          <w:p>
            <w:pPr>
              <w:spacing w:after="0"/>
              <w:rPr>
                <w:sz w:val="1"/>
                <w:szCs w:val="1"/>
                <w:color w:val="auto"/>
              </w:rPr>
            </w:pPr>
          </w:p>
        </w:tc>
      </w:tr>
      <w:tr>
        <w:trPr>
          <w:trHeight w:val="230"/>
        </w:trPr>
        <w:tc>
          <w:tcPr>
            <w:tcW w:w="41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Exclusive Licensing Agreement</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96,000,000</w:t>
            </w:r>
          </w:p>
        </w:tc>
        <w:tc>
          <w:tcPr>
            <w:tcW w:w="280" w:type="dxa"/>
            <w:vAlign w:val="bottom"/>
            <w:shd w:val="clear" w:color="auto" w:fill="CCEEFF"/>
          </w:tcPr>
          <w:p>
            <w:pPr>
              <w:spacing w:after="0"/>
              <w:rPr>
                <w:sz w:val="19"/>
                <w:szCs w:val="19"/>
                <w:color w:val="auto"/>
              </w:rPr>
            </w:pPr>
          </w:p>
        </w:tc>
        <w:tc>
          <w:tcPr>
            <w:tcW w:w="1360" w:type="dxa"/>
            <w:vAlign w:val="bottom"/>
            <w:shd w:val="clear" w:color="auto" w:fill="CCEEFF"/>
          </w:tcPr>
          <w:p>
            <w:pPr>
              <w:ind w:left="11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96,000,000</w:t>
            </w:r>
          </w:p>
        </w:tc>
        <w:tc>
          <w:tcPr>
            <w:tcW w:w="110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Indefinite</w:t>
            </w:r>
          </w:p>
        </w:tc>
        <w:tc>
          <w:tcPr>
            <w:tcW w:w="0" w:type="dxa"/>
            <w:vAlign w:val="bottom"/>
          </w:tcPr>
          <w:p>
            <w:pPr>
              <w:spacing w:after="0"/>
              <w:rPr>
                <w:sz w:val="1"/>
                <w:szCs w:val="1"/>
                <w:color w:val="auto"/>
              </w:rPr>
            </w:pPr>
          </w:p>
        </w:tc>
      </w:tr>
      <w:tr>
        <w:trPr>
          <w:trHeight w:val="229"/>
        </w:trPr>
        <w:tc>
          <w:tcPr>
            <w:tcW w:w="4160" w:type="dxa"/>
            <w:vAlign w:val="bottom"/>
          </w:tcPr>
          <w:p>
            <w:pPr>
              <w:ind w:left="240"/>
              <w:spacing w:after="0"/>
              <w:rPr>
                <w:sz w:val="20"/>
                <w:szCs w:val="20"/>
                <w:color w:val="auto"/>
              </w:rPr>
            </w:pPr>
            <w:r>
              <w:rPr>
                <w:rFonts w:ascii="Arial" w:cs="Arial" w:eastAsia="Arial" w:hAnsi="Arial"/>
                <w:sz w:val="18"/>
                <w:szCs w:val="18"/>
                <w:color w:val="auto"/>
              </w:rPr>
              <w:t>BioCenturion Trade Names and Trademarks</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640,000</w:t>
            </w:r>
          </w:p>
        </w:tc>
        <w:tc>
          <w:tcPr>
            <w:tcW w:w="280" w:type="dxa"/>
            <w:vAlign w:val="bottom"/>
          </w:tcPr>
          <w:p>
            <w:pPr>
              <w:spacing w:after="0"/>
              <w:rPr>
                <w:sz w:val="19"/>
                <w:szCs w:val="19"/>
                <w:color w:val="auto"/>
              </w:rPr>
            </w:pPr>
          </w:p>
        </w:tc>
        <w:tc>
          <w:tcPr>
            <w:tcW w:w="1360" w:type="dxa"/>
            <w:vAlign w:val="bottom"/>
          </w:tcPr>
          <w:p>
            <w:pPr>
              <w:ind w:left="11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640,000</w:t>
            </w:r>
          </w:p>
        </w:tc>
        <w:tc>
          <w:tcPr>
            <w:tcW w:w="1100" w:type="dxa"/>
            <w:vAlign w:val="bottom"/>
          </w:tcPr>
          <w:p>
            <w:pPr>
              <w:jc w:val="center"/>
              <w:spacing w:after="0"/>
              <w:rPr>
                <w:sz w:val="20"/>
                <w:szCs w:val="20"/>
                <w:color w:val="auto"/>
              </w:rPr>
            </w:pPr>
            <w:r>
              <w:rPr>
                <w:rFonts w:ascii="Arial" w:cs="Arial" w:eastAsia="Arial" w:hAnsi="Arial"/>
                <w:sz w:val="18"/>
                <w:szCs w:val="18"/>
                <w:color w:val="auto"/>
              </w:rPr>
              <w:t>10 years</w:t>
            </w:r>
          </w:p>
        </w:tc>
        <w:tc>
          <w:tcPr>
            <w:tcW w:w="0" w:type="dxa"/>
            <w:vAlign w:val="bottom"/>
          </w:tcPr>
          <w:p>
            <w:pPr>
              <w:spacing w:after="0"/>
              <w:rPr>
                <w:sz w:val="1"/>
                <w:szCs w:val="1"/>
                <w:color w:val="auto"/>
              </w:rPr>
            </w:pPr>
          </w:p>
        </w:tc>
      </w:tr>
      <w:tr>
        <w:trPr>
          <w:trHeight w:val="230"/>
        </w:trPr>
        <w:tc>
          <w:tcPr>
            <w:tcW w:w="41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BioCenturion Technology</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2,300,000</w:t>
            </w:r>
          </w:p>
        </w:tc>
        <w:tc>
          <w:tcPr>
            <w:tcW w:w="280" w:type="dxa"/>
            <w:vAlign w:val="bottom"/>
            <w:shd w:val="clear" w:color="auto" w:fill="CCEEFF"/>
          </w:tcPr>
          <w:p>
            <w:pPr>
              <w:spacing w:after="0"/>
              <w:rPr>
                <w:sz w:val="19"/>
                <w:szCs w:val="19"/>
                <w:color w:val="auto"/>
              </w:rPr>
            </w:pPr>
          </w:p>
        </w:tc>
        <w:tc>
          <w:tcPr>
            <w:tcW w:w="1360" w:type="dxa"/>
            <w:vAlign w:val="bottom"/>
            <w:shd w:val="clear" w:color="auto" w:fill="CCEEFF"/>
          </w:tcPr>
          <w:p>
            <w:pPr>
              <w:ind w:left="11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2,300,000</w:t>
            </w:r>
          </w:p>
        </w:tc>
        <w:tc>
          <w:tcPr>
            <w:tcW w:w="110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12 years</w:t>
            </w:r>
          </w:p>
        </w:tc>
        <w:tc>
          <w:tcPr>
            <w:tcW w:w="0" w:type="dxa"/>
            <w:vAlign w:val="bottom"/>
          </w:tcPr>
          <w:p>
            <w:pPr>
              <w:spacing w:after="0"/>
              <w:rPr>
                <w:sz w:val="1"/>
                <w:szCs w:val="1"/>
                <w:color w:val="auto"/>
              </w:rPr>
            </w:pPr>
          </w:p>
        </w:tc>
      </w:tr>
      <w:tr>
        <w:trPr>
          <w:trHeight w:val="229"/>
        </w:trPr>
        <w:tc>
          <w:tcPr>
            <w:tcW w:w="4160" w:type="dxa"/>
            <w:vAlign w:val="bottom"/>
          </w:tcPr>
          <w:p>
            <w:pPr>
              <w:ind w:left="240"/>
              <w:spacing w:after="0"/>
              <w:rPr>
                <w:sz w:val="20"/>
                <w:szCs w:val="20"/>
                <w:color w:val="auto"/>
              </w:rPr>
            </w:pPr>
            <w:r>
              <w:rPr>
                <w:rFonts w:ascii="Arial" w:cs="Arial" w:eastAsia="Arial" w:hAnsi="Arial"/>
                <w:sz w:val="18"/>
                <w:szCs w:val="18"/>
                <w:color w:val="auto"/>
              </w:rPr>
              <w:t>eSight Technology</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12,000,000</w:t>
            </w:r>
          </w:p>
        </w:tc>
        <w:tc>
          <w:tcPr>
            <w:tcW w:w="2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(1,166,667)</w:t>
            </w: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10,833,333</w:t>
            </w:r>
          </w:p>
        </w:tc>
        <w:tc>
          <w:tcPr>
            <w:tcW w:w="1100" w:type="dxa"/>
            <w:vAlign w:val="bottom"/>
          </w:tcPr>
          <w:p>
            <w:pPr>
              <w:jc w:val="center"/>
              <w:spacing w:after="0"/>
              <w:rPr>
                <w:sz w:val="20"/>
                <w:szCs w:val="20"/>
                <w:color w:val="auto"/>
              </w:rPr>
            </w:pPr>
            <w:r>
              <w:rPr>
                <w:rFonts w:ascii="Arial" w:cs="Arial" w:eastAsia="Arial" w:hAnsi="Arial"/>
                <w:sz w:val="18"/>
                <w:szCs w:val="18"/>
                <w:color w:val="auto"/>
              </w:rPr>
              <w:t>12 years</w:t>
            </w:r>
          </w:p>
        </w:tc>
        <w:tc>
          <w:tcPr>
            <w:tcW w:w="0" w:type="dxa"/>
            <w:vAlign w:val="bottom"/>
          </w:tcPr>
          <w:p>
            <w:pPr>
              <w:spacing w:after="0"/>
              <w:rPr>
                <w:sz w:val="1"/>
                <w:szCs w:val="1"/>
                <w:color w:val="auto"/>
              </w:rPr>
            </w:pPr>
          </w:p>
        </w:tc>
      </w:tr>
      <w:tr>
        <w:trPr>
          <w:trHeight w:val="229"/>
        </w:trPr>
        <w:tc>
          <w:tcPr>
            <w:tcW w:w="41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eSight Trade Names and Trademarks</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870,000</w:t>
            </w:r>
          </w:p>
        </w:tc>
        <w:tc>
          <w:tcPr>
            <w:tcW w:w="2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(84,583)</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785,417</w:t>
            </w:r>
          </w:p>
        </w:tc>
        <w:tc>
          <w:tcPr>
            <w:tcW w:w="110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12 years</w:t>
            </w:r>
          </w:p>
        </w:tc>
        <w:tc>
          <w:tcPr>
            <w:tcW w:w="0" w:type="dxa"/>
            <w:vAlign w:val="bottom"/>
          </w:tcPr>
          <w:p>
            <w:pPr>
              <w:spacing w:after="0"/>
              <w:rPr>
                <w:sz w:val="1"/>
                <w:szCs w:val="1"/>
                <w:color w:val="auto"/>
              </w:rPr>
            </w:pPr>
          </w:p>
        </w:tc>
      </w:tr>
      <w:tr>
        <w:trPr>
          <w:trHeight w:val="230"/>
        </w:trPr>
        <w:tc>
          <w:tcPr>
            <w:tcW w:w="4160" w:type="dxa"/>
            <w:vAlign w:val="bottom"/>
          </w:tcPr>
          <w:p>
            <w:pPr>
              <w:ind w:left="240"/>
              <w:spacing w:after="0"/>
              <w:rPr>
                <w:sz w:val="20"/>
                <w:szCs w:val="20"/>
                <w:color w:val="auto"/>
              </w:rPr>
            </w:pPr>
            <w:r>
              <w:rPr>
                <w:rFonts w:ascii="Arial" w:cs="Arial" w:eastAsia="Arial" w:hAnsi="Arial"/>
                <w:sz w:val="18"/>
                <w:szCs w:val="18"/>
                <w:color w:val="auto"/>
              </w:rPr>
              <w:t>Vaporsens In-Process R&amp;D</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5,800,000</w:t>
            </w:r>
          </w:p>
        </w:tc>
        <w:tc>
          <w:tcPr>
            <w:tcW w:w="280" w:type="dxa"/>
            <w:vAlign w:val="bottom"/>
          </w:tcPr>
          <w:p>
            <w:pPr>
              <w:spacing w:after="0"/>
              <w:rPr>
                <w:sz w:val="19"/>
                <w:szCs w:val="19"/>
                <w:color w:val="auto"/>
              </w:rPr>
            </w:pPr>
          </w:p>
        </w:tc>
        <w:tc>
          <w:tcPr>
            <w:tcW w:w="1360" w:type="dxa"/>
            <w:vAlign w:val="bottom"/>
          </w:tcPr>
          <w:p>
            <w:pPr>
              <w:ind w:left="11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5,800,000</w:t>
            </w:r>
          </w:p>
        </w:tc>
        <w:tc>
          <w:tcPr>
            <w:tcW w:w="1100" w:type="dxa"/>
            <w:vAlign w:val="bottom"/>
          </w:tcPr>
          <w:p>
            <w:pPr>
              <w:jc w:val="center"/>
              <w:spacing w:after="0"/>
              <w:rPr>
                <w:sz w:val="20"/>
                <w:szCs w:val="20"/>
                <w:color w:val="auto"/>
              </w:rPr>
            </w:pPr>
            <w:r>
              <w:rPr>
                <w:rFonts w:ascii="Arial" w:cs="Arial" w:eastAsia="Arial" w:hAnsi="Arial"/>
                <w:sz w:val="18"/>
                <w:szCs w:val="18"/>
                <w:color w:val="auto"/>
              </w:rPr>
              <w:t>Indefinite</w:t>
            </w:r>
          </w:p>
        </w:tc>
        <w:tc>
          <w:tcPr>
            <w:tcW w:w="0" w:type="dxa"/>
            <w:vAlign w:val="bottom"/>
          </w:tcPr>
          <w:p>
            <w:pPr>
              <w:spacing w:after="0"/>
              <w:rPr>
                <w:sz w:val="1"/>
                <w:szCs w:val="1"/>
                <w:color w:val="auto"/>
              </w:rPr>
            </w:pPr>
          </w:p>
        </w:tc>
      </w:tr>
      <w:tr>
        <w:trPr>
          <w:trHeight w:val="229"/>
        </w:trPr>
        <w:tc>
          <w:tcPr>
            <w:tcW w:w="41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Argil In-Process R&amp;D</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6,278,132</w:t>
            </w:r>
          </w:p>
        </w:tc>
        <w:tc>
          <w:tcPr>
            <w:tcW w:w="280" w:type="dxa"/>
            <w:vAlign w:val="bottom"/>
            <w:shd w:val="clear" w:color="auto" w:fill="CCEEFF"/>
          </w:tcPr>
          <w:p>
            <w:pPr>
              <w:spacing w:after="0"/>
              <w:rPr>
                <w:sz w:val="19"/>
                <w:szCs w:val="19"/>
                <w:color w:val="auto"/>
              </w:rPr>
            </w:pPr>
          </w:p>
        </w:tc>
        <w:tc>
          <w:tcPr>
            <w:tcW w:w="1360" w:type="dxa"/>
            <w:vAlign w:val="bottom"/>
            <w:shd w:val="clear" w:color="auto" w:fill="CCEEFF"/>
          </w:tcPr>
          <w:p>
            <w:pPr>
              <w:ind w:left="11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6,278,132</w:t>
            </w:r>
          </w:p>
        </w:tc>
        <w:tc>
          <w:tcPr>
            <w:tcW w:w="110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Indefinite</w:t>
            </w:r>
          </w:p>
        </w:tc>
        <w:tc>
          <w:tcPr>
            <w:tcW w:w="0" w:type="dxa"/>
            <w:vAlign w:val="bottom"/>
          </w:tcPr>
          <w:p>
            <w:pPr>
              <w:spacing w:after="0"/>
              <w:rPr>
                <w:sz w:val="1"/>
                <w:szCs w:val="1"/>
                <w:color w:val="auto"/>
              </w:rPr>
            </w:pPr>
          </w:p>
        </w:tc>
      </w:tr>
      <w:tr>
        <w:trPr>
          <w:trHeight w:val="229"/>
        </w:trPr>
        <w:tc>
          <w:tcPr>
            <w:tcW w:w="4160" w:type="dxa"/>
            <w:vAlign w:val="bottom"/>
          </w:tcPr>
          <w:p>
            <w:pPr>
              <w:ind w:left="240"/>
              <w:spacing w:after="0"/>
              <w:rPr>
                <w:sz w:val="20"/>
                <w:szCs w:val="20"/>
                <w:color w:val="auto"/>
              </w:rPr>
            </w:pPr>
            <w:r>
              <w:rPr>
                <w:rFonts w:ascii="Arial" w:cs="Arial" w:eastAsia="Arial" w:hAnsi="Arial"/>
                <w:sz w:val="18"/>
                <w:szCs w:val="18"/>
                <w:color w:val="auto"/>
              </w:rPr>
              <w:t>Air-Craftglass In-Process R&amp;D</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1,507,778</w:t>
            </w:r>
          </w:p>
        </w:tc>
        <w:tc>
          <w:tcPr>
            <w:tcW w:w="280" w:type="dxa"/>
            <w:vAlign w:val="bottom"/>
          </w:tcPr>
          <w:p>
            <w:pPr>
              <w:spacing w:after="0"/>
              <w:rPr>
                <w:sz w:val="19"/>
                <w:szCs w:val="19"/>
                <w:color w:val="auto"/>
              </w:rPr>
            </w:pPr>
          </w:p>
        </w:tc>
        <w:tc>
          <w:tcPr>
            <w:tcW w:w="1360" w:type="dxa"/>
            <w:vAlign w:val="bottom"/>
          </w:tcPr>
          <w:p>
            <w:pPr>
              <w:ind w:left="11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1,507,778</w:t>
            </w:r>
          </w:p>
        </w:tc>
        <w:tc>
          <w:tcPr>
            <w:tcW w:w="1100" w:type="dxa"/>
            <w:vAlign w:val="bottom"/>
          </w:tcPr>
          <w:p>
            <w:pPr>
              <w:jc w:val="center"/>
              <w:spacing w:after="0"/>
              <w:rPr>
                <w:sz w:val="20"/>
                <w:szCs w:val="20"/>
                <w:color w:val="auto"/>
              </w:rPr>
            </w:pPr>
            <w:r>
              <w:rPr>
                <w:rFonts w:ascii="Arial" w:cs="Arial" w:eastAsia="Arial" w:hAnsi="Arial"/>
                <w:sz w:val="18"/>
                <w:szCs w:val="18"/>
                <w:color w:val="auto"/>
              </w:rPr>
              <w:t>Indefinite</w:t>
            </w:r>
          </w:p>
        </w:tc>
        <w:tc>
          <w:tcPr>
            <w:tcW w:w="0" w:type="dxa"/>
            <w:vAlign w:val="bottom"/>
          </w:tcPr>
          <w:p>
            <w:pPr>
              <w:spacing w:after="0"/>
              <w:rPr>
                <w:sz w:val="1"/>
                <w:szCs w:val="1"/>
                <w:color w:val="auto"/>
              </w:rPr>
            </w:pPr>
          </w:p>
        </w:tc>
      </w:tr>
      <w:tr>
        <w:trPr>
          <w:trHeight w:val="230"/>
        </w:trPr>
        <w:tc>
          <w:tcPr>
            <w:tcW w:w="41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Guardian Trade Names</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1,300,000</w:t>
            </w:r>
          </w:p>
        </w:tc>
        <w:tc>
          <w:tcPr>
            <w:tcW w:w="2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(54,167)</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1,245,833</w:t>
            </w:r>
          </w:p>
        </w:tc>
        <w:tc>
          <w:tcPr>
            <w:tcW w:w="110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12 years</w:t>
            </w:r>
          </w:p>
        </w:tc>
        <w:tc>
          <w:tcPr>
            <w:tcW w:w="0" w:type="dxa"/>
            <w:vAlign w:val="bottom"/>
          </w:tcPr>
          <w:p>
            <w:pPr>
              <w:spacing w:after="0"/>
              <w:rPr>
                <w:sz w:val="1"/>
                <w:szCs w:val="1"/>
                <w:color w:val="auto"/>
              </w:rPr>
            </w:pPr>
          </w:p>
        </w:tc>
      </w:tr>
      <w:tr>
        <w:trPr>
          <w:trHeight w:val="229"/>
        </w:trPr>
        <w:tc>
          <w:tcPr>
            <w:tcW w:w="416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Guardian In-Process R&amp;D</w:t>
            </w: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6,800,000</w:t>
            </w:r>
          </w:p>
        </w:tc>
        <w:tc>
          <w:tcPr>
            <w:tcW w:w="2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(283,333)</w:t>
            </w:r>
          </w:p>
        </w:tc>
        <w:tc>
          <w:tcPr>
            <w:tcW w:w="2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6,516,667</w:t>
            </w:r>
          </w:p>
        </w:tc>
        <w:tc>
          <w:tcPr>
            <w:tcW w:w="1100" w:type="dxa"/>
            <w:vAlign w:val="bottom"/>
            <w:tcBorders>
              <w:bottom w:val="single" w:sz="8" w:color="CCEEFF"/>
            </w:tcBorders>
          </w:tcPr>
          <w:p>
            <w:pPr>
              <w:jc w:val="center"/>
              <w:spacing w:after="0"/>
              <w:rPr>
                <w:sz w:val="20"/>
                <w:szCs w:val="20"/>
                <w:color w:val="auto"/>
              </w:rPr>
            </w:pPr>
            <w:r>
              <w:rPr>
                <w:rFonts w:ascii="Arial" w:cs="Arial" w:eastAsia="Arial" w:hAnsi="Arial"/>
                <w:sz w:val="18"/>
                <w:szCs w:val="18"/>
                <w:color w:val="auto"/>
              </w:rPr>
              <w:t>12 years</w:t>
            </w:r>
          </w:p>
        </w:tc>
        <w:tc>
          <w:tcPr>
            <w:tcW w:w="0" w:type="dxa"/>
            <w:vAlign w:val="bottom"/>
          </w:tcPr>
          <w:p>
            <w:pPr>
              <w:spacing w:after="0"/>
              <w:rPr>
                <w:sz w:val="1"/>
                <w:szCs w:val="1"/>
                <w:color w:val="auto"/>
              </w:rPr>
            </w:pPr>
          </w:p>
        </w:tc>
      </w:tr>
      <w:tr>
        <w:trPr>
          <w:trHeight w:val="248"/>
        </w:trPr>
        <w:tc>
          <w:tcPr>
            <w:tcW w:w="4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Other Intangible Assets</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408,495,910</w:t>
            </w:r>
          </w:p>
        </w:tc>
        <w:tc>
          <w:tcPr>
            <w:tcW w:w="2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(213,338,750)</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195,157,160</w:t>
            </w: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1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5"/>
        </w:trPr>
        <w:tc>
          <w:tcPr>
            <w:tcW w:w="4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Patents &amp; Other Intangible Assets</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447,762,319</w:t>
            </w:r>
          </w:p>
        </w:tc>
        <w:tc>
          <w:tcPr>
            <w:tcW w:w="2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(241,476,511)</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206,285,808</w:t>
            </w: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1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jc w:val="both"/>
        <w:ind w:left="660"/>
        <w:spacing w:after="0" w:line="287" w:lineRule="auto"/>
        <w:rPr>
          <w:sz w:val="20"/>
          <w:szCs w:val="20"/>
          <w:color w:val="auto"/>
        </w:rPr>
      </w:pPr>
      <w:r>
        <w:rPr>
          <w:rFonts w:ascii="Arial" w:cs="Arial" w:eastAsia="Arial" w:hAnsi="Arial"/>
          <w:sz w:val="18"/>
          <w:szCs w:val="18"/>
          <w:color w:val="auto"/>
        </w:rPr>
        <w:t>Amortization expense on patents and intangible assets was approximately $4.6 million during the three months ended March 31, 2025, compared to approximately $4.5 million for the three months ended March 31, 2024.</w:t>
      </w:r>
    </w:p>
    <w:p>
      <w:pPr>
        <w:spacing w:after="0" w:line="180" w:lineRule="exact"/>
        <w:rPr>
          <w:sz w:val="20"/>
          <w:szCs w:val="20"/>
          <w:color w:val="auto"/>
        </w:rPr>
      </w:pPr>
    </w:p>
    <w:p>
      <w:pPr>
        <w:jc w:val="both"/>
        <w:ind w:left="660" w:right="20"/>
        <w:spacing w:after="0" w:line="268" w:lineRule="auto"/>
        <w:rPr>
          <w:sz w:val="20"/>
          <w:szCs w:val="20"/>
          <w:color w:val="auto"/>
        </w:rPr>
      </w:pPr>
      <w:r>
        <w:rPr>
          <w:rFonts w:ascii="Arial" w:cs="Arial" w:eastAsia="Arial" w:hAnsi="Arial"/>
          <w:sz w:val="18"/>
          <w:szCs w:val="18"/>
          <w:color w:val="auto"/>
        </w:rPr>
        <w:t>Excluding the impact of any future acquisitions, the Company estimates amortization expense for the year ending December 31, 2025 to be approximately $14.5 million, and for each of the years ending December 31, 2026, December 31, 2027, December 31, 2028, and December 31, 2029 to be approximately $3 million.</w:t>
      </w:r>
    </w:p>
    <w:p>
      <w:pPr>
        <w:spacing w:after="0" w:line="200" w:lineRule="exact"/>
        <w:rPr>
          <w:sz w:val="20"/>
          <w:szCs w:val="20"/>
          <w:color w:val="auto"/>
        </w:rPr>
      </w:pPr>
    </w:p>
    <w:p>
      <w:pPr>
        <w:spacing w:after="0" w:line="241" w:lineRule="exact"/>
        <w:rPr>
          <w:sz w:val="20"/>
          <w:szCs w:val="20"/>
          <w:color w:val="auto"/>
        </w:rPr>
      </w:pPr>
    </w:p>
    <w:p>
      <w:pPr>
        <w:ind w:left="420" w:hanging="412"/>
        <w:spacing w:after="0"/>
        <w:tabs>
          <w:tab w:leader="none" w:pos="42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Investments</w:t>
      </w:r>
    </w:p>
    <w:p>
      <w:pPr>
        <w:spacing w:after="0" w:line="146" w:lineRule="exact"/>
        <w:rPr>
          <w:sz w:val="20"/>
          <w:szCs w:val="20"/>
          <w:color w:val="auto"/>
        </w:rPr>
      </w:pPr>
    </w:p>
    <w:p>
      <w:pPr>
        <w:ind w:left="660"/>
        <w:spacing w:after="0"/>
        <w:rPr>
          <w:sz w:val="20"/>
          <w:szCs w:val="20"/>
          <w:color w:val="auto"/>
        </w:rPr>
      </w:pPr>
      <w:r>
        <w:rPr>
          <w:rFonts w:ascii="Arial" w:cs="Arial" w:eastAsia="Arial" w:hAnsi="Arial"/>
          <w:sz w:val="18"/>
          <w:szCs w:val="18"/>
          <w:i w:val="1"/>
          <w:iCs w:val="1"/>
          <w:u w:val="single" w:color="auto"/>
          <w:color w:val="auto"/>
        </w:rPr>
        <w:t>Available for sale securities</w:t>
      </w:r>
    </w:p>
    <w:p>
      <w:pPr>
        <w:spacing w:after="0" w:line="156" w:lineRule="exact"/>
        <w:rPr>
          <w:sz w:val="20"/>
          <w:szCs w:val="20"/>
          <w:color w:val="auto"/>
        </w:rPr>
      </w:pPr>
    </w:p>
    <w:p>
      <w:pPr>
        <w:jc w:val="both"/>
        <w:ind w:left="660"/>
        <w:spacing w:after="0" w:line="256" w:lineRule="auto"/>
        <w:rPr>
          <w:sz w:val="20"/>
          <w:szCs w:val="20"/>
          <w:color w:val="auto"/>
        </w:rPr>
      </w:pPr>
      <w:r>
        <w:rPr>
          <w:rFonts w:ascii="Arial" w:cs="Arial" w:eastAsia="Arial" w:hAnsi="Arial"/>
          <w:sz w:val="18"/>
          <w:szCs w:val="18"/>
          <w:color w:val="auto"/>
        </w:rPr>
        <w:t xml:space="preserve">The Company follows the provisions of Accounting Standards Codification ("ASC") 820, </w:t>
      </w:r>
      <w:r>
        <w:rPr>
          <w:rFonts w:ascii="Arial" w:cs="Arial" w:eastAsia="Arial" w:hAnsi="Arial"/>
          <w:sz w:val="18"/>
          <w:szCs w:val="18"/>
          <w:i w:val="1"/>
          <w:iCs w:val="1"/>
          <w:color w:val="auto"/>
        </w:rPr>
        <w:t>Fair Value Measurements and Disclosures</w:t>
      </w:r>
      <w:r>
        <w:rPr>
          <w:rFonts w:ascii="Arial" w:cs="Arial" w:eastAsia="Arial" w:hAnsi="Arial"/>
          <w:sz w:val="18"/>
          <w:szCs w:val="18"/>
          <w:color w:val="auto"/>
        </w:rPr>
        <w:t>, for its financial assets and liabilities, and for its non-financial assets and liabilities subject to fair value measurements. ASC 820 provides a framework for measuring the fair value of assets and liabilities. This framework is intended to provide increased consistency in how fair value determinations are made under various existing accounting standards that permit, or in some cases, require estimates of fair-market value. This standard also expanded financial statement disclosure requirements with respect to a company’s use of fair-value measurements, including the effect of such measurements on earnings. The cost of securities sold is based on the specific identification method.</w:t>
      </w:r>
    </w:p>
    <w:p>
      <w:pPr>
        <w:spacing w:after="0" w:line="115" w:lineRule="exact"/>
        <w:rPr>
          <w:sz w:val="20"/>
          <w:szCs w:val="20"/>
          <w:color w:val="auto"/>
        </w:rPr>
      </w:pPr>
    </w:p>
    <w:p>
      <w:pPr>
        <w:jc w:val="both"/>
        <w:ind w:left="660"/>
        <w:spacing w:after="0" w:line="268" w:lineRule="auto"/>
        <w:rPr>
          <w:sz w:val="20"/>
          <w:szCs w:val="20"/>
          <w:color w:val="auto"/>
        </w:rPr>
      </w:pPr>
      <w:r>
        <w:rPr>
          <w:rFonts w:ascii="Arial" w:cs="Arial" w:eastAsia="Arial" w:hAnsi="Arial"/>
          <w:sz w:val="18"/>
          <w:szCs w:val="18"/>
          <w:color w:val="auto"/>
        </w:rPr>
        <w:t>The Company determines the fair value of its government securities, asset-backed securities, municipal bonds, and corporate bonds by utilizing monthly valuation statements that are provided by its broker. The broker determines the investment valuation by utilizing the bid price in the market and also refers to third party sources to validate valuations, and as such are classified as Level 2 assets.</w:t>
      </w:r>
    </w:p>
    <w:p>
      <w:pPr>
        <w:spacing w:after="0" w:line="200" w:lineRule="exact"/>
        <w:rPr>
          <w:sz w:val="20"/>
          <w:szCs w:val="20"/>
          <w:color w:val="auto"/>
        </w:rPr>
      </w:pPr>
    </w:p>
    <w:p>
      <w:pPr>
        <w:spacing w:after="0" w:line="349" w:lineRule="exact"/>
        <w:rPr>
          <w:sz w:val="20"/>
          <w:szCs w:val="20"/>
          <w:color w:val="auto"/>
        </w:rPr>
      </w:pPr>
    </w:p>
    <w:p>
      <w:pPr>
        <w:ind w:left="11060"/>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88265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1" w:name="page12"/>
    <w:bookmarkEnd w:id="11"/>
    <w:p>
      <w:pPr>
        <w:jc w:val="center"/>
        <w:ind w:right="640"/>
        <w:spacing w:after="0"/>
        <w:rPr>
          <w:sz w:val="20"/>
          <w:szCs w:val="20"/>
          <w:color w:val="auto"/>
        </w:rPr>
      </w:pPr>
      <w:r>
        <w:rPr>
          <w:rFonts w:ascii="Arial" w:cs="Arial" w:eastAsia="Arial" w:hAnsi="Arial"/>
          <w:sz w:val="18"/>
          <w:szCs w:val="18"/>
          <w:b w:val="1"/>
          <w:bCs w:val="1"/>
          <w:u w:val="single" w:color="auto"/>
          <w:color w:val="auto"/>
        </w:rPr>
        <w:t>GENTEX CORPORATION AND SUBSIDIARIES</w:t>
      </w:r>
    </w:p>
    <w:p>
      <w:pPr>
        <w:spacing w:after="0" w:line="239" w:lineRule="exact"/>
        <w:rPr>
          <w:sz w:val="20"/>
          <w:szCs w:val="20"/>
          <w:color w:val="auto"/>
        </w:rPr>
      </w:pPr>
    </w:p>
    <w:p>
      <w:pPr>
        <w:jc w:val="center"/>
        <w:ind w:right="640"/>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7" w:lineRule="exact"/>
        <w:rPr>
          <w:sz w:val="20"/>
          <w:szCs w:val="20"/>
          <w:color w:val="auto"/>
        </w:rPr>
      </w:pPr>
    </w:p>
    <w:p>
      <w:pPr>
        <w:jc w:val="center"/>
        <w:ind w:right="640"/>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Company's certificates of deposit are classified as available for sale and are considered as Level 1 assets. These investments are carried at cost, which approximates fair value.</w:t>
      </w:r>
    </w:p>
    <w:p>
      <w:pPr>
        <w:spacing w:after="0" w:line="7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As of March 31, 2025, the Company held a total of 6,463,808 shares of VOXX International Corporation ("VOXX") Class A Common Stock. The VOXX shares held by the Company as of March 31, 2025 were publicly traded, had a readily determinable fair market value, and were considered Level 1 assets. The Company accounted for the VOXX investment in accordance with ASC 323 – </w:t>
      </w:r>
      <w:r>
        <w:rPr>
          <w:rFonts w:ascii="Arial" w:cs="Arial" w:eastAsia="Arial" w:hAnsi="Arial"/>
          <w:sz w:val="18"/>
          <w:szCs w:val="18"/>
          <w:i w:val="1"/>
          <w:iCs w:val="1"/>
          <w:color w:val="auto"/>
        </w:rPr>
        <w:t>Investments – Equity Method and Joint Venture</w:t>
      </w:r>
      <w:r>
        <w:rPr>
          <w:rFonts w:ascii="Arial" w:cs="Arial" w:eastAsia="Arial" w:hAnsi="Arial"/>
          <w:sz w:val="18"/>
          <w:szCs w:val="18"/>
          <w:color w:val="auto"/>
        </w:rPr>
        <w:t>, with the election to use the Fair Value Option under ASC 825 -</w:t>
      </w:r>
      <w:r>
        <w:rPr>
          <w:rFonts w:ascii="Arial" w:cs="Arial" w:eastAsia="Arial" w:hAnsi="Arial"/>
          <w:sz w:val="18"/>
          <w:szCs w:val="18"/>
          <w:i w:val="1"/>
          <w:iCs w:val="1"/>
          <w:color w:val="auto"/>
        </w:rPr>
        <w:t xml:space="preserve"> Fair Value </w:t>
      </w:r>
      <w:r>
        <w:rPr>
          <w:rFonts w:ascii="Arial" w:cs="Arial" w:eastAsia="Arial" w:hAnsi="Arial"/>
          <w:sz w:val="18"/>
          <w:szCs w:val="18"/>
          <w:color w:val="auto"/>
        </w:rPr>
        <w:t>prior to</w:t>
      </w:r>
      <w:r>
        <w:rPr>
          <w:rFonts w:ascii="Arial" w:cs="Arial" w:eastAsia="Arial" w:hAnsi="Arial"/>
          <w:sz w:val="18"/>
          <w:szCs w:val="18"/>
          <w:i w:val="1"/>
          <w:iCs w:val="1"/>
          <w:color w:val="auto"/>
        </w:rPr>
        <w:t xml:space="preserve"> </w:t>
      </w:r>
      <w:r>
        <w:rPr>
          <w:rFonts w:ascii="Arial" w:cs="Arial" w:eastAsia="Arial" w:hAnsi="Arial"/>
          <w:sz w:val="18"/>
          <w:szCs w:val="18"/>
          <w:color w:val="auto"/>
        </w:rPr>
        <w:t>April 1, 2025. As a result of this election, changes in fair value of the shares have been recorded in Investment income (loss), net, in the Unaudited Condensed Consolidated Statements of Income. The Company recorded $0.8 million of gain during the three months ended March 31, 2025, and $7.3 million of loss during the three months ended March 31, 2024 relating to mark to market adjustments in investment income related to VOXX.</w:t>
      </w:r>
    </w:p>
    <w:p>
      <w:pPr>
        <w:spacing w:after="0" w:line="11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 xml:space="preserve">On April 1, 2025, the Company, completed its previously announced merger of VOXX pursuant to that certain Agreement and Plan of Merger dated as of December 17, 2024, acquiring all of the issued and outstanding shares of VOXX common stock not already owned by the Company for a purchase price of $7.50 per share (see </w:t>
      </w:r>
      <w:r>
        <w:rPr>
          <w:rFonts w:ascii="Arial" w:cs="Arial" w:eastAsia="Arial" w:hAnsi="Arial"/>
          <w:sz w:val="18"/>
          <w:szCs w:val="18"/>
          <w:u w:val="single" w:color="auto"/>
          <w:color w:val="0000FF"/>
        </w:rPr>
        <w:t>Note 16</w:t>
      </w:r>
      <w:r>
        <w:rPr>
          <w:rFonts w:ascii="Arial" w:cs="Arial" w:eastAsia="Arial" w:hAnsi="Arial"/>
          <w:sz w:val="18"/>
          <w:szCs w:val="18"/>
          <w:color w:val="auto"/>
        </w:rPr>
        <w:t>).</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Technology Investments</w:t>
      </w:r>
    </w:p>
    <w:p>
      <w:pPr>
        <w:spacing w:after="0" w:line="250"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 xml:space="preserve">The Company also periodically makes strategic investments in the non-marketable debt or equity securities of other non-consolidated third parties ("Technology Investments"). Such Technology Investments totaled approximately $163.0 million as of March 31, 2025, of which $152.0 million and $11.0 million are recorded in long-term investments and short-term investments, respectively, on the Unaudited Condensed Consolidated Balance Sheet. Such Technology Investments totaled approximately $155.9 million as of December 31, 2024, of which $149.9 million and $6.0 million are recorded in long-term investments and short-term investments, respectively, on the Condensed Consolidated Balance Sheet. Depending on the form of investment, and the degree of influence the Company has over the investee, the Company primarily accounts for the Technology Investments in accordance with ASC 321, </w:t>
      </w:r>
      <w:r>
        <w:rPr>
          <w:rFonts w:ascii="Arial" w:cs="Arial" w:eastAsia="Arial" w:hAnsi="Arial"/>
          <w:sz w:val="17"/>
          <w:szCs w:val="17"/>
          <w:i w:val="1"/>
          <w:iCs w:val="1"/>
          <w:color w:val="auto"/>
        </w:rPr>
        <w:t>Investments - Equity Securities</w:t>
      </w:r>
      <w:r>
        <w:rPr>
          <w:rFonts w:ascii="Arial" w:cs="Arial" w:eastAsia="Arial" w:hAnsi="Arial"/>
          <w:sz w:val="17"/>
          <w:szCs w:val="17"/>
          <w:color w:val="auto"/>
        </w:rPr>
        <w:t xml:space="preserve"> or ASC 323, </w:t>
      </w:r>
      <w:r>
        <w:rPr>
          <w:rFonts w:ascii="Arial" w:cs="Arial" w:eastAsia="Arial" w:hAnsi="Arial"/>
          <w:sz w:val="17"/>
          <w:szCs w:val="17"/>
          <w:i w:val="1"/>
          <w:iCs w:val="1"/>
          <w:color w:val="auto"/>
        </w:rPr>
        <w:t>Investments – Equity Method and Joint Venture</w:t>
      </w:r>
      <w:r>
        <w:rPr>
          <w:rFonts w:ascii="Arial" w:cs="Arial" w:eastAsia="Arial" w:hAnsi="Arial"/>
          <w:sz w:val="17"/>
          <w:szCs w:val="17"/>
          <w:color w:val="auto"/>
        </w:rPr>
        <w:t>. The Company accounts for equity securities in non-controlled affiliates through which the Company exercises significant influence but does not have control over the investee under the equity method, with the Company’s share of the earnings or losses of non-controlled affiliates recognized within Other (loss) income, net, in the Company's accompanying Unaudited Condensed Consolidated Statements of Income. All other Technology Investments that the Company holds are primarily accounted for under the measurement alternative of ASC 321. Under the measurement alternative, the carrying value is measured at cost, less any impairment, plus or minus changes resulting from observable price changes in orderly transactions for identical or similar investments of the same issuer.</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color w:val="auto"/>
        </w:rPr>
        <w:t>Assets or liabilities that have recurring fair value measurements are shown below as of March 31, 2025 and December 31, 2024.</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-426085</wp:posOffset>
            </wp:positionH>
            <wp:positionV relativeFrom="paragraph">
              <wp:posOffset>73660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80"/>
          </w:cols>
          <w:pgMar w:left="980" w:top="364" w:right="339" w:bottom="1440" w:gutter="0" w:footer="0" w:header="0"/>
        </w:sectPr>
      </w:pPr>
    </w:p>
    <w:bookmarkStart w:id="12" w:name="page13"/>
    <w:bookmarkEnd w:id="12"/>
    <w:p>
      <w:pPr>
        <w:jc w:val="center"/>
        <w:ind w:right="640"/>
        <w:spacing w:after="0"/>
        <w:rPr>
          <w:sz w:val="20"/>
          <w:szCs w:val="20"/>
          <w:color w:val="auto"/>
        </w:rPr>
      </w:pPr>
      <w:r>
        <w:rPr>
          <w:rFonts w:ascii="Arial" w:cs="Arial" w:eastAsia="Arial" w:hAnsi="Arial"/>
          <w:sz w:val="18"/>
          <w:szCs w:val="18"/>
          <w:b w:val="1"/>
          <w:bCs w:val="1"/>
          <w:u w:val="single" w:color="auto"/>
          <w:color w:val="auto"/>
        </w:rPr>
        <w:t>GENTEX CORPORATION AND SUBSIDIARIES</w:t>
      </w:r>
    </w:p>
    <w:p>
      <w:pPr>
        <w:spacing w:after="0" w:line="239" w:lineRule="exact"/>
        <w:rPr>
          <w:sz w:val="20"/>
          <w:szCs w:val="20"/>
          <w:color w:val="auto"/>
        </w:rPr>
      </w:pPr>
    </w:p>
    <w:p>
      <w:pPr>
        <w:jc w:val="center"/>
        <w:ind w:right="640"/>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7" w:lineRule="exact"/>
        <w:rPr>
          <w:sz w:val="20"/>
          <w:szCs w:val="20"/>
          <w:color w:val="auto"/>
        </w:rPr>
      </w:pPr>
    </w:p>
    <w:p>
      <w:pPr>
        <w:jc w:val="center"/>
        <w:ind w:right="640"/>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As of March 31, 2025:</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4920" w:type="dxa"/>
            <w:vAlign w:val="bottom"/>
            <w:tcBorders>
              <w:bottom w:val="single" w:sz="8" w:color="auto"/>
            </w:tcBorders>
            <w:gridSpan w:val="12"/>
          </w:tcPr>
          <w:p>
            <w:pPr>
              <w:jc w:val="center"/>
              <w:ind w:right="160"/>
              <w:spacing w:after="0"/>
              <w:rPr>
                <w:sz w:val="20"/>
                <w:szCs w:val="20"/>
                <w:color w:val="auto"/>
              </w:rPr>
            </w:pPr>
            <w:r>
              <w:rPr>
                <w:rFonts w:ascii="Arial" w:cs="Arial" w:eastAsia="Arial" w:hAnsi="Arial"/>
                <w:sz w:val="14"/>
                <w:szCs w:val="14"/>
                <w:b w:val="1"/>
                <w:bCs w:val="1"/>
                <w:color w:val="auto"/>
              </w:rPr>
              <w:t>Fair Value Measurements at Reporting Date Using</w:t>
            </w:r>
          </w:p>
        </w:tc>
        <w:tc>
          <w:tcPr>
            <w:tcW w:w="0" w:type="dxa"/>
            <w:vAlign w:val="bottom"/>
          </w:tcPr>
          <w:p>
            <w:pPr>
              <w:spacing w:after="0"/>
              <w:rPr>
                <w:sz w:val="1"/>
                <w:szCs w:val="1"/>
                <w:color w:val="auto"/>
              </w:rPr>
            </w:pPr>
          </w:p>
        </w:tc>
      </w:tr>
      <w:tr>
        <w:trPr>
          <w:trHeight w:val="147"/>
        </w:trPr>
        <w:tc>
          <w:tcPr>
            <w:tcW w:w="2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0" w:type="dxa"/>
            <w:vAlign w:val="bottom"/>
            <w:gridSpan w:val="4"/>
          </w:tcPr>
          <w:p>
            <w:pPr>
              <w:jc w:val="center"/>
              <w:ind w:right="300"/>
              <w:spacing w:after="0" w:line="147" w:lineRule="exact"/>
              <w:rPr>
                <w:sz w:val="20"/>
                <w:szCs w:val="20"/>
                <w:color w:val="auto"/>
              </w:rPr>
            </w:pPr>
            <w:r>
              <w:rPr>
                <w:rFonts w:ascii="Arial" w:cs="Arial" w:eastAsia="Arial" w:hAnsi="Arial"/>
                <w:sz w:val="14"/>
                <w:szCs w:val="14"/>
                <w:b w:val="1"/>
                <w:bCs w:val="1"/>
                <w:color w:val="auto"/>
              </w:rPr>
              <w:t>Quoted Prices in</w:t>
            </w:r>
          </w:p>
        </w:tc>
        <w:tc>
          <w:tcPr>
            <w:tcW w:w="140" w:type="dxa"/>
            <w:vAlign w:val="bottom"/>
          </w:tcPr>
          <w:p>
            <w:pPr>
              <w:spacing w:after="0"/>
              <w:rPr>
                <w:sz w:val="12"/>
                <w:szCs w:val="12"/>
                <w:color w:val="auto"/>
              </w:rPr>
            </w:pPr>
          </w:p>
        </w:tc>
        <w:tc>
          <w:tcPr>
            <w:tcW w:w="1440" w:type="dxa"/>
            <w:vAlign w:val="bottom"/>
            <w:gridSpan w:val="2"/>
          </w:tcPr>
          <w:p>
            <w:pPr>
              <w:jc w:val="center"/>
              <w:ind w:right="160"/>
              <w:spacing w:after="0" w:line="147" w:lineRule="exact"/>
              <w:rPr>
                <w:sz w:val="20"/>
                <w:szCs w:val="20"/>
                <w:color w:val="auto"/>
              </w:rPr>
            </w:pPr>
            <w:r>
              <w:rPr>
                <w:rFonts w:ascii="Arial" w:cs="Arial" w:eastAsia="Arial" w:hAnsi="Arial"/>
                <w:sz w:val="14"/>
                <w:szCs w:val="14"/>
                <w:b w:val="1"/>
                <w:bCs w:val="1"/>
                <w:color w:val="auto"/>
              </w:rPr>
              <w:t>Significant Other</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80" w:type="dxa"/>
            <w:vAlign w:val="bottom"/>
            <w:gridSpan w:val="2"/>
          </w:tcPr>
          <w:p>
            <w:pPr>
              <w:jc w:val="center"/>
              <w:ind w:right="200"/>
              <w:spacing w:after="0" w:line="147" w:lineRule="exact"/>
              <w:rPr>
                <w:sz w:val="20"/>
                <w:szCs w:val="20"/>
                <w:color w:val="auto"/>
              </w:rPr>
            </w:pPr>
            <w:r>
              <w:rPr>
                <w:rFonts w:ascii="Arial" w:cs="Arial" w:eastAsia="Arial" w:hAnsi="Arial"/>
                <w:sz w:val="14"/>
                <w:szCs w:val="14"/>
                <w:b w:val="1"/>
                <w:bCs w:val="1"/>
                <w:color w:val="auto"/>
              </w:rPr>
              <w:t>Significant</w:t>
            </w:r>
          </w:p>
        </w:tc>
        <w:tc>
          <w:tcPr>
            <w:tcW w:w="0" w:type="dxa"/>
            <w:vAlign w:val="bottom"/>
          </w:tcPr>
          <w:p>
            <w:pPr>
              <w:spacing w:after="0"/>
              <w:rPr>
                <w:sz w:val="1"/>
                <w:szCs w:val="1"/>
                <w:color w:val="auto"/>
              </w:rPr>
            </w:pPr>
          </w:p>
        </w:tc>
      </w:tr>
      <w:tr>
        <w:trPr>
          <w:trHeight w:val="148"/>
        </w:trPr>
        <w:tc>
          <w:tcPr>
            <w:tcW w:w="2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0" w:type="dxa"/>
            <w:vAlign w:val="bottom"/>
            <w:vMerge w:val="restart"/>
          </w:tcPr>
          <w:p>
            <w:pPr>
              <w:jc w:val="center"/>
              <w:ind w:right="93"/>
              <w:spacing w:after="0"/>
              <w:rPr>
                <w:sz w:val="20"/>
                <w:szCs w:val="20"/>
                <w:color w:val="auto"/>
              </w:rPr>
            </w:pPr>
            <w:r>
              <w:rPr>
                <w:rFonts w:ascii="Arial" w:cs="Arial" w:eastAsia="Arial" w:hAnsi="Arial"/>
                <w:sz w:val="14"/>
                <w:szCs w:val="14"/>
                <w:b w:val="1"/>
                <w:bCs w:val="1"/>
                <w:color w:val="auto"/>
                <w:w w:val="99"/>
              </w:rPr>
              <w:t>Total as of</w:t>
            </w:r>
          </w:p>
        </w:tc>
        <w:tc>
          <w:tcPr>
            <w:tcW w:w="100" w:type="dxa"/>
            <w:vAlign w:val="bottom"/>
            <w:vMerge w:val="restart"/>
          </w:tcPr>
          <w:p>
            <w:pPr>
              <w:spacing w:after="0"/>
              <w:rPr>
                <w:sz w:val="12"/>
                <w:szCs w:val="12"/>
                <w:color w:val="auto"/>
              </w:rPr>
            </w:pPr>
          </w:p>
        </w:tc>
        <w:tc>
          <w:tcPr>
            <w:tcW w:w="160" w:type="dxa"/>
            <w:vAlign w:val="bottom"/>
          </w:tcPr>
          <w:p>
            <w:pPr>
              <w:spacing w:after="0"/>
              <w:rPr>
                <w:sz w:val="12"/>
                <w:szCs w:val="12"/>
                <w:color w:val="auto"/>
              </w:rPr>
            </w:pPr>
          </w:p>
        </w:tc>
        <w:tc>
          <w:tcPr>
            <w:tcW w:w="1600" w:type="dxa"/>
            <w:vAlign w:val="bottom"/>
            <w:gridSpan w:val="4"/>
          </w:tcPr>
          <w:p>
            <w:pPr>
              <w:jc w:val="center"/>
              <w:ind w:right="320"/>
              <w:spacing w:after="0" w:line="149" w:lineRule="exact"/>
              <w:rPr>
                <w:sz w:val="20"/>
                <w:szCs w:val="20"/>
                <w:color w:val="auto"/>
              </w:rPr>
            </w:pPr>
            <w:r>
              <w:rPr>
                <w:rFonts w:ascii="Arial" w:cs="Arial" w:eastAsia="Arial" w:hAnsi="Arial"/>
                <w:sz w:val="14"/>
                <w:szCs w:val="14"/>
                <w:b w:val="1"/>
                <w:bCs w:val="1"/>
                <w:color w:val="auto"/>
              </w:rPr>
              <w:t>Active Markets for</w:t>
            </w:r>
          </w:p>
        </w:tc>
        <w:tc>
          <w:tcPr>
            <w:tcW w:w="140" w:type="dxa"/>
            <w:vAlign w:val="bottom"/>
          </w:tcPr>
          <w:p>
            <w:pPr>
              <w:spacing w:after="0"/>
              <w:rPr>
                <w:sz w:val="12"/>
                <w:szCs w:val="12"/>
                <w:color w:val="auto"/>
              </w:rPr>
            </w:pPr>
          </w:p>
        </w:tc>
        <w:tc>
          <w:tcPr>
            <w:tcW w:w="144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rPr>
              <w:t>Observable</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8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rPr>
              <w:t>Unobservable</w:t>
            </w:r>
          </w:p>
        </w:tc>
        <w:tc>
          <w:tcPr>
            <w:tcW w:w="0" w:type="dxa"/>
            <w:vAlign w:val="bottom"/>
          </w:tcPr>
          <w:p>
            <w:pPr>
              <w:spacing w:after="0"/>
              <w:rPr>
                <w:sz w:val="1"/>
                <w:szCs w:val="1"/>
                <w:color w:val="auto"/>
              </w:rPr>
            </w:pPr>
          </w:p>
        </w:tc>
      </w:tr>
      <w:tr>
        <w:trPr>
          <w:trHeight w:val="185"/>
        </w:trPr>
        <w:tc>
          <w:tcPr>
            <w:tcW w:w="286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2"/>
          </w:tcPr>
          <w:p>
            <w:pPr>
              <w:jc w:val="center"/>
              <w:ind w:right="140"/>
              <w:spacing w:after="0"/>
              <w:rPr>
                <w:sz w:val="20"/>
                <w:szCs w:val="20"/>
                <w:color w:val="auto"/>
              </w:rPr>
            </w:pPr>
            <w:r>
              <w:rPr>
                <w:rFonts w:ascii="Arial" w:cs="Arial" w:eastAsia="Arial" w:hAnsi="Arial"/>
                <w:sz w:val="14"/>
                <w:szCs w:val="14"/>
                <w:b w:val="1"/>
                <w:bCs w:val="1"/>
                <w:color w:val="auto"/>
              </w:rPr>
              <w:t>Identical Assets</w:t>
            </w:r>
          </w:p>
        </w:tc>
        <w:tc>
          <w:tcPr>
            <w:tcW w:w="160" w:type="dxa"/>
            <w:vAlign w:val="bottom"/>
            <w:gridSpan w:val="2"/>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2"/>
          </w:tcPr>
          <w:p>
            <w:pPr>
              <w:jc w:val="center"/>
              <w:ind w:right="140"/>
              <w:spacing w:after="0"/>
              <w:rPr>
                <w:sz w:val="20"/>
                <w:szCs w:val="20"/>
                <w:color w:val="auto"/>
              </w:rPr>
            </w:pPr>
            <w:r>
              <w:rPr>
                <w:rFonts w:ascii="Arial" w:cs="Arial" w:eastAsia="Arial" w:hAnsi="Arial"/>
                <w:sz w:val="14"/>
                <w:szCs w:val="14"/>
                <w:b w:val="1"/>
                <w:bCs w:val="1"/>
                <w:color w:val="auto"/>
                <w:w w:val="99"/>
              </w:rPr>
              <w:t>Inputs</w:t>
            </w: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2"/>
          </w:tcPr>
          <w:p>
            <w:pPr>
              <w:jc w:val="center"/>
              <w:ind w:right="180"/>
              <w:spacing w:after="0"/>
              <w:rPr>
                <w:sz w:val="20"/>
                <w:szCs w:val="20"/>
                <w:color w:val="auto"/>
              </w:rPr>
            </w:pPr>
            <w:r>
              <w:rPr>
                <w:rFonts w:ascii="Arial" w:cs="Arial" w:eastAsia="Arial" w:hAnsi="Arial"/>
                <w:sz w:val="14"/>
                <w:szCs w:val="14"/>
                <w:b w:val="1"/>
                <w:bCs w:val="1"/>
                <w:color w:val="auto"/>
              </w:rPr>
              <w:t>Inputs</w:t>
            </w:r>
          </w:p>
        </w:tc>
        <w:tc>
          <w:tcPr>
            <w:tcW w:w="0" w:type="dxa"/>
            <w:vAlign w:val="bottom"/>
          </w:tcPr>
          <w:p>
            <w:pPr>
              <w:spacing w:after="0"/>
              <w:rPr>
                <w:sz w:val="1"/>
                <w:szCs w:val="1"/>
                <w:color w:val="auto"/>
              </w:rPr>
            </w:pPr>
          </w:p>
        </w:tc>
      </w:tr>
      <w:tr>
        <w:trPr>
          <w:trHeight w:val="195"/>
        </w:trPr>
        <w:tc>
          <w:tcPr>
            <w:tcW w:w="2860" w:type="dxa"/>
            <w:vAlign w:val="bottom"/>
          </w:tcPr>
          <w:p>
            <w:pPr>
              <w:ind w:left="20"/>
              <w:spacing w:after="0"/>
              <w:rPr>
                <w:sz w:val="20"/>
                <w:szCs w:val="20"/>
                <w:color w:val="auto"/>
              </w:rPr>
            </w:pPr>
            <w:r>
              <w:rPr>
                <w:rFonts w:ascii="Arial" w:cs="Arial" w:eastAsia="Arial" w:hAnsi="Arial"/>
                <w:sz w:val="14"/>
                <w:szCs w:val="14"/>
                <w:b w:val="1"/>
                <w:bCs w:val="1"/>
                <w:color w:val="auto"/>
              </w:rPr>
              <w:t>Description</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7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March 31, 2025</w:t>
            </w:r>
          </w:p>
        </w:tc>
        <w:tc>
          <w:tcPr>
            <w:tcW w:w="160" w:type="dxa"/>
            <w:vAlign w:val="bottom"/>
          </w:tcPr>
          <w:p>
            <w:pPr>
              <w:spacing w:after="0"/>
              <w:rPr>
                <w:sz w:val="16"/>
                <w:szCs w:val="16"/>
                <w:color w:val="auto"/>
              </w:rPr>
            </w:pPr>
          </w:p>
        </w:tc>
        <w:tc>
          <w:tcPr>
            <w:tcW w:w="1600" w:type="dxa"/>
            <w:vAlign w:val="bottom"/>
            <w:gridSpan w:val="4"/>
          </w:tcPr>
          <w:p>
            <w:pPr>
              <w:jc w:val="center"/>
              <w:ind w:right="300"/>
              <w:spacing w:after="0"/>
              <w:rPr>
                <w:sz w:val="20"/>
                <w:szCs w:val="20"/>
                <w:color w:val="auto"/>
              </w:rPr>
            </w:pPr>
            <w:r>
              <w:rPr>
                <w:rFonts w:ascii="Arial" w:cs="Arial" w:eastAsia="Arial" w:hAnsi="Arial"/>
                <w:sz w:val="14"/>
                <w:szCs w:val="14"/>
                <w:b w:val="1"/>
                <w:bCs w:val="1"/>
                <w:color w:val="auto"/>
              </w:rPr>
              <w:t>(Level 1)</w:t>
            </w:r>
          </w:p>
        </w:tc>
        <w:tc>
          <w:tcPr>
            <w:tcW w:w="140" w:type="dxa"/>
            <w:vAlign w:val="bottom"/>
          </w:tcPr>
          <w:p>
            <w:pPr>
              <w:spacing w:after="0"/>
              <w:rPr>
                <w:sz w:val="16"/>
                <w:szCs w:val="16"/>
                <w:color w:val="auto"/>
              </w:rPr>
            </w:pPr>
          </w:p>
        </w:tc>
        <w:tc>
          <w:tcPr>
            <w:tcW w:w="14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(Level 2)</w:t>
            </w: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224"/>
        </w:trPr>
        <w:tc>
          <w:tcPr>
            <w:tcW w:w="28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&amp; Cash Equivalents</w:t>
            </w:r>
          </w:p>
        </w:tc>
        <w:tc>
          <w:tcPr>
            <w:tcW w:w="1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286,558,598</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286,558,598</w:t>
            </w:r>
          </w:p>
        </w:tc>
        <w:tc>
          <w:tcPr>
            <w:tcW w:w="2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tcBorders>
            <w:gridSpan w:val="2"/>
            <w:shd w:val="clear" w:color="auto" w:fill="CCEEFF"/>
          </w:tcPr>
          <w:p>
            <w:pPr>
              <w:ind w:left="1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860" w:type="dxa"/>
            <w:vAlign w:val="bottom"/>
          </w:tcPr>
          <w:p>
            <w:pPr>
              <w:ind w:left="20"/>
              <w:spacing w:after="0"/>
              <w:rPr>
                <w:sz w:val="20"/>
                <w:szCs w:val="20"/>
                <w:color w:val="auto"/>
              </w:rPr>
            </w:pPr>
            <w:r>
              <w:rPr>
                <w:rFonts w:ascii="Arial" w:cs="Arial" w:eastAsia="Arial" w:hAnsi="Arial"/>
                <w:sz w:val="18"/>
                <w:szCs w:val="18"/>
                <w:color w:val="auto"/>
              </w:rPr>
              <w:t>Short-Term Investments:</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8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Asset-backed Securities</w:t>
            </w: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2,879,688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gridSpan w:val="4"/>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2,879,688</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ind w:left="1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860" w:type="dxa"/>
            <w:vAlign w:val="bottom"/>
          </w:tcPr>
          <w:p>
            <w:pPr>
              <w:ind w:left="240"/>
              <w:spacing w:after="0"/>
              <w:rPr>
                <w:sz w:val="20"/>
                <w:szCs w:val="20"/>
                <w:color w:val="auto"/>
              </w:rPr>
            </w:pPr>
            <w:r>
              <w:rPr>
                <w:rFonts w:ascii="Arial" w:cs="Arial" w:eastAsia="Arial" w:hAnsi="Arial"/>
                <w:sz w:val="18"/>
                <w:szCs w:val="18"/>
                <w:color w:val="auto"/>
              </w:rPr>
              <w:t>Certificate of Deposit</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750,500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750,500</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gridSpan w:val="2"/>
          </w:tcPr>
          <w:p>
            <w:pPr>
              <w:ind w:left="1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8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Corporate Bonds</w:t>
            </w: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4,174,845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gridSpan w:val="4"/>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4,174,845</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ind w:left="1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860" w:type="dxa"/>
            <w:vAlign w:val="bottom"/>
          </w:tcPr>
          <w:p>
            <w:pPr>
              <w:ind w:left="240"/>
              <w:spacing w:after="0"/>
              <w:rPr>
                <w:sz w:val="20"/>
                <w:szCs w:val="20"/>
                <w:color w:val="auto"/>
              </w:rPr>
            </w:pPr>
            <w:r>
              <w:rPr>
                <w:rFonts w:ascii="Arial" w:cs="Arial" w:eastAsia="Arial" w:hAnsi="Arial"/>
                <w:sz w:val="18"/>
                <w:szCs w:val="18"/>
                <w:color w:val="auto"/>
              </w:rPr>
              <w:t>Municipal Bonds</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903,473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gridSpan w:val="4"/>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903,473</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gridSpan w:val="2"/>
          </w:tcPr>
          <w:p>
            <w:pPr>
              <w:ind w:left="1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8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Other</w:t>
            </w: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803,922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803,922</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ind w:left="1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860" w:type="dxa"/>
            <w:vAlign w:val="bottom"/>
          </w:tcPr>
          <w:p>
            <w:pPr>
              <w:ind w:left="20"/>
              <w:spacing w:after="0"/>
              <w:rPr>
                <w:sz w:val="20"/>
                <w:szCs w:val="20"/>
                <w:color w:val="auto"/>
              </w:rPr>
            </w:pPr>
            <w:r>
              <w:rPr>
                <w:rFonts w:ascii="Arial" w:cs="Arial" w:eastAsia="Arial" w:hAnsi="Arial"/>
                <w:sz w:val="18"/>
                <w:szCs w:val="18"/>
                <w:color w:val="auto"/>
              </w:rPr>
              <w:t>Long-Term Investments:</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8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Asset-backed Securities</w:t>
            </w: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32,523,142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gridSpan w:val="4"/>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32,523,142</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ind w:left="1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860" w:type="dxa"/>
            <w:vAlign w:val="bottom"/>
          </w:tcPr>
          <w:p>
            <w:pPr>
              <w:ind w:left="240"/>
              <w:spacing w:after="0"/>
              <w:rPr>
                <w:sz w:val="20"/>
                <w:szCs w:val="20"/>
                <w:color w:val="auto"/>
              </w:rPr>
            </w:pPr>
            <w:r>
              <w:rPr>
                <w:rFonts w:ascii="Arial" w:cs="Arial" w:eastAsia="Arial" w:hAnsi="Arial"/>
                <w:sz w:val="18"/>
                <w:szCs w:val="18"/>
                <w:color w:val="auto"/>
              </w:rPr>
              <w:t>Corporate Bonds</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42,793,418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gridSpan w:val="4"/>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42,793,418</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gridSpan w:val="2"/>
          </w:tcPr>
          <w:p>
            <w:pPr>
              <w:ind w:left="1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8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Municipal Bonds</w:t>
            </w: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24,848,661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gridSpan w:val="4"/>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24,848,661</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ind w:left="1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86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VOXX Common Stock</w:t>
            </w: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48,478,560</w:t>
            </w: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48,478,560</w:t>
            </w: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gridSpan w:val="2"/>
          </w:tcPr>
          <w:p>
            <w:pPr>
              <w:ind w:left="1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2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444,714,807</w:t>
            </w:r>
          </w:p>
        </w:tc>
        <w:tc>
          <w:tcPr>
            <w:tcW w:w="100" w:type="dxa"/>
            <w:vAlign w:val="bottom"/>
            <w:tcBorders>
              <w:bottom w:val="single" w:sz="8" w:color="auto"/>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336,591,580</w:t>
            </w:r>
          </w:p>
        </w:tc>
        <w:tc>
          <w:tcPr>
            <w:tcW w:w="20" w:type="dxa"/>
            <w:vAlign w:val="bottom"/>
            <w:tcBorders>
              <w:bottom w:val="single" w:sz="8" w:color="auto"/>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108,123,227</w:t>
            </w:r>
          </w:p>
        </w:tc>
        <w:tc>
          <w:tcPr>
            <w:tcW w:w="20" w:type="dxa"/>
            <w:vAlign w:val="bottom"/>
            <w:tcBorders>
              <w:bottom w:val="single" w:sz="8" w:color="auto"/>
            </w:tcBorders>
            <w:shd w:val="clear" w:color="auto" w:fill="CCEEFF"/>
          </w:tcPr>
          <w:p>
            <w:pPr>
              <w:spacing w:after="0"/>
              <w:rPr>
                <w:sz w:val="21"/>
                <w:szCs w:val="21"/>
                <w:color w:val="auto"/>
              </w:rPr>
            </w:pPr>
          </w:p>
        </w:tc>
        <w:tc>
          <w:tcPr>
            <w:tcW w:w="36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auto"/>
            </w:tcBorders>
            <w:gridSpan w:val="2"/>
            <w:shd w:val="clear" w:color="auto" w:fill="CCEEFF"/>
          </w:tcPr>
          <w:p>
            <w:pPr>
              <w:ind w:left="1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86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As of December 31, 2024:</w:t>
            </w: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07"/>
        </w:trPr>
        <w:tc>
          <w:tcPr>
            <w:tcW w:w="286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8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4860" w:type="dxa"/>
            <w:vAlign w:val="bottom"/>
            <w:tcBorders>
              <w:bottom w:val="single" w:sz="8" w:color="auto"/>
            </w:tcBorders>
            <w:gridSpan w:val="11"/>
          </w:tcPr>
          <w:p>
            <w:pPr>
              <w:ind w:left="660"/>
              <w:spacing w:after="0"/>
              <w:rPr>
                <w:sz w:val="20"/>
                <w:szCs w:val="20"/>
                <w:color w:val="auto"/>
              </w:rPr>
            </w:pPr>
            <w:r>
              <w:rPr>
                <w:rFonts w:ascii="Arial" w:cs="Arial" w:eastAsia="Arial" w:hAnsi="Arial"/>
                <w:sz w:val="14"/>
                <w:szCs w:val="14"/>
                <w:b w:val="1"/>
                <w:bCs w:val="1"/>
                <w:color w:val="auto"/>
              </w:rPr>
              <w:t>Fair Value Measurements at Reporting Date Using</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7"/>
        </w:trPr>
        <w:tc>
          <w:tcPr>
            <w:tcW w:w="2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0" w:type="dxa"/>
            <w:vAlign w:val="bottom"/>
            <w:gridSpan w:val="4"/>
          </w:tcPr>
          <w:p>
            <w:pPr>
              <w:jc w:val="center"/>
              <w:ind w:right="340"/>
              <w:spacing w:after="0" w:line="147" w:lineRule="exact"/>
              <w:rPr>
                <w:sz w:val="20"/>
                <w:szCs w:val="20"/>
                <w:color w:val="auto"/>
              </w:rPr>
            </w:pPr>
            <w:r>
              <w:rPr>
                <w:rFonts w:ascii="Arial" w:cs="Arial" w:eastAsia="Arial" w:hAnsi="Arial"/>
                <w:sz w:val="14"/>
                <w:szCs w:val="14"/>
                <w:b w:val="1"/>
                <w:bCs w:val="1"/>
                <w:color w:val="auto"/>
              </w:rPr>
              <w:t>Quoted Prices in</w:t>
            </w:r>
          </w:p>
        </w:tc>
        <w:tc>
          <w:tcPr>
            <w:tcW w:w="140" w:type="dxa"/>
            <w:vAlign w:val="bottom"/>
          </w:tcPr>
          <w:p>
            <w:pPr>
              <w:spacing w:after="0"/>
              <w:rPr>
                <w:sz w:val="12"/>
                <w:szCs w:val="12"/>
                <w:color w:val="auto"/>
              </w:rPr>
            </w:pPr>
          </w:p>
        </w:tc>
        <w:tc>
          <w:tcPr>
            <w:tcW w:w="1440" w:type="dxa"/>
            <w:vAlign w:val="bottom"/>
            <w:gridSpan w:val="2"/>
          </w:tcPr>
          <w:p>
            <w:pPr>
              <w:jc w:val="center"/>
              <w:ind w:right="200"/>
              <w:spacing w:after="0" w:line="147" w:lineRule="exact"/>
              <w:rPr>
                <w:sz w:val="20"/>
                <w:szCs w:val="20"/>
                <w:color w:val="auto"/>
              </w:rPr>
            </w:pPr>
            <w:r>
              <w:rPr>
                <w:rFonts w:ascii="Arial" w:cs="Arial" w:eastAsia="Arial" w:hAnsi="Arial"/>
                <w:sz w:val="14"/>
                <w:szCs w:val="14"/>
                <w:b w:val="1"/>
                <w:bCs w:val="1"/>
                <w:color w:val="auto"/>
              </w:rPr>
              <w:t>Significant Other</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80" w:type="dxa"/>
            <w:vAlign w:val="bottom"/>
            <w:gridSpan w:val="2"/>
          </w:tcPr>
          <w:p>
            <w:pPr>
              <w:jc w:val="center"/>
              <w:ind w:right="280"/>
              <w:spacing w:after="0" w:line="147" w:lineRule="exact"/>
              <w:rPr>
                <w:sz w:val="20"/>
                <w:szCs w:val="20"/>
                <w:color w:val="auto"/>
              </w:rPr>
            </w:pPr>
            <w:r>
              <w:rPr>
                <w:rFonts w:ascii="Arial" w:cs="Arial" w:eastAsia="Arial" w:hAnsi="Arial"/>
                <w:sz w:val="14"/>
                <w:szCs w:val="14"/>
                <w:b w:val="1"/>
                <w:bCs w:val="1"/>
                <w:color w:val="auto"/>
              </w:rPr>
              <w:t>Significant</w:t>
            </w:r>
          </w:p>
        </w:tc>
        <w:tc>
          <w:tcPr>
            <w:tcW w:w="0" w:type="dxa"/>
            <w:vAlign w:val="bottom"/>
          </w:tcPr>
          <w:p>
            <w:pPr>
              <w:spacing w:after="0"/>
              <w:rPr>
                <w:sz w:val="1"/>
                <w:szCs w:val="1"/>
                <w:color w:val="auto"/>
              </w:rPr>
            </w:pPr>
          </w:p>
        </w:tc>
      </w:tr>
      <w:tr>
        <w:trPr>
          <w:trHeight w:val="148"/>
        </w:trPr>
        <w:tc>
          <w:tcPr>
            <w:tcW w:w="2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0" w:type="dxa"/>
            <w:vAlign w:val="bottom"/>
            <w:vMerge w:val="restart"/>
          </w:tcPr>
          <w:p>
            <w:pPr>
              <w:jc w:val="center"/>
              <w:ind w:right="73"/>
              <w:spacing w:after="0"/>
              <w:rPr>
                <w:sz w:val="20"/>
                <w:szCs w:val="20"/>
                <w:color w:val="auto"/>
              </w:rPr>
            </w:pPr>
            <w:r>
              <w:rPr>
                <w:rFonts w:ascii="Arial" w:cs="Arial" w:eastAsia="Arial" w:hAnsi="Arial"/>
                <w:sz w:val="14"/>
                <w:szCs w:val="14"/>
                <w:b w:val="1"/>
                <w:bCs w:val="1"/>
                <w:color w:val="auto"/>
              </w:rPr>
              <w:t>Total as of</w:t>
            </w:r>
          </w:p>
        </w:tc>
        <w:tc>
          <w:tcPr>
            <w:tcW w:w="100" w:type="dxa"/>
            <w:vAlign w:val="bottom"/>
            <w:vMerge w:val="restart"/>
          </w:tcPr>
          <w:p>
            <w:pPr>
              <w:spacing w:after="0"/>
              <w:rPr>
                <w:sz w:val="12"/>
                <w:szCs w:val="12"/>
                <w:color w:val="auto"/>
              </w:rPr>
            </w:pPr>
          </w:p>
        </w:tc>
        <w:tc>
          <w:tcPr>
            <w:tcW w:w="160" w:type="dxa"/>
            <w:vAlign w:val="bottom"/>
          </w:tcPr>
          <w:p>
            <w:pPr>
              <w:spacing w:after="0"/>
              <w:rPr>
                <w:sz w:val="12"/>
                <w:szCs w:val="12"/>
                <w:color w:val="auto"/>
              </w:rPr>
            </w:pPr>
          </w:p>
        </w:tc>
        <w:tc>
          <w:tcPr>
            <w:tcW w:w="1600" w:type="dxa"/>
            <w:vAlign w:val="bottom"/>
            <w:gridSpan w:val="4"/>
          </w:tcPr>
          <w:p>
            <w:pPr>
              <w:jc w:val="center"/>
              <w:ind w:right="320"/>
              <w:spacing w:after="0" w:line="149" w:lineRule="exact"/>
              <w:rPr>
                <w:sz w:val="20"/>
                <w:szCs w:val="20"/>
                <w:color w:val="auto"/>
              </w:rPr>
            </w:pPr>
            <w:r>
              <w:rPr>
                <w:rFonts w:ascii="Arial" w:cs="Arial" w:eastAsia="Arial" w:hAnsi="Arial"/>
                <w:sz w:val="14"/>
                <w:szCs w:val="14"/>
                <w:b w:val="1"/>
                <w:bCs w:val="1"/>
                <w:color w:val="auto"/>
              </w:rPr>
              <w:t>Active Markets for</w:t>
            </w:r>
          </w:p>
        </w:tc>
        <w:tc>
          <w:tcPr>
            <w:tcW w:w="140" w:type="dxa"/>
            <w:vAlign w:val="bottom"/>
          </w:tcPr>
          <w:p>
            <w:pPr>
              <w:spacing w:after="0"/>
              <w:rPr>
                <w:sz w:val="12"/>
                <w:szCs w:val="12"/>
                <w:color w:val="auto"/>
              </w:rPr>
            </w:pPr>
          </w:p>
        </w:tc>
        <w:tc>
          <w:tcPr>
            <w:tcW w:w="144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rPr>
              <w:t>Observable</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rPr>
              <w:t>Unobservable</w:t>
            </w:r>
          </w:p>
        </w:tc>
        <w:tc>
          <w:tcPr>
            <w:tcW w:w="0" w:type="dxa"/>
            <w:vAlign w:val="bottom"/>
          </w:tcPr>
          <w:p>
            <w:pPr>
              <w:spacing w:after="0"/>
              <w:rPr>
                <w:sz w:val="1"/>
                <w:szCs w:val="1"/>
                <w:color w:val="auto"/>
              </w:rPr>
            </w:pPr>
          </w:p>
        </w:tc>
      </w:tr>
      <w:tr>
        <w:trPr>
          <w:trHeight w:val="185"/>
        </w:trPr>
        <w:tc>
          <w:tcPr>
            <w:tcW w:w="28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center"/>
              <w:ind w:right="55"/>
              <w:spacing w:after="0"/>
              <w:rPr>
                <w:sz w:val="20"/>
                <w:szCs w:val="20"/>
                <w:color w:val="auto"/>
              </w:rPr>
            </w:pPr>
            <w:r>
              <w:rPr>
                <w:rFonts w:ascii="Arial" w:cs="Arial" w:eastAsia="Arial" w:hAnsi="Arial"/>
                <w:sz w:val="14"/>
                <w:szCs w:val="14"/>
                <w:b w:val="1"/>
                <w:bCs w:val="1"/>
                <w:color w:val="auto"/>
              </w:rPr>
              <w:t>Identical Assets</w:t>
            </w:r>
          </w:p>
        </w:tc>
        <w:tc>
          <w:tcPr>
            <w:tcW w:w="160" w:type="dxa"/>
            <w:vAlign w:val="bottom"/>
            <w:gridSpan w:val="2"/>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center"/>
              <w:ind w:right="75"/>
              <w:spacing w:after="0"/>
              <w:rPr>
                <w:sz w:val="20"/>
                <w:szCs w:val="20"/>
                <w:color w:val="auto"/>
              </w:rPr>
            </w:pPr>
            <w:r>
              <w:rPr>
                <w:rFonts w:ascii="Arial" w:cs="Arial" w:eastAsia="Arial" w:hAnsi="Arial"/>
                <w:sz w:val="14"/>
                <w:szCs w:val="14"/>
                <w:b w:val="1"/>
                <w:bCs w:val="1"/>
                <w:color w:val="auto"/>
                <w:w w:val="99"/>
              </w:rPr>
              <w:t>Inputs</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center"/>
              <w:ind w:right="135"/>
              <w:spacing w:after="0"/>
              <w:rPr>
                <w:sz w:val="20"/>
                <w:szCs w:val="20"/>
                <w:color w:val="auto"/>
              </w:rPr>
            </w:pPr>
            <w:r>
              <w:rPr>
                <w:rFonts w:ascii="Arial" w:cs="Arial" w:eastAsia="Arial" w:hAnsi="Arial"/>
                <w:sz w:val="14"/>
                <w:szCs w:val="14"/>
                <w:b w:val="1"/>
                <w:bCs w:val="1"/>
                <w:color w:val="auto"/>
                <w:w w:val="99"/>
              </w:rPr>
              <w:t>Inputs</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860" w:type="dxa"/>
            <w:vAlign w:val="bottom"/>
          </w:tcPr>
          <w:p>
            <w:pPr>
              <w:ind w:left="20"/>
              <w:spacing w:after="0"/>
              <w:rPr>
                <w:sz w:val="20"/>
                <w:szCs w:val="20"/>
                <w:color w:val="auto"/>
              </w:rPr>
            </w:pPr>
            <w:r>
              <w:rPr>
                <w:rFonts w:ascii="Arial" w:cs="Arial" w:eastAsia="Arial" w:hAnsi="Arial"/>
                <w:sz w:val="14"/>
                <w:szCs w:val="14"/>
                <w:b w:val="1"/>
                <w:bCs w:val="1"/>
                <w:color w:val="auto"/>
              </w:rPr>
              <w:t>Description</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7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December 31, 2024</w:t>
            </w:r>
          </w:p>
        </w:tc>
        <w:tc>
          <w:tcPr>
            <w:tcW w:w="160" w:type="dxa"/>
            <w:vAlign w:val="bottom"/>
          </w:tcPr>
          <w:p>
            <w:pPr>
              <w:spacing w:after="0"/>
              <w:rPr>
                <w:sz w:val="16"/>
                <w:szCs w:val="16"/>
                <w:color w:val="auto"/>
              </w:rPr>
            </w:pPr>
          </w:p>
        </w:tc>
        <w:tc>
          <w:tcPr>
            <w:tcW w:w="1600" w:type="dxa"/>
            <w:vAlign w:val="bottom"/>
            <w:gridSpan w:val="4"/>
          </w:tcPr>
          <w:p>
            <w:pPr>
              <w:jc w:val="center"/>
              <w:ind w:right="340"/>
              <w:spacing w:after="0"/>
              <w:rPr>
                <w:sz w:val="20"/>
                <w:szCs w:val="20"/>
                <w:color w:val="auto"/>
              </w:rPr>
            </w:pPr>
            <w:r>
              <w:rPr>
                <w:rFonts w:ascii="Arial" w:cs="Arial" w:eastAsia="Arial" w:hAnsi="Arial"/>
                <w:sz w:val="14"/>
                <w:szCs w:val="14"/>
                <w:b w:val="1"/>
                <w:bCs w:val="1"/>
                <w:color w:val="auto"/>
              </w:rPr>
              <w:t>(Level 1)</w:t>
            </w:r>
          </w:p>
        </w:tc>
        <w:tc>
          <w:tcPr>
            <w:tcW w:w="140" w:type="dxa"/>
            <w:vAlign w:val="bottom"/>
          </w:tcPr>
          <w:p>
            <w:pPr>
              <w:spacing w:after="0"/>
              <w:rPr>
                <w:sz w:val="16"/>
                <w:szCs w:val="16"/>
                <w:color w:val="auto"/>
              </w:rPr>
            </w:pPr>
          </w:p>
        </w:tc>
        <w:tc>
          <w:tcPr>
            <w:tcW w:w="14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(Level 2)</w:t>
            </w: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224"/>
        </w:trPr>
        <w:tc>
          <w:tcPr>
            <w:tcW w:w="28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&amp; Cash Equivalents</w:t>
            </w:r>
          </w:p>
        </w:tc>
        <w:tc>
          <w:tcPr>
            <w:tcW w:w="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233,318,766</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233,318,766</w:t>
            </w:r>
          </w:p>
        </w:tc>
        <w:tc>
          <w:tcPr>
            <w:tcW w:w="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shd w:val="clear" w:color="auto" w:fill="CCEEFF"/>
          </w:tcPr>
          <w:p>
            <w:pPr>
              <w:ind w:left="10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860" w:type="dxa"/>
            <w:vAlign w:val="bottom"/>
          </w:tcPr>
          <w:p>
            <w:pPr>
              <w:ind w:left="20"/>
              <w:spacing w:after="0"/>
              <w:rPr>
                <w:sz w:val="20"/>
                <w:szCs w:val="20"/>
                <w:color w:val="auto"/>
              </w:rPr>
            </w:pPr>
            <w:r>
              <w:rPr>
                <w:rFonts w:ascii="Arial" w:cs="Arial" w:eastAsia="Arial" w:hAnsi="Arial"/>
                <w:sz w:val="18"/>
                <w:szCs w:val="18"/>
                <w:color w:val="auto"/>
              </w:rPr>
              <w:t>Short-Term Investments:</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8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Asset-backed Securities</w:t>
            </w: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2,851,933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gridSpan w:val="4"/>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2,851,933</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860" w:type="dxa"/>
            <w:vAlign w:val="bottom"/>
          </w:tcPr>
          <w:p>
            <w:pPr>
              <w:ind w:left="240"/>
              <w:spacing w:after="0"/>
              <w:rPr>
                <w:sz w:val="20"/>
                <w:szCs w:val="20"/>
                <w:color w:val="auto"/>
              </w:rPr>
            </w:pPr>
            <w:r>
              <w:rPr>
                <w:rFonts w:ascii="Arial" w:cs="Arial" w:eastAsia="Arial" w:hAnsi="Arial"/>
                <w:sz w:val="18"/>
                <w:szCs w:val="18"/>
                <w:color w:val="auto"/>
              </w:rPr>
              <w:t>Certificate of Deposit</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751,728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751,728</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ind w:left="10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8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Corporate Bonds</w:t>
            </w: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3,971,200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gridSpan w:val="4"/>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3,971,200</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860" w:type="dxa"/>
            <w:vAlign w:val="bottom"/>
          </w:tcPr>
          <w:p>
            <w:pPr>
              <w:ind w:left="240"/>
              <w:spacing w:after="0"/>
              <w:rPr>
                <w:sz w:val="20"/>
                <w:szCs w:val="20"/>
                <w:color w:val="auto"/>
              </w:rPr>
            </w:pPr>
            <w:r>
              <w:rPr>
                <w:rFonts w:ascii="Arial" w:cs="Arial" w:eastAsia="Arial" w:hAnsi="Arial"/>
                <w:sz w:val="18"/>
                <w:szCs w:val="18"/>
                <w:color w:val="auto"/>
              </w:rPr>
              <w:t>Government Securities</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3,982,275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gridSpan w:val="4"/>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3,982,275</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ind w:left="10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8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Municipal Bonds</w:t>
            </w: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3,386,500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gridSpan w:val="4"/>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3,386,500</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860" w:type="dxa"/>
            <w:vAlign w:val="bottom"/>
          </w:tcPr>
          <w:p>
            <w:pPr>
              <w:ind w:left="240"/>
              <w:spacing w:after="0"/>
              <w:rPr>
                <w:sz w:val="20"/>
                <w:szCs w:val="20"/>
                <w:color w:val="auto"/>
              </w:rPr>
            </w:pPr>
            <w:r>
              <w:rPr>
                <w:rFonts w:ascii="Arial" w:cs="Arial" w:eastAsia="Arial" w:hAnsi="Arial"/>
                <w:sz w:val="18"/>
                <w:szCs w:val="18"/>
                <w:color w:val="auto"/>
              </w:rPr>
              <w:t>Other</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1,400,176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1,400,176</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ind w:left="10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Long-Term Investments:</w:t>
            </w: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860" w:type="dxa"/>
            <w:vAlign w:val="bottom"/>
          </w:tcPr>
          <w:p>
            <w:pPr>
              <w:ind w:left="240"/>
              <w:spacing w:after="0"/>
              <w:rPr>
                <w:sz w:val="20"/>
                <w:szCs w:val="20"/>
                <w:color w:val="auto"/>
              </w:rPr>
            </w:pPr>
            <w:r>
              <w:rPr>
                <w:rFonts w:ascii="Arial" w:cs="Arial" w:eastAsia="Arial" w:hAnsi="Arial"/>
                <w:sz w:val="18"/>
                <w:szCs w:val="18"/>
                <w:color w:val="auto"/>
              </w:rPr>
              <w:t>Asset-backed Securities</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41,766,104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gridSpan w:val="4"/>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41,766,104</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ind w:left="10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8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Corporate Bonds</w:t>
            </w: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54,537,517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gridSpan w:val="4"/>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54,537,517</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860" w:type="dxa"/>
            <w:vAlign w:val="bottom"/>
          </w:tcPr>
          <w:p>
            <w:pPr>
              <w:ind w:left="240"/>
              <w:spacing w:after="0"/>
              <w:rPr>
                <w:sz w:val="20"/>
                <w:szCs w:val="20"/>
                <w:color w:val="auto"/>
              </w:rPr>
            </w:pPr>
            <w:r>
              <w:rPr>
                <w:rFonts w:ascii="Arial" w:cs="Arial" w:eastAsia="Arial" w:hAnsi="Arial"/>
                <w:sz w:val="18"/>
                <w:szCs w:val="18"/>
                <w:color w:val="auto"/>
              </w:rPr>
              <w:t>Governmental Securities</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6,199,535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gridSpan w:val="4"/>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6,199,535</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ind w:left="10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8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Municipal Bonds</w:t>
            </w: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39,458,318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gridSpan w:val="4"/>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39,458,318</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86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VOXX Common Stock</w:t>
            </w:r>
          </w:p>
        </w:tc>
        <w:tc>
          <w:tcPr>
            <w:tcW w:w="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47,702,903</w:t>
            </w: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47,702,903</w:t>
            </w: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ind w:left="10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2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439,326,955</w:t>
            </w:r>
          </w:p>
        </w:tc>
        <w:tc>
          <w:tcPr>
            <w:tcW w:w="100" w:type="dxa"/>
            <w:vAlign w:val="bottom"/>
            <w:tcBorders>
              <w:bottom w:val="single" w:sz="8" w:color="auto"/>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283,173,573</w:t>
            </w:r>
          </w:p>
        </w:tc>
        <w:tc>
          <w:tcPr>
            <w:tcW w:w="20" w:type="dxa"/>
            <w:vAlign w:val="bottom"/>
            <w:tcBorders>
              <w:bottom w:val="single" w:sz="8" w:color="auto"/>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156,153,382</w:t>
            </w:r>
          </w:p>
        </w:tc>
        <w:tc>
          <w:tcPr>
            <w:tcW w:w="20" w:type="dxa"/>
            <w:vAlign w:val="bottom"/>
            <w:tcBorders>
              <w:bottom w:val="single" w:sz="8" w:color="auto"/>
            </w:tcBorders>
            <w:shd w:val="clear" w:color="auto" w:fill="CCEEFF"/>
          </w:tcPr>
          <w:p>
            <w:pPr>
              <w:spacing w:after="0"/>
              <w:rPr>
                <w:sz w:val="21"/>
                <w:szCs w:val="21"/>
                <w:color w:val="auto"/>
              </w:rPr>
            </w:pPr>
          </w:p>
        </w:tc>
        <w:tc>
          <w:tcPr>
            <w:tcW w:w="360" w:type="dxa"/>
            <w:vAlign w:val="bottom"/>
            <w:tcBorders>
              <w:bottom w:val="single" w:sz="8" w:color="auto"/>
            </w:tcBorders>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shd w:val="clear" w:color="auto" w:fill="CCEEFF"/>
          </w:tcPr>
          <w:p>
            <w:pPr>
              <w:ind w:left="10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8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86" w:lineRule="exact"/>
        <w:rPr>
          <w:sz w:val="20"/>
          <w:szCs w:val="20"/>
          <w:color w:val="auto"/>
        </w:rPr>
      </w:pPr>
    </w:p>
    <w:p>
      <w:pPr>
        <w:ind w:right="180"/>
        <w:spacing w:after="0" w:line="287" w:lineRule="auto"/>
        <w:rPr>
          <w:sz w:val="20"/>
          <w:szCs w:val="20"/>
          <w:color w:val="auto"/>
        </w:rPr>
      </w:pPr>
      <w:r>
        <w:rPr>
          <w:rFonts w:ascii="Arial" w:cs="Arial" w:eastAsia="Arial" w:hAnsi="Arial"/>
          <w:sz w:val="18"/>
          <w:szCs w:val="18"/>
          <w:color w:val="auto"/>
        </w:rPr>
        <w:t>The amortized cost, unrealized gains and losses, and market value of investment securities are shown below as of March 31, 2025 and December 31,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-426085</wp:posOffset>
            </wp:positionH>
            <wp:positionV relativeFrom="paragraph">
              <wp:posOffset>73660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80"/>
          </w:cols>
          <w:pgMar w:left="980" w:top="364" w:right="339" w:bottom="1440" w:gutter="0" w:footer="0" w:header="0"/>
        </w:sectPr>
      </w:pPr>
    </w:p>
    <w:bookmarkStart w:id="13" w:name="page14"/>
    <w:bookmarkEnd w:id="13"/>
    <w:p>
      <w:pPr>
        <w:jc w:val="center"/>
        <w:ind w:right="640"/>
        <w:spacing w:after="0"/>
        <w:rPr>
          <w:sz w:val="20"/>
          <w:szCs w:val="20"/>
          <w:color w:val="auto"/>
        </w:rPr>
      </w:pPr>
      <w:r>
        <w:rPr>
          <w:rFonts w:ascii="Arial" w:cs="Arial" w:eastAsia="Arial" w:hAnsi="Arial"/>
          <w:sz w:val="18"/>
          <w:szCs w:val="18"/>
          <w:b w:val="1"/>
          <w:bCs w:val="1"/>
          <w:u w:val="single" w:color="auto"/>
          <w:color w:val="auto"/>
        </w:rPr>
        <w:t>GENTEX CORPORATION AND SUBSIDIARIES</w:t>
      </w:r>
    </w:p>
    <w:p>
      <w:pPr>
        <w:spacing w:after="0" w:line="239" w:lineRule="exact"/>
        <w:rPr>
          <w:sz w:val="20"/>
          <w:szCs w:val="20"/>
          <w:color w:val="auto"/>
        </w:rPr>
      </w:pPr>
    </w:p>
    <w:p>
      <w:pPr>
        <w:jc w:val="center"/>
        <w:ind w:right="640"/>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7" w:lineRule="exact"/>
        <w:rPr>
          <w:sz w:val="20"/>
          <w:szCs w:val="20"/>
          <w:color w:val="auto"/>
        </w:rPr>
      </w:pPr>
    </w:p>
    <w:p>
      <w:pPr>
        <w:jc w:val="center"/>
        <w:ind w:right="640"/>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Arial" w:cs="Arial" w:eastAsia="Arial" w:hAnsi="Arial"/>
          <w:sz w:val="18"/>
          <w:szCs w:val="18"/>
          <w:color w:val="auto"/>
        </w:rPr>
        <w:t>As of March 31, 2025:</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3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gridSpan w:val="5"/>
          </w:tcPr>
          <w:p>
            <w:pPr>
              <w:jc w:val="right"/>
              <w:ind w:right="100"/>
              <w:spacing w:after="0"/>
              <w:rPr>
                <w:sz w:val="20"/>
                <w:szCs w:val="20"/>
                <w:color w:val="auto"/>
              </w:rPr>
            </w:pPr>
            <w:r>
              <w:rPr>
                <w:rFonts w:ascii="Arial" w:cs="Arial" w:eastAsia="Arial" w:hAnsi="Arial"/>
                <w:sz w:val="14"/>
                <w:szCs w:val="14"/>
                <w:b w:val="1"/>
                <w:bCs w:val="1"/>
                <w:color w:val="auto"/>
              </w:rPr>
              <w:t>Unrealized</w:t>
            </w:r>
          </w:p>
        </w:tc>
        <w:tc>
          <w:tcPr>
            <w:tcW w:w="1060" w:type="dxa"/>
            <w:vAlign w:val="bottom"/>
            <w:tcBorders>
              <w:bottom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33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80" w:type="dxa"/>
            <w:vAlign w:val="bottom"/>
            <w:gridSpan w:val="3"/>
          </w:tcPr>
          <w:p>
            <w:pPr>
              <w:ind w:left="300"/>
              <w:spacing w:after="0"/>
              <w:rPr>
                <w:sz w:val="20"/>
                <w:szCs w:val="20"/>
                <w:color w:val="auto"/>
              </w:rPr>
            </w:pPr>
            <w:r>
              <w:rPr>
                <w:rFonts w:ascii="Arial" w:cs="Arial" w:eastAsia="Arial" w:hAnsi="Arial"/>
                <w:sz w:val="14"/>
                <w:szCs w:val="14"/>
                <w:b w:val="1"/>
                <w:bCs w:val="1"/>
                <w:color w:val="auto"/>
              </w:rPr>
              <w:t>Cost</w:t>
            </w: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60" w:type="dxa"/>
            <w:vAlign w:val="bottom"/>
            <w:gridSpan w:val="3"/>
          </w:tcPr>
          <w:p>
            <w:pPr>
              <w:ind w:left="220"/>
              <w:spacing w:after="0"/>
              <w:rPr>
                <w:sz w:val="20"/>
                <w:szCs w:val="20"/>
                <w:color w:val="auto"/>
              </w:rPr>
            </w:pPr>
            <w:r>
              <w:rPr>
                <w:rFonts w:ascii="Arial" w:cs="Arial" w:eastAsia="Arial" w:hAnsi="Arial"/>
                <w:sz w:val="14"/>
                <w:szCs w:val="14"/>
                <w:b w:val="1"/>
                <w:bCs w:val="1"/>
                <w:color w:val="auto"/>
              </w:rPr>
              <w:t>Gains</w:t>
            </w: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60" w:type="dxa"/>
            <w:vAlign w:val="bottom"/>
            <w:gridSpan w:val="3"/>
          </w:tcPr>
          <w:p>
            <w:pPr>
              <w:ind w:left="80"/>
              <w:spacing w:after="0"/>
              <w:rPr>
                <w:sz w:val="20"/>
                <w:szCs w:val="20"/>
                <w:color w:val="auto"/>
              </w:rPr>
            </w:pPr>
            <w:r>
              <w:rPr>
                <w:rFonts w:ascii="Arial" w:cs="Arial" w:eastAsia="Arial" w:hAnsi="Arial"/>
                <w:sz w:val="14"/>
                <w:szCs w:val="14"/>
                <w:b w:val="1"/>
                <w:bCs w:val="1"/>
                <w:color w:val="auto"/>
              </w:rPr>
              <w:t>Losses</w:t>
            </w: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60" w:type="dxa"/>
            <w:vAlign w:val="bottom"/>
          </w:tcPr>
          <w:p>
            <w:pPr>
              <w:jc w:val="right"/>
              <w:ind w:right="352"/>
              <w:spacing w:after="0"/>
              <w:rPr>
                <w:sz w:val="20"/>
                <w:szCs w:val="20"/>
                <w:color w:val="auto"/>
              </w:rPr>
            </w:pPr>
            <w:r>
              <w:rPr>
                <w:rFonts w:ascii="Arial" w:cs="Arial" w:eastAsia="Arial" w:hAnsi="Arial"/>
                <w:sz w:val="14"/>
                <w:szCs w:val="14"/>
                <w:b w:val="1"/>
                <w:bCs w:val="1"/>
                <w:color w:val="auto"/>
              </w:rPr>
              <w:t>Market Value</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33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Short-Term Investments:</w:t>
            </w:r>
          </w:p>
        </w:tc>
        <w:tc>
          <w:tcPr>
            <w:tcW w:w="4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340" w:type="dxa"/>
            <w:vAlign w:val="bottom"/>
          </w:tcPr>
          <w:p>
            <w:pPr>
              <w:ind w:left="240"/>
              <w:spacing w:after="0"/>
              <w:rPr>
                <w:sz w:val="20"/>
                <w:szCs w:val="20"/>
                <w:color w:val="auto"/>
              </w:rPr>
            </w:pPr>
            <w:r>
              <w:rPr>
                <w:rFonts w:ascii="Arial" w:cs="Arial" w:eastAsia="Arial" w:hAnsi="Arial"/>
                <w:sz w:val="18"/>
                <w:szCs w:val="18"/>
                <w:color w:val="auto"/>
              </w:rPr>
              <w:t>Asset-backed Securities</w:t>
            </w:r>
          </w:p>
        </w:tc>
        <w:tc>
          <w:tcPr>
            <w:tcW w:w="280" w:type="dxa"/>
            <w:vAlign w:val="bottom"/>
            <w:gridSpan w:val="2"/>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2,834,713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gridSpan w:val="2"/>
          </w:tcPr>
          <w:p>
            <w:pPr>
              <w:jc w:val="right"/>
              <w:ind w:right="20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44,975</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gridSpan w:val="2"/>
          </w:tcPr>
          <w:p>
            <w:pPr>
              <w:jc w:val="right"/>
              <w:ind w:right="280"/>
              <w:spacing w:after="0"/>
              <w:rPr>
                <w:sz w:val="20"/>
                <w:szCs w:val="20"/>
                <w:color w:val="auto"/>
              </w:rPr>
            </w:pPr>
            <w:r>
              <w:rPr>
                <w:rFonts w:ascii="Arial" w:cs="Arial" w:eastAsia="Arial" w:hAnsi="Arial"/>
                <w:sz w:val="18"/>
                <w:szCs w:val="18"/>
                <w:color w:val="auto"/>
                <w:w w:val="99"/>
              </w:rPr>
              <w:t>$</w:t>
            </w:r>
          </w:p>
        </w:tc>
        <w:tc>
          <w:tcPr>
            <w:tcW w:w="1160" w:type="dxa"/>
            <w:vAlign w:val="bottom"/>
            <w:gridSpan w:val="3"/>
          </w:tcPr>
          <w:p>
            <w:pPr>
              <w:ind w:left="800"/>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ind w:right="180"/>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2,879,688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3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Certificate of Deposit</w:t>
            </w:r>
          </w:p>
        </w:tc>
        <w:tc>
          <w:tcPr>
            <w:tcW w:w="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750,000</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60" w:type="dxa"/>
            <w:vAlign w:val="bottom"/>
            <w:gridSpan w:val="3"/>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750,500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40" w:type="dxa"/>
            <w:vAlign w:val="bottom"/>
          </w:tcPr>
          <w:p>
            <w:pPr>
              <w:ind w:left="240"/>
              <w:spacing w:after="0"/>
              <w:rPr>
                <w:sz w:val="20"/>
                <w:szCs w:val="20"/>
                <w:color w:val="auto"/>
              </w:rPr>
            </w:pPr>
            <w:r>
              <w:rPr>
                <w:rFonts w:ascii="Arial" w:cs="Arial" w:eastAsia="Arial" w:hAnsi="Arial"/>
                <w:sz w:val="18"/>
                <w:szCs w:val="18"/>
                <w:color w:val="auto"/>
              </w:rPr>
              <w:t>Corporate Bonds</w:t>
            </w: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4,152,042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22,803</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60" w:type="dxa"/>
            <w:vAlign w:val="bottom"/>
            <w:gridSpan w:val="3"/>
          </w:tcPr>
          <w:p>
            <w:pPr>
              <w:ind w:left="8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4,174,845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3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Municipal Bonds</w:t>
            </w:r>
          </w:p>
        </w:tc>
        <w:tc>
          <w:tcPr>
            <w:tcW w:w="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905,312</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(1,839)</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903,473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340" w:type="dxa"/>
            <w:vAlign w:val="bottom"/>
          </w:tcPr>
          <w:p>
            <w:pPr>
              <w:ind w:left="240"/>
              <w:spacing w:after="0"/>
              <w:rPr>
                <w:sz w:val="20"/>
                <w:szCs w:val="20"/>
                <w:color w:val="auto"/>
              </w:rPr>
            </w:pPr>
            <w:r>
              <w:rPr>
                <w:rFonts w:ascii="Arial" w:cs="Arial" w:eastAsia="Arial" w:hAnsi="Arial"/>
                <w:sz w:val="18"/>
                <w:szCs w:val="18"/>
                <w:color w:val="auto"/>
              </w:rPr>
              <w:t>Other</w:t>
            </w: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803,922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60" w:type="dxa"/>
            <w:vAlign w:val="bottom"/>
            <w:gridSpan w:val="3"/>
          </w:tcPr>
          <w:p>
            <w:pPr>
              <w:ind w:left="8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803,922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Long-Term Investments:</w:t>
            </w:r>
          </w:p>
        </w:tc>
        <w:tc>
          <w:tcPr>
            <w:tcW w:w="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340" w:type="dxa"/>
            <w:vAlign w:val="bottom"/>
          </w:tcPr>
          <w:p>
            <w:pPr>
              <w:ind w:left="240"/>
              <w:spacing w:after="0"/>
              <w:rPr>
                <w:sz w:val="20"/>
                <w:szCs w:val="20"/>
                <w:color w:val="auto"/>
              </w:rPr>
            </w:pPr>
            <w:r>
              <w:rPr>
                <w:rFonts w:ascii="Arial" w:cs="Arial" w:eastAsia="Arial" w:hAnsi="Arial"/>
                <w:sz w:val="18"/>
                <w:szCs w:val="18"/>
                <w:color w:val="auto"/>
              </w:rPr>
              <w:t>Asset-backed Securities</w:t>
            </w: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31,707,199</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911,438</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(95,495)</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32,523,142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3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Corporate Bonds</w:t>
            </w:r>
          </w:p>
        </w:tc>
        <w:tc>
          <w:tcPr>
            <w:tcW w:w="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42,455,161</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1,295,023</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(956,766)</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42,793,418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40" w:type="dxa"/>
            <w:vAlign w:val="bottom"/>
          </w:tcPr>
          <w:p>
            <w:pPr>
              <w:ind w:left="240"/>
              <w:spacing w:after="0"/>
              <w:rPr>
                <w:sz w:val="20"/>
                <w:szCs w:val="20"/>
                <w:color w:val="auto"/>
              </w:rPr>
            </w:pPr>
            <w:r>
              <w:rPr>
                <w:rFonts w:ascii="Arial" w:cs="Arial" w:eastAsia="Arial" w:hAnsi="Arial"/>
                <w:sz w:val="18"/>
                <w:szCs w:val="18"/>
                <w:color w:val="auto"/>
              </w:rPr>
              <w:t>Municipal Bonds</w:t>
            </w: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24,635,320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478,603</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(265,262)</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24,848,661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3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VOXX Common Stock</w:t>
            </w:r>
          </w:p>
        </w:tc>
        <w:tc>
          <w:tcPr>
            <w:tcW w:w="4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48,774,886</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7,881,250</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(8,177,576)</w:t>
            </w:r>
          </w:p>
        </w:tc>
        <w:tc>
          <w:tcPr>
            <w:tcW w:w="40" w:type="dxa"/>
            <w:vAlign w:val="bottom"/>
            <w:tcBorders>
              <w:bottom w:val="single" w:sz="8" w:color="auto"/>
            </w:tcBorders>
            <w:shd w:val="clear" w:color="auto" w:fill="CCEEFF"/>
          </w:tcPr>
          <w:p>
            <w:pPr>
              <w:spacing w:after="0"/>
              <w:rPr>
                <w:sz w:val="19"/>
                <w:szCs w:val="19"/>
                <w:color w:val="auto"/>
              </w:rPr>
            </w:pPr>
          </w:p>
        </w:tc>
        <w:tc>
          <w:tcPr>
            <w:tcW w:w="60" w:type="dxa"/>
            <w:vAlign w:val="bottom"/>
            <w:tcBorders>
              <w:bottom w:val="single" w:sz="8" w:color="auto"/>
            </w:tcBorders>
            <w:shd w:val="clear" w:color="auto" w:fill="CCEEFF"/>
          </w:tcPr>
          <w:p>
            <w:pPr>
              <w:spacing w:after="0"/>
              <w:rPr>
                <w:sz w:val="19"/>
                <w:szCs w:val="19"/>
                <w:color w:val="auto"/>
              </w:rPr>
            </w:pPr>
          </w:p>
        </w:tc>
        <w:tc>
          <w:tcPr>
            <w:tcW w:w="6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48,478,560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340" w:type="dxa"/>
            <w:vAlign w:val="bottom"/>
          </w:tcPr>
          <w:p>
            <w:pPr>
              <w:ind w:left="20"/>
              <w:spacing w:after="0"/>
              <w:rPr>
                <w:sz w:val="20"/>
                <w:szCs w:val="20"/>
                <w:color w:val="auto"/>
              </w:rPr>
            </w:pPr>
            <w:r>
              <w:rPr>
                <w:rFonts w:ascii="Arial" w:cs="Arial" w:eastAsia="Arial" w:hAnsi="Arial"/>
                <w:sz w:val="18"/>
                <w:szCs w:val="18"/>
                <w:color w:val="auto"/>
              </w:rPr>
              <w:t>Total</w:t>
            </w:r>
          </w:p>
        </w:tc>
        <w:tc>
          <w:tcPr>
            <w:tcW w:w="280" w:type="dxa"/>
            <w:vAlign w:val="bottom"/>
            <w:tcBorders>
              <w:bottom w:val="single" w:sz="8" w:color="auto"/>
            </w:tcBorders>
            <w:gridSpan w:val="2"/>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157,018,555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10,634,592</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Borders>
              <w:bottom w:val="single" w:sz="8" w:color="auto"/>
            </w:tcBorders>
            <w:gridSpan w:val="2"/>
          </w:tcPr>
          <w:p>
            <w:pPr>
              <w:jc w:val="right"/>
              <w:ind w:right="28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(9,496,938)</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158,156,209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340" w:type="dxa"/>
            <w:vAlign w:val="bottom"/>
            <w:vMerge w:val="restart"/>
          </w:tcPr>
          <w:p>
            <w:pPr>
              <w:spacing w:after="0"/>
              <w:rPr>
                <w:sz w:val="20"/>
                <w:szCs w:val="20"/>
                <w:color w:val="auto"/>
              </w:rPr>
            </w:pPr>
            <w:r>
              <w:rPr>
                <w:rFonts w:ascii="Arial" w:cs="Arial" w:eastAsia="Arial" w:hAnsi="Arial"/>
                <w:sz w:val="18"/>
                <w:szCs w:val="18"/>
                <w:color w:val="auto"/>
              </w:rPr>
              <w:t>As of December 31, 2024:</w:t>
            </w:r>
          </w:p>
        </w:tc>
        <w:tc>
          <w:tcPr>
            <w:tcW w:w="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81"/>
        </w:trPr>
        <w:tc>
          <w:tcPr>
            <w:tcW w:w="3340" w:type="dxa"/>
            <w:vAlign w:val="bottom"/>
            <w:vMerge w:val="continue"/>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33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gridSpan w:val="5"/>
          </w:tcPr>
          <w:p>
            <w:pPr>
              <w:jc w:val="right"/>
              <w:ind w:right="60"/>
              <w:spacing w:after="0"/>
              <w:rPr>
                <w:sz w:val="20"/>
                <w:szCs w:val="20"/>
                <w:color w:val="auto"/>
              </w:rPr>
            </w:pPr>
            <w:r>
              <w:rPr>
                <w:rFonts w:ascii="Arial" w:cs="Arial" w:eastAsia="Arial" w:hAnsi="Arial"/>
                <w:sz w:val="14"/>
                <w:szCs w:val="14"/>
                <w:b w:val="1"/>
                <w:bCs w:val="1"/>
                <w:color w:val="auto"/>
              </w:rPr>
              <w:t>Unrealized</w:t>
            </w:r>
          </w:p>
        </w:tc>
        <w:tc>
          <w:tcPr>
            <w:tcW w:w="106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7"/>
        </w:trPr>
        <w:tc>
          <w:tcPr>
            <w:tcW w:w="33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80" w:type="dxa"/>
            <w:vAlign w:val="bottom"/>
            <w:gridSpan w:val="3"/>
          </w:tcPr>
          <w:p>
            <w:pPr>
              <w:ind w:left="320"/>
              <w:spacing w:after="0"/>
              <w:rPr>
                <w:sz w:val="20"/>
                <w:szCs w:val="20"/>
                <w:color w:val="auto"/>
              </w:rPr>
            </w:pPr>
            <w:r>
              <w:rPr>
                <w:rFonts w:ascii="Arial" w:cs="Arial" w:eastAsia="Arial" w:hAnsi="Arial"/>
                <w:sz w:val="14"/>
                <w:szCs w:val="14"/>
                <w:b w:val="1"/>
                <w:bCs w:val="1"/>
                <w:color w:val="auto"/>
              </w:rPr>
              <w:t>Cost</w:t>
            </w: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60" w:type="dxa"/>
            <w:vAlign w:val="bottom"/>
            <w:gridSpan w:val="3"/>
          </w:tcPr>
          <w:p>
            <w:pPr>
              <w:ind w:left="240"/>
              <w:spacing w:after="0"/>
              <w:rPr>
                <w:sz w:val="20"/>
                <w:szCs w:val="20"/>
                <w:color w:val="auto"/>
              </w:rPr>
            </w:pPr>
            <w:r>
              <w:rPr>
                <w:rFonts w:ascii="Arial" w:cs="Arial" w:eastAsia="Arial" w:hAnsi="Arial"/>
                <w:sz w:val="14"/>
                <w:szCs w:val="14"/>
                <w:b w:val="1"/>
                <w:bCs w:val="1"/>
                <w:color w:val="auto"/>
              </w:rPr>
              <w:t>Gains</w:t>
            </w: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60" w:type="dxa"/>
            <w:vAlign w:val="bottom"/>
            <w:gridSpan w:val="3"/>
          </w:tcPr>
          <w:p>
            <w:pPr>
              <w:ind w:left="120"/>
              <w:spacing w:after="0"/>
              <w:rPr>
                <w:sz w:val="20"/>
                <w:szCs w:val="20"/>
                <w:color w:val="auto"/>
              </w:rPr>
            </w:pPr>
            <w:r>
              <w:rPr>
                <w:rFonts w:ascii="Arial" w:cs="Arial" w:eastAsia="Arial" w:hAnsi="Arial"/>
                <w:sz w:val="14"/>
                <w:szCs w:val="14"/>
                <w:b w:val="1"/>
                <w:bCs w:val="1"/>
                <w:color w:val="auto"/>
              </w:rPr>
              <w:t>Losses</w:t>
            </w: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60" w:type="dxa"/>
            <w:vAlign w:val="bottom"/>
          </w:tcPr>
          <w:p>
            <w:pPr>
              <w:jc w:val="right"/>
              <w:ind w:right="312"/>
              <w:spacing w:after="0"/>
              <w:rPr>
                <w:sz w:val="20"/>
                <w:szCs w:val="20"/>
                <w:color w:val="auto"/>
              </w:rPr>
            </w:pPr>
            <w:r>
              <w:rPr>
                <w:rFonts w:ascii="Arial" w:cs="Arial" w:eastAsia="Arial" w:hAnsi="Arial"/>
                <w:sz w:val="14"/>
                <w:szCs w:val="14"/>
                <w:b w:val="1"/>
                <w:bCs w:val="1"/>
                <w:color w:val="auto"/>
              </w:rPr>
              <w:t>Market Value</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33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Short-Term Investments:</w:t>
            </w:r>
          </w:p>
        </w:tc>
        <w:tc>
          <w:tcPr>
            <w:tcW w:w="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340" w:type="dxa"/>
            <w:vAlign w:val="bottom"/>
          </w:tcPr>
          <w:p>
            <w:pPr>
              <w:ind w:left="260"/>
              <w:spacing w:after="0"/>
              <w:rPr>
                <w:sz w:val="20"/>
                <w:szCs w:val="20"/>
                <w:color w:val="auto"/>
              </w:rPr>
            </w:pPr>
            <w:r>
              <w:rPr>
                <w:rFonts w:ascii="Arial" w:cs="Arial" w:eastAsia="Arial" w:hAnsi="Arial"/>
                <w:sz w:val="18"/>
                <w:szCs w:val="18"/>
                <w:color w:val="auto"/>
              </w:rPr>
              <w:t>Asset-Backed Securities</w:t>
            </w:r>
          </w:p>
        </w:tc>
        <w:tc>
          <w:tcPr>
            <w:tcW w:w="28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2,834,713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17,220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16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2,851,933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Certificate of Deposit</w:t>
            </w:r>
          </w:p>
        </w:tc>
        <w:tc>
          <w:tcPr>
            <w:tcW w:w="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750,000</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1,728</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751,728</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340" w:type="dxa"/>
            <w:vAlign w:val="bottom"/>
          </w:tcPr>
          <w:p>
            <w:pPr>
              <w:ind w:left="240"/>
              <w:spacing w:after="0"/>
              <w:rPr>
                <w:sz w:val="20"/>
                <w:szCs w:val="20"/>
                <w:color w:val="auto"/>
              </w:rPr>
            </w:pPr>
            <w:r>
              <w:rPr>
                <w:rFonts w:ascii="Arial" w:cs="Arial" w:eastAsia="Arial" w:hAnsi="Arial"/>
                <w:sz w:val="18"/>
                <w:szCs w:val="18"/>
                <w:color w:val="auto"/>
              </w:rPr>
              <w:t>Corporate Bonds</w:t>
            </w: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4,013,735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(42,535)</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3,971,200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Government Securities</w:t>
            </w:r>
          </w:p>
        </w:tc>
        <w:tc>
          <w:tcPr>
            <w:tcW w:w="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3,981,161</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1,114</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3,982,275</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40" w:type="dxa"/>
            <w:vAlign w:val="bottom"/>
          </w:tcPr>
          <w:p>
            <w:pPr>
              <w:ind w:left="240"/>
              <w:spacing w:after="0"/>
              <w:rPr>
                <w:sz w:val="20"/>
                <w:szCs w:val="20"/>
                <w:color w:val="auto"/>
              </w:rPr>
            </w:pPr>
            <w:r>
              <w:rPr>
                <w:rFonts w:ascii="Arial" w:cs="Arial" w:eastAsia="Arial" w:hAnsi="Arial"/>
                <w:sz w:val="18"/>
                <w:szCs w:val="18"/>
                <w:color w:val="auto"/>
              </w:rPr>
              <w:t>Municipal Bonds</w:t>
            </w: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3,400,019</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472</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(13,991)</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3,386,500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Other</w:t>
            </w:r>
          </w:p>
        </w:tc>
        <w:tc>
          <w:tcPr>
            <w:tcW w:w="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1,400,176</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1,400,176</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340" w:type="dxa"/>
            <w:vAlign w:val="bottom"/>
          </w:tcPr>
          <w:p>
            <w:pPr>
              <w:ind w:left="20"/>
              <w:spacing w:after="0"/>
              <w:rPr>
                <w:sz w:val="20"/>
                <w:szCs w:val="20"/>
                <w:color w:val="auto"/>
              </w:rPr>
            </w:pPr>
            <w:r>
              <w:rPr>
                <w:rFonts w:ascii="Arial" w:cs="Arial" w:eastAsia="Arial" w:hAnsi="Arial"/>
                <w:sz w:val="18"/>
                <w:szCs w:val="18"/>
                <w:color w:val="auto"/>
              </w:rPr>
              <w:t>Long-Term Investments:</w:t>
            </w: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Asset-backed Securities</w:t>
            </w:r>
          </w:p>
        </w:tc>
        <w:tc>
          <w:tcPr>
            <w:tcW w:w="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41,372,112</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620,756</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(226,764)</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41,766,104</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40" w:type="dxa"/>
            <w:vAlign w:val="bottom"/>
          </w:tcPr>
          <w:p>
            <w:pPr>
              <w:ind w:left="240"/>
              <w:spacing w:after="0"/>
              <w:rPr>
                <w:sz w:val="20"/>
                <w:szCs w:val="20"/>
                <w:color w:val="auto"/>
              </w:rPr>
            </w:pPr>
            <w:r>
              <w:rPr>
                <w:rFonts w:ascii="Arial" w:cs="Arial" w:eastAsia="Arial" w:hAnsi="Arial"/>
                <w:sz w:val="18"/>
                <w:szCs w:val="18"/>
                <w:color w:val="auto"/>
              </w:rPr>
              <w:t>Corporate Bonds</w:t>
            </w: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54,552,964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355,627</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(371,074)</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54,537,517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Government Securities</w:t>
            </w:r>
          </w:p>
        </w:tc>
        <w:tc>
          <w:tcPr>
            <w:tcW w:w="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6,206,437</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13,124</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(20,026)</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6,199,535</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340" w:type="dxa"/>
            <w:vAlign w:val="bottom"/>
          </w:tcPr>
          <w:p>
            <w:pPr>
              <w:ind w:left="240"/>
              <w:spacing w:after="0"/>
              <w:rPr>
                <w:sz w:val="20"/>
                <w:szCs w:val="20"/>
                <w:color w:val="auto"/>
              </w:rPr>
            </w:pPr>
            <w:r>
              <w:rPr>
                <w:rFonts w:ascii="Arial" w:cs="Arial" w:eastAsia="Arial" w:hAnsi="Arial"/>
                <w:sz w:val="18"/>
                <w:szCs w:val="18"/>
                <w:color w:val="auto"/>
              </w:rPr>
              <w:t>Municipal Bonds</w:t>
            </w: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40,542,837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209,564</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(1,294,083)</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39,458,318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VOXX Common Stock</w:t>
            </w:r>
          </w:p>
        </w:tc>
        <w:tc>
          <w:tcPr>
            <w:tcW w:w="4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48,774,886</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7,502,949</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(8,574,932)</w:t>
            </w:r>
          </w:p>
        </w:tc>
        <w:tc>
          <w:tcPr>
            <w:tcW w:w="60" w:type="dxa"/>
            <w:vAlign w:val="bottom"/>
            <w:tcBorders>
              <w:bottom w:val="single" w:sz="8" w:color="auto"/>
            </w:tcBorders>
            <w:shd w:val="clear" w:color="auto" w:fill="CCEEFF"/>
          </w:tcPr>
          <w:p>
            <w:pPr>
              <w:spacing w:after="0"/>
              <w:rPr>
                <w:sz w:val="19"/>
                <w:szCs w:val="19"/>
                <w:color w:val="auto"/>
              </w:rPr>
            </w:pPr>
          </w:p>
        </w:tc>
        <w:tc>
          <w:tcPr>
            <w:tcW w:w="6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47,702,903</w:t>
            </w:r>
          </w:p>
        </w:tc>
        <w:tc>
          <w:tcPr>
            <w:tcW w:w="2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340" w:type="dxa"/>
            <w:vAlign w:val="bottom"/>
          </w:tcPr>
          <w:p>
            <w:pPr>
              <w:ind w:left="20"/>
              <w:spacing w:after="0"/>
              <w:rPr>
                <w:sz w:val="20"/>
                <w:szCs w:val="20"/>
                <w:color w:val="auto"/>
              </w:rPr>
            </w:pPr>
            <w:r>
              <w:rPr>
                <w:rFonts w:ascii="Arial" w:cs="Arial" w:eastAsia="Arial" w:hAnsi="Arial"/>
                <w:sz w:val="18"/>
                <w:szCs w:val="18"/>
                <w:color w:val="auto"/>
              </w:rPr>
              <w:t>Total</w:t>
            </w:r>
          </w:p>
        </w:tc>
        <w:tc>
          <w:tcPr>
            <w:tcW w:w="4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207,829,040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8,722,554</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(10,543,405)</w:t>
            </w:r>
          </w:p>
        </w:tc>
        <w:tc>
          <w:tcPr>
            <w:tcW w:w="60" w:type="dxa"/>
            <w:vAlign w:val="bottom"/>
          </w:tcPr>
          <w:p>
            <w:pPr>
              <w:spacing w:after="0"/>
              <w:rPr>
                <w:sz w:val="19"/>
                <w:szCs w:val="19"/>
                <w:color w:val="auto"/>
              </w:rPr>
            </w:pPr>
          </w:p>
        </w:tc>
        <w:tc>
          <w:tcPr>
            <w:tcW w:w="3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206,008,189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3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color w:val="auto"/>
        </w:rPr>
        <w:t>Unrealized losses on available-for-sale securities as of March 31, 2025, are as follows:</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20" w:type="dxa"/>
            <w:vAlign w:val="bottom"/>
          </w:tcPr>
          <w:p>
            <w:pPr>
              <w:spacing w:after="0"/>
              <w:rPr>
                <w:sz w:val="14"/>
                <w:szCs w:val="14"/>
                <w:color w:val="auto"/>
              </w:rPr>
            </w:pPr>
          </w:p>
        </w:tc>
        <w:tc>
          <w:tcPr>
            <w:tcW w:w="220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Aggregate Unrealized Losses</w:t>
            </w:r>
          </w:p>
        </w:tc>
        <w:tc>
          <w:tcPr>
            <w:tcW w:w="140" w:type="dxa"/>
            <w:vAlign w:val="bottom"/>
          </w:tcPr>
          <w:p>
            <w:pPr>
              <w:spacing w:after="0"/>
              <w:rPr>
                <w:sz w:val="14"/>
                <w:szCs w:val="14"/>
                <w:color w:val="auto"/>
              </w:rPr>
            </w:pPr>
          </w:p>
        </w:tc>
        <w:tc>
          <w:tcPr>
            <w:tcW w:w="1820" w:type="dxa"/>
            <w:vAlign w:val="bottom"/>
          </w:tcPr>
          <w:p>
            <w:pPr>
              <w:jc w:val="right"/>
              <w:ind w:right="97"/>
              <w:spacing w:after="0"/>
              <w:rPr>
                <w:sz w:val="20"/>
                <w:szCs w:val="20"/>
                <w:color w:val="auto"/>
              </w:rPr>
            </w:pPr>
            <w:r>
              <w:rPr>
                <w:rFonts w:ascii="Arial" w:cs="Arial" w:eastAsia="Arial" w:hAnsi="Arial"/>
                <w:sz w:val="14"/>
                <w:szCs w:val="14"/>
                <w:b w:val="1"/>
                <w:bCs w:val="1"/>
                <w:color w:val="auto"/>
              </w:rPr>
              <w:t>Aggregate Fair Value of</w:t>
            </w:r>
          </w:p>
        </w:tc>
        <w:tc>
          <w:tcPr>
            <w:tcW w:w="0" w:type="dxa"/>
            <w:vAlign w:val="bottom"/>
          </w:tcPr>
          <w:p>
            <w:pPr>
              <w:spacing w:after="0"/>
              <w:rPr>
                <w:sz w:val="1"/>
                <w:szCs w:val="1"/>
                <w:color w:val="auto"/>
              </w:rPr>
            </w:pPr>
          </w:p>
        </w:tc>
      </w:tr>
      <w:tr>
        <w:trPr>
          <w:trHeight w:val="185"/>
        </w:trPr>
        <w:tc>
          <w:tcPr>
            <w:tcW w:w="5620" w:type="dxa"/>
            <w:vAlign w:val="bottom"/>
          </w:tcPr>
          <w:p>
            <w:pPr>
              <w:spacing w:after="0"/>
              <w:rPr>
                <w:sz w:val="16"/>
                <w:szCs w:val="16"/>
                <w:color w:val="auto"/>
              </w:rPr>
            </w:pPr>
          </w:p>
        </w:tc>
        <w:tc>
          <w:tcPr>
            <w:tcW w:w="2200" w:type="dxa"/>
            <w:vAlign w:val="bottom"/>
            <w:gridSpan w:val="3"/>
            <w:vMerge w:val="continue"/>
          </w:tcPr>
          <w:p>
            <w:pPr>
              <w:spacing w:after="0"/>
              <w:rPr>
                <w:sz w:val="16"/>
                <w:szCs w:val="16"/>
                <w:color w:val="auto"/>
              </w:rPr>
            </w:pPr>
          </w:p>
        </w:tc>
        <w:tc>
          <w:tcPr>
            <w:tcW w:w="140" w:type="dxa"/>
            <w:vAlign w:val="bottom"/>
          </w:tcPr>
          <w:p>
            <w:pPr>
              <w:spacing w:after="0"/>
              <w:rPr>
                <w:sz w:val="16"/>
                <w:szCs w:val="16"/>
                <w:color w:val="auto"/>
              </w:rPr>
            </w:pPr>
          </w:p>
        </w:tc>
        <w:tc>
          <w:tcPr>
            <w:tcW w:w="1820" w:type="dxa"/>
            <w:vAlign w:val="bottom"/>
          </w:tcPr>
          <w:p>
            <w:pPr>
              <w:jc w:val="right"/>
              <w:ind w:right="477"/>
              <w:spacing w:after="0"/>
              <w:rPr>
                <w:sz w:val="20"/>
                <w:szCs w:val="20"/>
                <w:color w:val="auto"/>
              </w:rPr>
            </w:pPr>
            <w:r>
              <w:rPr>
                <w:rFonts w:ascii="Arial" w:cs="Arial" w:eastAsia="Arial" w:hAnsi="Arial"/>
                <w:sz w:val="14"/>
                <w:szCs w:val="14"/>
                <w:b w:val="1"/>
                <w:bCs w:val="1"/>
                <w:color w:val="auto"/>
              </w:rPr>
              <w:t>Investments</w:t>
            </w:r>
          </w:p>
        </w:tc>
        <w:tc>
          <w:tcPr>
            <w:tcW w:w="0" w:type="dxa"/>
            <w:vAlign w:val="bottom"/>
          </w:tcPr>
          <w:p>
            <w:pPr>
              <w:spacing w:after="0"/>
              <w:rPr>
                <w:sz w:val="1"/>
                <w:szCs w:val="1"/>
                <w:color w:val="auto"/>
              </w:rPr>
            </w:pPr>
          </w:p>
        </w:tc>
      </w:tr>
      <w:tr>
        <w:trPr>
          <w:trHeight w:val="223"/>
        </w:trPr>
        <w:tc>
          <w:tcPr>
            <w:tcW w:w="56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Loss duration of less than one year</w:t>
            </w:r>
          </w:p>
        </w:tc>
        <w:tc>
          <w:tcPr>
            <w:tcW w:w="6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106,930</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12,028,216</w:t>
            </w:r>
          </w:p>
        </w:tc>
        <w:tc>
          <w:tcPr>
            <w:tcW w:w="0" w:type="dxa"/>
            <w:vAlign w:val="bottom"/>
          </w:tcPr>
          <w:p>
            <w:pPr>
              <w:spacing w:after="0"/>
              <w:rPr>
                <w:sz w:val="1"/>
                <w:szCs w:val="1"/>
                <w:color w:val="auto"/>
              </w:rPr>
            </w:pPr>
          </w:p>
        </w:tc>
      </w:tr>
      <w:tr>
        <w:trPr>
          <w:trHeight w:val="230"/>
        </w:trPr>
        <w:tc>
          <w:tcPr>
            <w:tcW w:w="56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Loss duration of greater than one year</w:t>
            </w:r>
          </w:p>
        </w:tc>
        <w:tc>
          <w:tcPr>
            <w:tcW w:w="6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1,212,432</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8,472,099</w:t>
            </w:r>
          </w:p>
        </w:tc>
        <w:tc>
          <w:tcPr>
            <w:tcW w:w="0" w:type="dxa"/>
            <w:vAlign w:val="bottom"/>
          </w:tcPr>
          <w:p>
            <w:pPr>
              <w:spacing w:after="0"/>
              <w:rPr>
                <w:sz w:val="1"/>
                <w:szCs w:val="1"/>
                <w:color w:val="auto"/>
              </w:rPr>
            </w:pPr>
          </w:p>
        </w:tc>
      </w:tr>
      <w:tr>
        <w:trPr>
          <w:trHeight w:val="248"/>
        </w:trPr>
        <w:tc>
          <w:tcPr>
            <w:tcW w:w="56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6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1,319,362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20,500,315</w:t>
            </w:r>
          </w:p>
        </w:tc>
        <w:tc>
          <w:tcPr>
            <w:tcW w:w="0" w:type="dxa"/>
            <w:vAlign w:val="bottom"/>
          </w:tcPr>
          <w:p>
            <w:pPr>
              <w:spacing w:after="0"/>
              <w:rPr>
                <w:sz w:val="1"/>
                <w:szCs w:val="1"/>
                <w:color w:val="auto"/>
              </w:rPr>
            </w:pP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-426085</wp:posOffset>
            </wp:positionH>
            <wp:positionV relativeFrom="paragraph">
              <wp:posOffset>73660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80"/>
          </w:cols>
          <w:pgMar w:left="980" w:top="364" w:right="33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b w:val="1"/>
          <w:bCs w:val="1"/>
          <w:u w:val="single" w:color="auto"/>
          <w:color w:val="auto"/>
        </w:rPr>
        <w:t>GENTEX CORPORATION AND SUBSIDIARIES</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Unrealized losses on available-for-sale securities as of December 31, 2024, are as follows:</w:t>
      </w:r>
    </w:p>
    <w:p>
      <w:pPr>
        <w:spacing w:after="0" w:line="47" w:lineRule="exact"/>
        <w:rPr>
          <w:sz w:val="20"/>
          <w:szCs w:val="20"/>
          <w:color w:val="auto"/>
        </w:rPr>
      </w:pPr>
    </w:p>
    <w:tbl>
      <w:tblPr>
        <w:tblLayout w:type="fixed"/>
        <w:tblInd w:w="660" w:type="dxa"/>
        <w:tblCellMar>
          <w:top w:w="0" w:type="dxa"/>
          <w:left w:w="0" w:type="dxa"/>
          <w:bottom w:w="0" w:type="dxa"/>
          <w:right w:w="0" w:type="dxa"/>
        </w:tblCellMar>
      </w:tblPr>
      <w:tr>
        <w:trPr>
          <w:trHeight w:val="161"/>
        </w:trPr>
        <w:tc>
          <w:tcPr>
            <w:tcW w:w="5620" w:type="dxa"/>
            <w:vAlign w:val="bottom"/>
          </w:tcPr>
          <w:p>
            <w:pPr>
              <w:spacing w:after="0"/>
              <w:rPr>
                <w:sz w:val="14"/>
                <w:szCs w:val="14"/>
                <w:color w:val="auto"/>
              </w:rPr>
            </w:pPr>
          </w:p>
        </w:tc>
        <w:tc>
          <w:tcPr>
            <w:tcW w:w="220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Aggregate Unrealized Losses</w:t>
            </w:r>
          </w:p>
        </w:tc>
        <w:tc>
          <w:tcPr>
            <w:tcW w:w="140" w:type="dxa"/>
            <w:vAlign w:val="bottom"/>
          </w:tcPr>
          <w:p>
            <w:pPr>
              <w:spacing w:after="0"/>
              <w:rPr>
                <w:sz w:val="14"/>
                <w:szCs w:val="14"/>
                <w:color w:val="auto"/>
              </w:rPr>
            </w:pPr>
          </w:p>
        </w:tc>
        <w:tc>
          <w:tcPr>
            <w:tcW w:w="1820" w:type="dxa"/>
            <w:vAlign w:val="bottom"/>
          </w:tcPr>
          <w:p>
            <w:pPr>
              <w:jc w:val="right"/>
              <w:ind w:right="97"/>
              <w:spacing w:after="0"/>
              <w:rPr>
                <w:sz w:val="20"/>
                <w:szCs w:val="20"/>
                <w:color w:val="auto"/>
              </w:rPr>
            </w:pPr>
            <w:r>
              <w:rPr>
                <w:rFonts w:ascii="Arial" w:cs="Arial" w:eastAsia="Arial" w:hAnsi="Arial"/>
                <w:sz w:val="14"/>
                <w:szCs w:val="14"/>
                <w:b w:val="1"/>
                <w:bCs w:val="1"/>
                <w:color w:val="auto"/>
              </w:rPr>
              <w:t>Aggregate Fair Value of</w:t>
            </w:r>
          </w:p>
        </w:tc>
        <w:tc>
          <w:tcPr>
            <w:tcW w:w="0" w:type="dxa"/>
            <w:vAlign w:val="bottom"/>
          </w:tcPr>
          <w:p>
            <w:pPr>
              <w:spacing w:after="0"/>
              <w:rPr>
                <w:sz w:val="1"/>
                <w:szCs w:val="1"/>
                <w:color w:val="auto"/>
              </w:rPr>
            </w:pPr>
          </w:p>
        </w:tc>
      </w:tr>
      <w:tr>
        <w:trPr>
          <w:trHeight w:val="185"/>
        </w:trPr>
        <w:tc>
          <w:tcPr>
            <w:tcW w:w="5620" w:type="dxa"/>
            <w:vAlign w:val="bottom"/>
          </w:tcPr>
          <w:p>
            <w:pPr>
              <w:spacing w:after="0"/>
              <w:rPr>
                <w:sz w:val="16"/>
                <w:szCs w:val="16"/>
                <w:color w:val="auto"/>
              </w:rPr>
            </w:pPr>
          </w:p>
        </w:tc>
        <w:tc>
          <w:tcPr>
            <w:tcW w:w="2200" w:type="dxa"/>
            <w:vAlign w:val="bottom"/>
            <w:gridSpan w:val="3"/>
            <w:vMerge w:val="continue"/>
          </w:tcPr>
          <w:p>
            <w:pPr>
              <w:spacing w:after="0"/>
              <w:rPr>
                <w:sz w:val="16"/>
                <w:szCs w:val="16"/>
                <w:color w:val="auto"/>
              </w:rPr>
            </w:pPr>
          </w:p>
        </w:tc>
        <w:tc>
          <w:tcPr>
            <w:tcW w:w="140" w:type="dxa"/>
            <w:vAlign w:val="bottom"/>
          </w:tcPr>
          <w:p>
            <w:pPr>
              <w:spacing w:after="0"/>
              <w:rPr>
                <w:sz w:val="16"/>
                <w:szCs w:val="16"/>
                <w:color w:val="auto"/>
              </w:rPr>
            </w:pPr>
          </w:p>
        </w:tc>
        <w:tc>
          <w:tcPr>
            <w:tcW w:w="1820" w:type="dxa"/>
            <w:vAlign w:val="bottom"/>
          </w:tcPr>
          <w:p>
            <w:pPr>
              <w:jc w:val="right"/>
              <w:ind w:right="477"/>
              <w:spacing w:after="0"/>
              <w:rPr>
                <w:sz w:val="20"/>
                <w:szCs w:val="20"/>
                <w:color w:val="auto"/>
              </w:rPr>
            </w:pPr>
            <w:r>
              <w:rPr>
                <w:rFonts w:ascii="Arial" w:cs="Arial" w:eastAsia="Arial" w:hAnsi="Arial"/>
                <w:sz w:val="14"/>
                <w:szCs w:val="14"/>
                <w:b w:val="1"/>
                <w:bCs w:val="1"/>
                <w:color w:val="auto"/>
              </w:rPr>
              <w:t>Investments</w:t>
            </w:r>
          </w:p>
        </w:tc>
        <w:tc>
          <w:tcPr>
            <w:tcW w:w="0" w:type="dxa"/>
            <w:vAlign w:val="bottom"/>
          </w:tcPr>
          <w:p>
            <w:pPr>
              <w:spacing w:after="0"/>
              <w:rPr>
                <w:sz w:val="1"/>
                <w:szCs w:val="1"/>
                <w:color w:val="auto"/>
              </w:rPr>
            </w:pPr>
          </w:p>
        </w:tc>
      </w:tr>
      <w:tr>
        <w:trPr>
          <w:trHeight w:val="223"/>
        </w:trPr>
        <w:tc>
          <w:tcPr>
            <w:tcW w:w="56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Loss duration of less than one year</w:t>
            </w:r>
          </w:p>
        </w:tc>
        <w:tc>
          <w:tcPr>
            <w:tcW w:w="6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587,357</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46,365,022</w:t>
            </w:r>
          </w:p>
        </w:tc>
        <w:tc>
          <w:tcPr>
            <w:tcW w:w="0" w:type="dxa"/>
            <w:vAlign w:val="bottom"/>
          </w:tcPr>
          <w:p>
            <w:pPr>
              <w:spacing w:after="0"/>
              <w:rPr>
                <w:sz w:val="1"/>
                <w:szCs w:val="1"/>
                <w:color w:val="auto"/>
              </w:rPr>
            </w:pPr>
          </w:p>
        </w:tc>
      </w:tr>
      <w:tr>
        <w:trPr>
          <w:trHeight w:val="230"/>
        </w:trPr>
        <w:tc>
          <w:tcPr>
            <w:tcW w:w="56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Loss duration of greater than one year</w:t>
            </w:r>
          </w:p>
        </w:tc>
        <w:tc>
          <w:tcPr>
            <w:tcW w:w="6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1,381,116</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32,602,844</w:t>
            </w:r>
          </w:p>
        </w:tc>
        <w:tc>
          <w:tcPr>
            <w:tcW w:w="0" w:type="dxa"/>
            <w:vAlign w:val="bottom"/>
          </w:tcPr>
          <w:p>
            <w:pPr>
              <w:spacing w:after="0"/>
              <w:rPr>
                <w:sz w:val="1"/>
                <w:szCs w:val="1"/>
                <w:color w:val="auto"/>
              </w:rPr>
            </w:pPr>
          </w:p>
        </w:tc>
      </w:tr>
      <w:tr>
        <w:trPr>
          <w:trHeight w:val="248"/>
        </w:trPr>
        <w:tc>
          <w:tcPr>
            <w:tcW w:w="56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6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1,968,473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78,967,866</w:t>
            </w:r>
          </w:p>
        </w:tc>
        <w:tc>
          <w:tcPr>
            <w:tcW w:w="0" w:type="dxa"/>
            <w:vAlign w:val="bottom"/>
          </w:tcPr>
          <w:p>
            <w:pPr>
              <w:spacing w:after="0"/>
              <w:rPr>
                <w:sz w:val="1"/>
                <w:szCs w:val="1"/>
                <w:color w:val="auto"/>
              </w:rPr>
            </w:pP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94" w:lineRule="exact"/>
        <w:rPr>
          <w:sz w:val="20"/>
          <w:szCs w:val="20"/>
          <w:color w:val="auto"/>
        </w:rPr>
      </w:pPr>
    </w:p>
    <w:p>
      <w:pPr>
        <w:jc w:val="both"/>
        <w:ind w:left="660"/>
        <w:spacing w:after="0" w:line="259" w:lineRule="auto"/>
        <w:rPr>
          <w:sz w:val="20"/>
          <w:szCs w:val="20"/>
          <w:color w:val="auto"/>
        </w:rPr>
      </w:pPr>
      <w:r>
        <w:rPr>
          <w:rFonts w:ascii="Arial" w:cs="Arial" w:eastAsia="Arial" w:hAnsi="Arial"/>
          <w:sz w:val="18"/>
          <w:szCs w:val="18"/>
          <w:color w:val="auto"/>
        </w:rPr>
        <w:t xml:space="preserve">The Company utilizes the guidance provided by ASC 326 - </w:t>
      </w:r>
      <w:r>
        <w:rPr>
          <w:rFonts w:ascii="Arial" w:cs="Arial" w:eastAsia="Arial" w:hAnsi="Arial"/>
          <w:sz w:val="18"/>
          <w:szCs w:val="18"/>
          <w:i w:val="1"/>
          <w:iCs w:val="1"/>
          <w:color w:val="auto"/>
        </w:rPr>
        <w:t>Financial Instruments - Credit Losses</w:t>
      </w:r>
      <w:r>
        <w:rPr>
          <w:rFonts w:ascii="Arial" w:cs="Arial" w:eastAsia="Arial" w:hAnsi="Arial"/>
          <w:sz w:val="18"/>
          <w:szCs w:val="18"/>
          <w:color w:val="auto"/>
        </w:rPr>
        <w:t>, which provides an accounting model for purchased financial assets with credit deterioration since their origination, to determine whether any of the available-for-sale debt securities held by the Company are impaired. No such investments were considered to be impaired during the periods presented. The Company has the intention and current ability to hold its debt investments until any amortized cost basis has been recovered.</w:t>
      </w:r>
    </w:p>
    <w:p>
      <w:pPr>
        <w:spacing w:after="0" w:line="274" w:lineRule="exact"/>
        <w:rPr>
          <w:sz w:val="20"/>
          <w:szCs w:val="20"/>
          <w:color w:val="auto"/>
        </w:rPr>
      </w:pPr>
    </w:p>
    <w:tbl>
      <w:tblPr>
        <w:tblLayout w:type="fixed"/>
        <w:tblInd w:w="660" w:type="dxa"/>
        <w:tblCellMar>
          <w:top w:w="0" w:type="dxa"/>
          <w:left w:w="0" w:type="dxa"/>
          <w:bottom w:w="0" w:type="dxa"/>
          <w:right w:w="0" w:type="dxa"/>
        </w:tblCellMar>
      </w:tblPr>
      <w:tr>
        <w:trPr>
          <w:trHeight w:val="239"/>
        </w:trPr>
        <w:tc>
          <w:tcPr>
            <w:tcW w:w="620" w:type="dxa"/>
            <w:vAlign w:val="bottom"/>
          </w:tcPr>
          <w:p>
            <w:pPr>
              <w:spacing w:after="0"/>
              <w:rPr>
                <w:sz w:val="20"/>
                <w:szCs w:val="20"/>
                <w:color w:val="auto"/>
              </w:rPr>
            </w:pPr>
            <w:r>
              <w:rPr>
                <w:rFonts w:ascii="Arial" w:cs="Arial" w:eastAsia="Arial" w:hAnsi="Arial"/>
                <w:sz w:val="18"/>
                <w:szCs w:val="18"/>
                <w:color w:val="auto"/>
              </w:rPr>
              <w:t>Fixed</w:t>
            </w:r>
          </w:p>
        </w:tc>
        <w:tc>
          <w:tcPr>
            <w:tcW w:w="1060" w:type="dxa"/>
            <w:vAlign w:val="bottom"/>
          </w:tcPr>
          <w:p>
            <w:pPr>
              <w:ind w:left="180"/>
              <w:spacing w:after="0"/>
              <w:rPr>
                <w:sz w:val="20"/>
                <w:szCs w:val="20"/>
                <w:color w:val="auto"/>
              </w:rPr>
            </w:pPr>
            <w:r>
              <w:rPr>
                <w:rFonts w:ascii="Arial" w:cs="Arial" w:eastAsia="Arial" w:hAnsi="Arial"/>
                <w:sz w:val="18"/>
                <w:szCs w:val="18"/>
                <w:color w:val="auto"/>
              </w:rPr>
              <w:t>income</w:t>
            </w:r>
          </w:p>
        </w:tc>
        <w:tc>
          <w:tcPr>
            <w:tcW w:w="1060" w:type="dxa"/>
            <w:vAlign w:val="bottom"/>
          </w:tcPr>
          <w:p>
            <w:pPr>
              <w:ind w:left="80"/>
              <w:spacing w:after="0"/>
              <w:rPr>
                <w:sz w:val="20"/>
                <w:szCs w:val="20"/>
                <w:color w:val="auto"/>
              </w:rPr>
            </w:pPr>
            <w:r>
              <w:rPr>
                <w:rFonts w:ascii="Arial" w:cs="Arial" w:eastAsia="Arial" w:hAnsi="Arial"/>
                <w:sz w:val="18"/>
                <w:szCs w:val="18"/>
                <w:color w:val="auto"/>
              </w:rPr>
              <w:t>securities</w:t>
            </w:r>
          </w:p>
        </w:tc>
        <w:tc>
          <w:tcPr>
            <w:tcW w:w="520" w:type="dxa"/>
            <w:vAlign w:val="bottom"/>
          </w:tcPr>
          <w:p>
            <w:pPr>
              <w:ind w:left="160"/>
              <w:spacing w:after="0"/>
              <w:rPr>
                <w:sz w:val="20"/>
                <w:szCs w:val="20"/>
                <w:color w:val="auto"/>
              </w:rPr>
            </w:pPr>
            <w:r>
              <w:rPr>
                <w:rFonts w:ascii="Arial" w:cs="Arial" w:eastAsia="Arial" w:hAnsi="Arial"/>
                <w:sz w:val="18"/>
                <w:szCs w:val="18"/>
                <w:color w:val="auto"/>
              </w:rPr>
              <w:t>as</w:t>
            </w:r>
          </w:p>
        </w:tc>
        <w:tc>
          <w:tcPr>
            <w:tcW w:w="520" w:type="dxa"/>
            <w:vAlign w:val="bottom"/>
          </w:tcPr>
          <w:p>
            <w:pPr>
              <w:ind w:left="200"/>
              <w:spacing w:after="0"/>
              <w:rPr>
                <w:sz w:val="20"/>
                <w:szCs w:val="20"/>
                <w:color w:val="auto"/>
              </w:rPr>
            </w:pPr>
            <w:r>
              <w:rPr>
                <w:rFonts w:ascii="Arial" w:cs="Arial" w:eastAsia="Arial" w:hAnsi="Arial"/>
                <w:sz w:val="18"/>
                <w:szCs w:val="18"/>
                <w:color w:val="auto"/>
              </w:rPr>
              <w:t>of</w:t>
            </w:r>
          </w:p>
        </w:tc>
        <w:tc>
          <w:tcPr>
            <w:tcW w:w="880" w:type="dxa"/>
            <w:vAlign w:val="bottom"/>
          </w:tcPr>
          <w:p>
            <w:pPr>
              <w:ind w:left="200"/>
              <w:spacing w:after="0"/>
              <w:rPr>
                <w:sz w:val="20"/>
                <w:szCs w:val="20"/>
                <w:color w:val="auto"/>
              </w:rPr>
            </w:pPr>
            <w:r>
              <w:rPr>
                <w:rFonts w:ascii="Arial" w:cs="Arial" w:eastAsia="Arial" w:hAnsi="Arial"/>
                <w:sz w:val="18"/>
                <w:szCs w:val="18"/>
                <w:color w:val="auto"/>
              </w:rPr>
              <w:t>March</w:t>
            </w:r>
          </w:p>
        </w:tc>
        <w:tc>
          <w:tcPr>
            <w:tcW w:w="620" w:type="dxa"/>
            <w:vAlign w:val="bottom"/>
          </w:tcPr>
          <w:p>
            <w:pPr>
              <w:jc w:val="right"/>
              <w:ind w:right="90"/>
              <w:spacing w:after="0"/>
              <w:rPr>
                <w:sz w:val="20"/>
                <w:szCs w:val="20"/>
                <w:color w:val="auto"/>
              </w:rPr>
            </w:pPr>
            <w:r>
              <w:rPr>
                <w:rFonts w:ascii="Arial" w:cs="Arial" w:eastAsia="Arial" w:hAnsi="Arial"/>
                <w:sz w:val="18"/>
                <w:szCs w:val="18"/>
                <w:color w:val="auto"/>
              </w:rPr>
              <w:t>31,</w:t>
            </w:r>
          </w:p>
        </w:tc>
        <w:tc>
          <w:tcPr>
            <w:tcW w:w="780" w:type="dxa"/>
            <w:vAlign w:val="bottom"/>
          </w:tcPr>
          <w:p>
            <w:pPr>
              <w:jc w:val="right"/>
              <w:ind w:right="110"/>
              <w:spacing w:after="0"/>
              <w:rPr>
                <w:sz w:val="20"/>
                <w:szCs w:val="20"/>
                <w:color w:val="auto"/>
              </w:rPr>
            </w:pPr>
            <w:r>
              <w:rPr>
                <w:rFonts w:ascii="Arial" w:cs="Arial" w:eastAsia="Arial" w:hAnsi="Arial"/>
                <w:sz w:val="18"/>
                <w:szCs w:val="18"/>
                <w:color w:val="auto"/>
              </w:rPr>
              <w:t>2025</w:t>
            </w:r>
          </w:p>
        </w:tc>
        <w:tc>
          <w:tcPr>
            <w:tcW w:w="760" w:type="dxa"/>
            <w:vAlign w:val="bottom"/>
          </w:tcPr>
          <w:p>
            <w:pPr>
              <w:ind w:left="180"/>
              <w:spacing w:after="0"/>
              <w:rPr>
                <w:sz w:val="20"/>
                <w:szCs w:val="20"/>
                <w:color w:val="auto"/>
              </w:rPr>
            </w:pPr>
            <w:r>
              <w:rPr>
                <w:rFonts w:ascii="Arial" w:cs="Arial" w:eastAsia="Arial" w:hAnsi="Arial"/>
                <w:sz w:val="18"/>
                <w:szCs w:val="18"/>
                <w:color w:val="auto"/>
              </w:rPr>
              <w:t>have</w:t>
            </w:r>
          </w:p>
        </w:tc>
        <w:tc>
          <w:tcPr>
            <w:tcW w:w="1320" w:type="dxa"/>
            <w:vAlign w:val="bottom"/>
            <w:gridSpan w:val="2"/>
          </w:tcPr>
          <w:p>
            <w:pPr>
              <w:jc w:val="right"/>
              <w:ind w:right="170"/>
              <w:spacing w:after="0"/>
              <w:rPr>
                <w:sz w:val="20"/>
                <w:szCs w:val="20"/>
                <w:color w:val="auto"/>
              </w:rPr>
            </w:pPr>
            <w:r>
              <w:rPr>
                <w:rFonts w:ascii="Arial" w:cs="Arial" w:eastAsia="Arial" w:hAnsi="Arial"/>
                <w:sz w:val="18"/>
                <w:szCs w:val="18"/>
                <w:color w:val="auto"/>
              </w:rPr>
              <w:t>contractual</w:t>
            </w:r>
          </w:p>
        </w:tc>
        <w:tc>
          <w:tcPr>
            <w:tcW w:w="1080" w:type="dxa"/>
            <w:vAlign w:val="bottom"/>
          </w:tcPr>
          <w:p>
            <w:pPr>
              <w:ind w:left="120"/>
              <w:spacing w:after="0"/>
              <w:rPr>
                <w:sz w:val="20"/>
                <w:szCs w:val="20"/>
                <w:color w:val="auto"/>
              </w:rPr>
            </w:pPr>
            <w:r>
              <w:rPr>
                <w:rFonts w:ascii="Arial" w:cs="Arial" w:eastAsia="Arial" w:hAnsi="Arial"/>
                <w:sz w:val="18"/>
                <w:szCs w:val="18"/>
                <w:color w:val="auto"/>
              </w:rPr>
              <w:t>maturities</w:t>
            </w:r>
          </w:p>
        </w:tc>
        <w:tc>
          <w:tcPr>
            <w:tcW w:w="600" w:type="dxa"/>
            <w:vAlign w:val="bottom"/>
          </w:tcPr>
          <w:p>
            <w:pPr>
              <w:jc w:val="right"/>
              <w:ind w:right="130"/>
              <w:spacing w:after="0"/>
              <w:rPr>
                <w:sz w:val="20"/>
                <w:szCs w:val="20"/>
                <w:color w:val="auto"/>
              </w:rPr>
            </w:pPr>
            <w:r>
              <w:rPr>
                <w:rFonts w:ascii="Arial" w:cs="Arial" w:eastAsia="Arial" w:hAnsi="Arial"/>
                <w:sz w:val="18"/>
                <w:szCs w:val="18"/>
                <w:color w:val="auto"/>
              </w:rPr>
              <w:t>as</w:t>
            </w:r>
          </w:p>
        </w:tc>
        <w:tc>
          <w:tcPr>
            <w:tcW w:w="740" w:type="dxa"/>
            <w:vAlign w:val="bottom"/>
          </w:tcPr>
          <w:p>
            <w:pPr>
              <w:ind w:left="140"/>
              <w:spacing w:after="0"/>
              <w:rPr>
                <w:sz w:val="20"/>
                <w:szCs w:val="20"/>
                <w:color w:val="auto"/>
              </w:rPr>
            </w:pPr>
            <w:r>
              <w:rPr>
                <w:rFonts w:ascii="Arial" w:cs="Arial" w:eastAsia="Arial" w:hAnsi="Arial"/>
                <w:sz w:val="18"/>
                <w:szCs w:val="18"/>
                <w:color w:val="auto"/>
                <w:w w:val="96"/>
              </w:rPr>
              <w:t>follows:</w:t>
            </w:r>
          </w:p>
        </w:tc>
      </w:tr>
      <w:tr>
        <w:trPr>
          <w:trHeight w:val="23"/>
        </w:trPr>
        <w:tc>
          <w:tcPr>
            <w:tcW w:w="1680" w:type="dxa"/>
            <w:vAlign w:val="bottom"/>
            <w:gridSpan w:val="2"/>
          </w:tcPr>
          <w:p>
            <w:pPr>
              <w:spacing w:after="0"/>
              <w:rPr>
                <w:sz w:val="2"/>
                <w:szCs w:val="2"/>
                <w:color w:val="auto"/>
              </w:rPr>
            </w:pPr>
          </w:p>
        </w:tc>
        <w:tc>
          <w:tcPr>
            <w:tcW w:w="1060" w:type="dxa"/>
            <w:vAlign w:val="bottom"/>
          </w:tcPr>
          <w:p>
            <w:pPr>
              <w:spacing w:after="0"/>
              <w:rPr>
                <w:sz w:val="2"/>
                <w:szCs w:val="2"/>
                <w:color w:val="auto"/>
              </w:rPr>
            </w:pPr>
          </w:p>
        </w:tc>
        <w:tc>
          <w:tcPr>
            <w:tcW w:w="520" w:type="dxa"/>
            <w:vAlign w:val="bottom"/>
          </w:tcPr>
          <w:p>
            <w:pPr>
              <w:spacing w:after="0"/>
              <w:rPr>
                <w:sz w:val="2"/>
                <w:szCs w:val="2"/>
                <w:color w:val="auto"/>
              </w:rPr>
            </w:pPr>
          </w:p>
        </w:tc>
        <w:tc>
          <w:tcPr>
            <w:tcW w:w="520" w:type="dxa"/>
            <w:vAlign w:val="bottom"/>
          </w:tcPr>
          <w:p>
            <w:pPr>
              <w:spacing w:after="0"/>
              <w:rPr>
                <w:sz w:val="2"/>
                <w:szCs w:val="2"/>
                <w:color w:val="auto"/>
              </w:rPr>
            </w:pPr>
          </w:p>
        </w:tc>
        <w:tc>
          <w:tcPr>
            <w:tcW w:w="880" w:type="dxa"/>
            <w:vAlign w:val="bottom"/>
          </w:tcPr>
          <w:p>
            <w:pPr>
              <w:spacing w:after="0"/>
              <w:rPr>
                <w:sz w:val="2"/>
                <w:szCs w:val="2"/>
                <w:color w:val="auto"/>
              </w:rPr>
            </w:pPr>
          </w:p>
        </w:tc>
        <w:tc>
          <w:tcPr>
            <w:tcW w:w="620" w:type="dxa"/>
            <w:vAlign w:val="bottom"/>
          </w:tcPr>
          <w:p>
            <w:pPr>
              <w:spacing w:after="0"/>
              <w:rPr>
                <w:sz w:val="2"/>
                <w:szCs w:val="2"/>
                <w:color w:val="auto"/>
              </w:rPr>
            </w:pPr>
          </w:p>
        </w:tc>
        <w:tc>
          <w:tcPr>
            <w:tcW w:w="7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80" w:type="dxa"/>
            <w:vAlign w:val="bottom"/>
            <w:gridSpan w:val="2"/>
          </w:tcPr>
          <w:p>
            <w:pPr>
              <w:spacing w:after="0"/>
              <w:rPr>
                <w:sz w:val="2"/>
                <w:szCs w:val="2"/>
                <w:color w:val="auto"/>
              </w:rPr>
            </w:pPr>
          </w:p>
        </w:tc>
        <w:tc>
          <w:tcPr>
            <w:tcW w:w="740" w:type="dxa"/>
            <w:vAlign w:val="bottom"/>
          </w:tcPr>
          <w:p>
            <w:pPr>
              <w:spacing w:after="0"/>
              <w:rPr>
                <w:sz w:val="2"/>
                <w:szCs w:val="2"/>
                <w:color w:val="auto"/>
              </w:rPr>
            </w:pPr>
          </w:p>
        </w:tc>
      </w:tr>
      <w:tr>
        <w:trPr>
          <w:trHeight w:val="229"/>
        </w:trPr>
        <w:tc>
          <w:tcPr>
            <w:tcW w:w="16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Due within one year</w:t>
            </w:r>
          </w:p>
        </w:tc>
        <w:tc>
          <w:tcPr>
            <w:tcW w:w="106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8,708,505</w:t>
            </w:r>
          </w:p>
        </w:tc>
        <w:tc>
          <w:tcPr>
            <w:tcW w:w="740" w:type="dxa"/>
            <w:vAlign w:val="bottom"/>
          </w:tcPr>
          <w:p>
            <w:pPr>
              <w:spacing w:after="0"/>
              <w:rPr>
                <w:sz w:val="19"/>
                <w:szCs w:val="19"/>
                <w:color w:val="auto"/>
              </w:rPr>
            </w:pPr>
          </w:p>
        </w:tc>
      </w:tr>
      <w:tr>
        <w:trPr>
          <w:trHeight w:val="230"/>
        </w:trPr>
        <w:tc>
          <w:tcPr>
            <w:tcW w:w="2740" w:type="dxa"/>
            <w:vAlign w:val="bottom"/>
            <w:gridSpan w:val="3"/>
          </w:tcPr>
          <w:p>
            <w:pPr>
              <w:ind w:left="20"/>
              <w:spacing w:after="0"/>
              <w:rPr>
                <w:sz w:val="20"/>
                <w:szCs w:val="20"/>
                <w:color w:val="auto"/>
              </w:rPr>
            </w:pPr>
            <w:r>
              <w:rPr>
                <w:rFonts w:ascii="Arial" w:cs="Arial" w:eastAsia="Arial" w:hAnsi="Arial"/>
                <w:sz w:val="18"/>
                <w:szCs w:val="18"/>
                <w:color w:val="auto"/>
              </w:rPr>
              <w:t>Due between one and five years</w:t>
            </w:r>
          </w:p>
        </w:tc>
        <w:tc>
          <w:tcPr>
            <w:tcW w:w="5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43,951,987</w:t>
            </w:r>
          </w:p>
        </w:tc>
        <w:tc>
          <w:tcPr>
            <w:tcW w:w="740" w:type="dxa"/>
            <w:vAlign w:val="bottom"/>
          </w:tcPr>
          <w:p>
            <w:pPr>
              <w:spacing w:after="0"/>
              <w:rPr>
                <w:sz w:val="19"/>
                <w:szCs w:val="19"/>
                <w:color w:val="auto"/>
              </w:rPr>
            </w:pPr>
          </w:p>
        </w:tc>
      </w:tr>
      <w:tr>
        <w:trPr>
          <w:trHeight w:val="229"/>
        </w:trPr>
        <w:tc>
          <w:tcPr>
            <w:tcW w:w="16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Due over five years</w:t>
            </w:r>
          </w:p>
        </w:tc>
        <w:tc>
          <w:tcPr>
            <w:tcW w:w="106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56,213,235</w:t>
            </w:r>
          </w:p>
        </w:tc>
        <w:tc>
          <w:tcPr>
            <w:tcW w:w="740" w:type="dxa"/>
            <w:vAlign w:val="bottom"/>
          </w:tcPr>
          <w:p>
            <w:pPr>
              <w:spacing w:after="0"/>
              <w:rPr>
                <w:sz w:val="19"/>
                <w:szCs w:val="19"/>
                <w:color w:val="auto"/>
              </w:rPr>
            </w:pPr>
          </w:p>
        </w:tc>
      </w:tr>
      <w:tr>
        <w:trPr>
          <w:trHeight w:val="223"/>
        </w:trPr>
        <w:tc>
          <w:tcPr>
            <w:tcW w:w="6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108,873,727</w:t>
            </w:r>
          </w:p>
        </w:tc>
        <w:tc>
          <w:tcPr>
            <w:tcW w:w="740" w:type="dxa"/>
            <w:vAlign w:val="bottom"/>
          </w:tcPr>
          <w:p>
            <w:pPr>
              <w:spacing w:after="0"/>
              <w:rPr>
                <w:sz w:val="19"/>
                <w:szCs w:val="19"/>
                <w:color w:val="auto"/>
              </w:rPr>
            </w:pPr>
          </w:p>
        </w:tc>
      </w:tr>
      <w:tr>
        <w:trPr>
          <w:trHeight w:val="20"/>
        </w:trPr>
        <w:tc>
          <w:tcPr>
            <w:tcW w:w="6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48" w:lineRule="exact"/>
        <w:rPr>
          <w:sz w:val="20"/>
          <w:szCs w:val="20"/>
          <w:color w:val="auto"/>
        </w:rPr>
      </w:pPr>
    </w:p>
    <w:p>
      <w:pPr>
        <w:ind w:left="420" w:hanging="412"/>
        <w:spacing w:after="0"/>
        <w:tabs>
          <w:tab w:leader="none" w:pos="42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Inventories, net</w:t>
      </w:r>
    </w:p>
    <w:p>
      <w:pPr>
        <w:spacing w:after="0" w:line="14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Inventories consisted of the following at the respective balance sheet dates:</w:t>
      </w:r>
    </w:p>
    <w:p>
      <w:pPr>
        <w:spacing w:after="0" w:line="59" w:lineRule="exact"/>
        <w:rPr>
          <w:sz w:val="20"/>
          <w:szCs w:val="20"/>
          <w:color w:val="auto"/>
        </w:rPr>
      </w:pPr>
    </w:p>
    <w:tbl>
      <w:tblPr>
        <w:tblLayout w:type="fixed"/>
        <w:tblInd w:w="660" w:type="dxa"/>
        <w:tblCellMar>
          <w:top w:w="0" w:type="dxa"/>
          <w:left w:w="0" w:type="dxa"/>
          <w:bottom w:w="0" w:type="dxa"/>
          <w:right w:w="0" w:type="dxa"/>
        </w:tblCellMar>
      </w:tblPr>
      <w:tr>
        <w:trPr>
          <w:trHeight w:val="197"/>
        </w:trPr>
        <w:tc>
          <w:tcPr>
            <w:tcW w:w="6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700" w:type="dxa"/>
            <w:vAlign w:val="bottom"/>
            <w:gridSpan w:val="2"/>
          </w:tcPr>
          <w:p>
            <w:pPr>
              <w:ind w:left="160"/>
              <w:spacing w:after="0"/>
              <w:rPr>
                <w:sz w:val="20"/>
                <w:szCs w:val="20"/>
                <w:color w:val="auto"/>
              </w:rPr>
            </w:pPr>
            <w:r>
              <w:rPr>
                <w:rFonts w:ascii="Arial" w:cs="Arial" w:eastAsia="Arial" w:hAnsi="Arial"/>
                <w:sz w:val="14"/>
                <w:szCs w:val="14"/>
                <w:b w:val="1"/>
                <w:bCs w:val="1"/>
                <w:color w:val="auto"/>
              </w:rPr>
              <w:t>March 31, 2025</w:t>
            </w:r>
          </w:p>
        </w:tc>
        <w:tc>
          <w:tcPr>
            <w:tcW w:w="160" w:type="dxa"/>
            <w:vAlign w:val="bottom"/>
          </w:tcPr>
          <w:p>
            <w:pPr>
              <w:spacing w:after="0"/>
              <w:rPr>
                <w:sz w:val="17"/>
                <w:szCs w:val="17"/>
                <w:color w:val="auto"/>
              </w:rPr>
            </w:pPr>
          </w:p>
        </w:tc>
        <w:tc>
          <w:tcPr>
            <w:tcW w:w="1520" w:type="dxa"/>
            <w:vAlign w:val="bottom"/>
          </w:tcPr>
          <w:p>
            <w:pPr>
              <w:jc w:val="right"/>
              <w:ind w:right="114"/>
              <w:spacing w:after="0"/>
              <w:rPr>
                <w:sz w:val="20"/>
                <w:szCs w:val="20"/>
                <w:color w:val="auto"/>
              </w:rPr>
            </w:pPr>
            <w:r>
              <w:rPr>
                <w:rFonts w:ascii="Arial" w:cs="Arial" w:eastAsia="Arial" w:hAnsi="Arial"/>
                <w:sz w:val="14"/>
                <w:szCs w:val="14"/>
                <w:b w:val="1"/>
                <w:bCs w:val="1"/>
                <w:color w:val="auto"/>
              </w:rPr>
              <w:t>December 31, 2024</w:t>
            </w:r>
          </w:p>
        </w:tc>
      </w:tr>
      <w:tr>
        <w:trPr>
          <w:trHeight w:val="224"/>
        </w:trPr>
        <w:tc>
          <w:tcPr>
            <w:tcW w:w="61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Raw materials</w:t>
            </w: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284,625,529</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307,098,829</w:t>
            </w:r>
          </w:p>
        </w:tc>
      </w:tr>
      <w:tr>
        <w:trPr>
          <w:trHeight w:val="230"/>
        </w:trPr>
        <w:tc>
          <w:tcPr>
            <w:tcW w:w="6160" w:type="dxa"/>
            <w:vAlign w:val="bottom"/>
          </w:tcPr>
          <w:p>
            <w:pPr>
              <w:ind w:left="20"/>
              <w:spacing w:after="0"/>
              <w:rPr>
                <w:sz w:val="20"/>
                <w:szCs w:val="20"/>
                <w:color w:val="auto"/>
              </w:rPr>
            </w:pPr>
            <w:r>
              <w:rPr>
                <w:rFonts w:ascii="Arial" w:cs="Arial" w:eastAsia="Arial" w:hAnsi="Arial"/>
                <w:sz w:val="18"/>
                <w:szCs w:val="18"/>
                <w:color w:val="auto"/>
              </w:rPr>
              <w:t>Work-in-process</w:t>
            </w:r>
          </w:p>
        </w:tc>
        <w:tc>
          <w:tcPr>
            <w:tcW w:w="2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49,023,705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48,098,732</w:t>
            </w:r>
          </w:p>
        </w:tc>
      </w:tr>
      <w:tr>
        <w:trPr>
          <w:trHeight w:val="229"/>
        </w:trPr>
        <w:tc>
          <w:tcPr>
            <w:tcW w:w="6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Finished goods</w:t>
            </w:r>
          </w:p>
        </w:tc>
        <w:tc>
          <w:tcPr>
            <w:tcW w:w="26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75,285,572</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81,299,884</w:t>
            </w:r>
          </w:p>
        </w:tc>
      </w:tr>
      <w:tr>
        <w:trPr>
          <w:trHeight w:val="223"/>
        </w:trPr>
        <w:tc>
          <w:tcPr>
            <w:tcW w:w="6160" w:type="dxa"/>
            <w:vAlign w:val="bottom"/>
          </w:tcPr>
          <w:p>
            <w:pPr>
              <w:ind w:left="20"/>
              <w:spacing w:after="0"/>
              <w:rPr>
                <w:sz w:val="20"/>
                <w:szCs w:val="20"/>
                <w:color w:val="auto"/>
              </w:rPr>
            </w:pPr>
            <w:r>
              <w:rPr>
                <w:rFonts w:ascii="Arial" w:cs="Arial" w:eastAsia="Arial" w:hAnsi="Arial"/>
                <w:sz w:val="18"/>
                <w:szCs w:val="18"/>
                <w:color w:val="auto"/>
              </w:rPr>
              <w:t>Total Inventory</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408,934,806</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436,497,445</w:t>
            </w:r>
          </w:p>
        </w:tc>
      </w:tr>
      <w:tr>
        <w:trPr>
          <w:trHeight w:val="20"/>
        </w:trPr>
        <w:tc>
          <w:tcPr>
            <w:tcW w:w="6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62" w:lineRule="exact"/>
        <w:rPr>
          <w:sz w:val="20"/>
          <w:szCs w:val="20"/>
          <w:color w:val="auto"/>
        </w:rPr>
      </w:pPr>
    </w:p>
    <w:p>
      <w:pPr>
        <w:ind w:left="420" w:hanging="412"/>
        <w:spacing w:after="0"/>
        <w:tabs>
          <w:tab w:leader="none" w:pos="420" w:val="left"/>
        </w:tabs>
        <w:numPr>
          <w:ilvl w:val="0"/>
          <w:numId w:val="9"/>
        </w:numPr>
        <w:rPr>
          <w:rFonts w:ascii="Arial" w:cs="Arial" w:eastAsia="Arial" w:hAnsi="Arial"/>
          <w:sz w:val="18"/>
          <w:szCs w:val="18"/>
          <w:color w:val="auto"/>
        </w:rPr>
      </w:pPr>
      <w:r>
        <w:rPr>
          <w:rFonts w:ascii="Arial" w:cs="Arial" w:eastAsia="Arial" w:hAnsi="Arial"/>
          <w:sz w:val="18"/>
          <w:szCs w:val="18"/>
          <w:color w:val="auto"/>
        </w:rPr>
        <w:t>Earnings Per Share</w:t>
      </w:r>
    </w:p>
    <w:p>
      <w:pPr>
        <w:spacing w:after="0" w:line="252" w:lineRule="exact"/>
        <w:rPr>
          <w:sz w:val="20"/>
          <w:szCs w:val="20"/>
          <w:color w:val="auto"/>
        </w:rPr>
      </w:pPr>
    </w:p>
    <w:p>
      <w:pPr>
        <w:jc w:val="both"/>
        <w:ind w:left="660"/>
        <w:spacing w:after="0" w:line="256" w:lineRule="auto"/>
        <w:rPr>
          <w:sz w:val="20"/>
          <w:szCs w:val="20"/>
          <w:color w:val="auto"/>
        </w:rPr>
      </w:pPr>
      <w:r>
        <w:rPr>
          <w:rFonts w:ascii="Arial" w:cs="Arial" w:eastAsia="Arial" w:hAnsi="Arial"/>
          <w:sz w:val="18"/>
          <w:szCs w:val="18"/>
          <w:color w:val="auto"/>
        </w:rPr>
        <w:t xml:space="preserve">The Company has unvested share-based payment awards with a right to receive non-forfeitable dividends, which are considered participating securities under ASC 260, </w:t>
      </w:r>
      <w:r>
        <w:rPr>
          <w:rFonts w:ascii="Arial" w:cs="Arial" w:eastAsia="Arial" w:hAnsi="Arial"/>
          <w:sz w:val="18"/>
          <w:szCs w:val="18"/>
          <w:i w:val="1"/>
          <w:iCs w:val="1"/>
          <w:color w:val="auto"/>
        </w:rPr>
        <w:t>Earnings Per Share</w:t>
      </w:r>
      <w:r>
        <w:rPr>
          <w:rFonts w:ascii="Arial" w:cs="Arial" w:eastAsia="Arial" w:hAnsi="Arial"/>
          <w:sz w:val="18"/>
          <w:szCs w:val="18"/>
          <w:color w:val="auto"/>
        </w:rPr>
        <w:t>. The Company allocates earnings to participating securities and computes earnings per share using the two-class method. Under the two-class method, net income per share is computed by dividing net income allocated to common shareholders by the weighted average number of common shares outstanding for the period. In applying the two-class method, net income is allocated to both common shares and participating securities based on their respective weighted average shares outstanding for the period. For a period of net loss, net loss is not allocated to participating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b w:val="1"/>
          <w:bCs w:val="1"/>
          <w:u w:val="single" w:color="auto"/>
          <w:color w:val="auto"/>
        </w:rPr>
        <w:t>GENTEX CORPORATION AND SUBSIDIARIES</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64" w:lineRule="exact"/>
        <w:rPr>
          <w:sz w:val="20"/>
          <w:szCs w:val="20"/>
          <w:color w:val="auto"/>
        </w:rPr>
      </w:pPr>
    </w:p>
    <w:p>
      <w:pPr>
        <w:ind w:left="660"/>
        <w:spacing w:after="0" w:line="279" w:lineRule="auto"/>
        <w:rPr>
          <w:sz w:val="20"/>
          <w:szCs w:val="20"/>
          <w:color w:val="auto"/>
        </w:rPr>
      </w:pPr>
      <w:r>
        <w:rPr>
          <w:rFonts w:ascii="Arial" w:cs="Arial" w:eastAsia="Arial" w:hAnsi="Arial"/>
          <w:sz w:val="18"/>
          <w:szCs w:val="18"/>
          <w:color w:val="auto"/>
        </w:rPr>
        <w:t>The following table sets forth the computation of basic and diluted net income per common share under the two-class method for the three months ended March 31, 2025 and March 31, 2024:</w:t>
      </w:r>
    </w:p>
    <w:p>
      <w:pPr>
        <w:spacing w:after="0" w:line="1" w:lineRule="exact"/>
        <w:rPr>
          <w:sz w:val="20"/>
          <w:szCs w:val="20"/>
          <w:color w:val="auto"/>
        </w:rPr>
      </w:pPr>
    </w:p>
    <w:tbl>
      <w:tblPr>
        <w:tblLayout w:type="fixed"/>
        <w:tblInd w:w="660" w:type="dxa"/>
        <w:tblCellMar>
          <w:top w:w="0" w:type="dxa"/>
          <w:left w:w="0" w:type="dxa"/>
          <w:bottom w:w="0" w:type="dxa"/>
          <w:right w:w="0" w:type="dxa"/>
        </w:tblCellMar>
      </w:tblPr>
      <w:tr>
        <w:trPr>
          <w:trHeight w:val="196"/>
        </w:trPr>
        <w:tc>
          <w:tcPr>
            <w:tcW w:w="6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740" w:type="dxa"/>
            <w:vAlign w:val="bottom"/>
            <w:gridSpan w:val="5"/>
          </w:tcPr>
          <w:p>
            <w:pPr>
              <w:ind w:left="160"/>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203"/>
        </w:trPr>
        <w:tc>
          <w:tcPr>
            <w:tcW w:w="6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tcPr>
          <w:p>
            <w:pPr>
              <w:jc w:val="right"/>
              <w:ind w:right="452"/>
              <w:spacing w:after="0"/>
              <w:rPr>
                <w:sz w:val="20"/>
                <w:szCs w:val="20"/>
                <w:color w:val="auto"/>
              </w:rPr>
            </w:pPr>
            <w:r>
              <w:rPr>
                <w:rFonts w:ascii="Arial" w:cs="Arial" w:eastAsia="Arial" w:hAnsi="Arial"/>
                <w:sz w:val="14"/>
                <w:szCs w:val="14"/>
                <w:b w:val="1"/>
                <w:bCs w:val="1"/>
                <w:color w:val="auto"/>
              </w:rPr>
              <w:t>2025</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jc w:val="right"/>
              <w:ind w:right="431"/>
              <w:spacing w:after="0"/>
              <w:rPr>
                <w:sz w:val="20"/>
                <w:szCs w:val="20"/>
                <w:color w:val="auto"/>
              </w:rPr>
            </w:pPr>
            <w:r>
              <w:rPr>
                <w:rFonts w:ascii="Arial" w:cs="Arial" w:eastAsia="Arial" w:hAnsi="Arial"/>
                <w:sz w:val="14"/>
                <w:szCs w:val="14"/>
                <w:b w:val="1"/>
                <w:bCs w:val="1"/>
                <w:color w:val="auto"/>
              </w:rPr>
              <w:t>2024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68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Basic Earnings Per Share</w:t>
            </w: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880" w:type="dxa"/>
            <w:vAlign w:val="bottom"/>
          </w:tcPr>
          <w:p>
            <w:pPr>
              <w:ind w:left="240"/>
              <w:spacing w:after="0"/>
              <w:rPr>
                <w:sz w:val="20"/>
                <w:szCs w:val="20"/>
                <w:color w:val="auto"/>
              </w:rPr>
            </w:pPr>
            <w:r>
              <w:rPr>
                <w:rFonts w:ascii="Arial" w:cs="Arial" w:eastAsia="Arial" w:hAnsi="Arial"/>
                <w:sz w:val="18"/>
                <w:szCs w:val="18"/>
                <w:color w:val="auto"/>
              </w:rPr>
              <w:t>Net Income</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94,874,045</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108,230,714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Less: Dividends and undistributed earnings allocated to participating securities</w:t>
            </w:r>
          </w:p>
        </w:tc>
        <w:tc>
          <w:tcPr>
            <w:tcW w:w="2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1,340,760</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1,578,908</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880" w:type="dxa"/>
            <w:vAlign w:val="bottom"/>
          </w:tcPr>
          <w:p>
            <w:pPr>
              <w:ind w:left="240"/>
              <w:spacing w:after="0"/>
              <w:rPr>
                <w:sz w:val="20"/>
                <w:szCs w:val="20"/>
                <w:color w:val="auto"/>
              </w:rPr>
            </w:pPr>
            <w:r>
              <w:rPr>
                <w:rFonts w:ascii="Arial" w:cs="Arial" w:eastAsia="Arial" w:hAnsi="Arial"/>
                <w:sz w:val="18"/>
                <w:szCs w:val="18"/>
                <w:color w:val="auto"/>
              </w:rPr>
              <w:t>Net Income available to common shareholders</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93,533,285</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106,651,806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8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8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6880" w:type="dxa"/>
            <w:vAlign w:val="bottom"/>
          </w:tcPr>
          <w:p>
            <w:pPr>
              <w:ind w:left="240"/>
              <w:spacing w:after="0"/>
              <w:rPr>
                <w:sz w:val="20"/>
                <w:szCs w:val="20"/>
                <w:color w:val="auto"/>
              </w:rPr>
            </w:pPr>
            <w:r>
              <w:rPr>
                <w:rFonts w:ascii="Arial" w:cs="Arial" w:eastAsia="Arial" w:hAnsi="Arial"/>
                <w:sz w:val="18"/>
                <w:szCs w:val="18"/>
                <w:color w:val="auto"/>
              </w:rPr>
              <w:t>Basic weighted average shares outstanding</w:t>
            </w: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223,522,686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227,929,048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8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Net Income per share - Basic</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0.47</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68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68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Diluted Earnings Per Share</w:t>
            </w: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880" w:type="dxa"/>
            <w:vAlign w:val="bottom"/>
          </w:tcPr>
          <w:p>
            <w:pPr>
              <w:ind w:left="240"/>
              <w:spacing w:after="0"/>
              <w:rPr>
                <w:sz w:val="20"/>
                <w:szCs w:val="20"/>
                <w:color w:val="auto"/>
              </w:rPr>
            </w:pPr>
            <w:r>
              <w:rPr>
                <w:rFonts w:ascii="Arial" w:cs="Arial" w:eastAsia="Arial" w:hAnsi="Arial"/>
                <w:sz w:val="18"/>
                <w:szCs w:val="18"/>
                <w:color w:val="auto"/>
              </w:rPr>
              <w:t>Allocation of Net Income used in basic computation</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93,533,285</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106,651,806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8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Reallocation of undistributed earnings</w:t>
            </w:r>
          </w:p>
        </w:tc>
        <w:tc>
          <w:tcPr>
            <w:tcW w:w="2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2,425</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880" w:type="dxa"/>
            <w:vAlign w:val="bottom"/>
          </w:tcPr>
          <w:p>
            <w:pPr>
              <w:ind w:left="240"/>
              <w:spacing w:after="0"/>
              <w:rPr>
                <w:sz w:val="20"/>
                <w:szCs w:val="20"/>
                <w:color w:val="auto"/>
              </w:rPr>
            </w:pPr>
            <w:r>
              <w:rPr>
                <w:rFonts w:ascii="Arial" w:cs="Arial" w:eastAsia="Arial" w:hAnsi="Arial"/>
                <w:sz w:val="18"/>
                <w:szCs w:val="18"/>
                <w:color w:val="auto"/>
              </w:rPr>
              <w:t>Net Income available to common shareholders - Diluted</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93,533,448</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106,654,231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688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6880" w:type="dxa"/>
            <w:vAlign w:val="bottom"/>
          </w:tcPr>
          <w:p>
            <w:pPr>
              <w:ind w:left="240"/>
              <w:spacing w:after="0"/>
              <w:rPr>
                <w:sz w:val="20"/>
                <w:szCs w:val="20"/>
                <w:color w:val="auto"/>
              </w:rPr>
            </w:pPr>
            <w:r>
              <w:rPr>
                <w:rFonts w:ascii="Arial" w:cs="Arial" w:eastAsia="Arial" w:hAnsi="Arial"/>
                <w:sz w:val="18"/>
                <w:szCs w:val="18"/>
                <w:color w:val="auto"/>
              </w:rPr>
              <w:t>Number of shares used in basic computation</w:t>
            </w: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223,522,686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227,929,048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Additional weighted average dilutive common stock equivalents</w:t>
            </w:r>
          </w:p>
        </w:tc>
        <w:tc>
          <w:tcPr>
            <w:tcW w:w="2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39,035</w:t>
            </w:r>
          </w:p>
        </w:tc>
        <w:tc>
          <w:tcPr>
            <w:tcW w:w="10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479,090</w:t>
            </w:r>
          </w:p>
        </w:tc>
        <w:tc>
          <w:tcPr>
            <w:tcW w:w="10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880" w:type="dxa"/>
            <w:vAlign w:val="bottom"/>
          </w:tcPr>
          <w:p>
            <w:pPr>
              <w:ind w:left="240"/>
              <w:spacing w:after="0"/>
              <w:rPr>
                <w:sz w:val="20"/>
                <w:szCs w:val="20"/>
                <w:color w:val="auto"/>
              </w:rPr>
            </w:pPr>
            <w:r>
              <w:rPr>
                <w:rFonts w:ascii="Arial" w:cs="Arial" w:eastAsia="Arial" w:hAnsi="Arial"/>
                <w:sz w:val="18"/>
                <w:szCs w:val="18"/>
                <w:color w:val="auto"/>
              </w:rPr>
              <w:t>Diluted weighted average shares outstanding</w:t>
            </w:r>
          </w:p>
        </w:tc>
        <w:tc>
          <w:tcPr>
            <w:tcW w:w="2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223,561,721</w:t>
            </w:r>
          </w:p>
        </w:tc>
        <w:tc>
          <w:tcPr>
            <w:tcW w:w="1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228,408,138</w:t>
            </w:r>
          </w:p>
        </w:tc>
        <w:tc>
          <w:tcPr>
            <w:tcW w:w="1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8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8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880" w:type="dxa"/>
            <w:vAlign w:val="bottom"/>
          </w:tcPr>
          <w:p>
            <w:pPr>
              <w:ind w:left="240"/>
              <w:spacing w:after="0"/>
              <w:rPr>
                <w:sz w:val="20"/>
                <w:szCs w:val="20"/>
                <w:color w:val="auto"/>
              </w:rPr>
            </w:pPr>
            <w:r>
              <w:rPr>
                <w:rFonts w:ascii="Arial" w:cs="Arial" w:eastAsia="Arial" w:hAnsi="Arial"/>
                <w:sz w:val="18"/>
                <w:szCs w:val="18"/>
                <w:color w:val="auto"/>
              </w:rPr>
              <w:t>Net Income per share - Diluted</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0.42</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0.47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688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175"/>
        </w:trPr>
        <w:tc>
          <w:tcPr>
            <w:tcW w:w="6880" w:type="dxa"/>
            <w:vAlign w:val="bottom"/>
          </w:tcPr>
          <w:p>
            <w:pPr>
              <w:ind w:left="20"/>
              <w:spacing w:after="0" w:line="176" w:lineRule="exact"/>
              <w:rPr>
                <w:sz w:val="20"/>
                <w:szCs w:val="20"/>
                <w:color w:val="auto"/>
              </w:rPr>
            </w:pPr>
            <w:r>
              <w:rPr>
                <w:rFonts w:ascii="Arial" w:cs="Arial" w:eastAsia="Arial" w:hAnsi="Arial"/>
                <w:sz w:val="18"/>
                <w:szCs w:val="18"/>
                <w:color w:val="auto"/>
              </w:rPr>
              <w:t>Shares related to stock plans not included in diluted average common shares</w:t>
            </w:r>
          </w:p>
        </w:tc>
        <w:tc>
          <w:tcPr>
            <w:tcW w:w="200" w:type="dxa"/>
            <w:vAlign w:val="bottom"/>
          </w:tcPr>
          <w:p>
            <w:pPr>
              <w:spacing w:after="0"/>
              <w:rPr>
                <w:sz w:val="15"/>
                <w:szCs w:val="15"/>
                <w:color w:val="auto"/>
              </w:rPr>
            </w:pP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3,141,060</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60" w:type="dxa"/>
            <w:vAlign w:val="bottom"/>
            <w:vMerge w:val="restart"/>
          </w:tcPr>
          <w:p>
            <w:pPr>
              <w:jc w:val="right"/>
              <w:spacing w:after="0"/>
              <w:rPr>
                <w:sz w:val="20"/>
                <w:szCs w:val="20"/>
                <w:color w:val="auto"/>
              </w:rPr>
            </w:pPr>
            <w:r>
              <w:rPr>
                <w:rFonts w:ascii="Arial" w:cs="Arial" w:eastAsia="Arial" w:hAnsi="Arial"/>
                <w:sz w:val="18"/>
                <w:szCs w:val="18"/>
                <w:color w:val="auto"/>
              </w:rPr>
              <w:t>409,297</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7"/>
        </w:trPr>
        <w:tc>
          <w:tcPr>
            <w:tcW w:w="6880" w:type="dxa"/>
            <w:vAlign w:val="bottom"/>
          </w:tcPr>
          <w:p>
            <w:pPr>
              <w:ind w:left="20"/>
              <w:spacing w:after="0"/>
              <w:rPr>
                <w:sz w:val="20"/>
                <w:szCs w:val="20"/>
                <w:color w:val="auto"/>
              </w:rPr>
            </w:pPr>
            <w:r>
              <w:rPr>
                <w:rFonts w:ascii="Arial" w:cs="Arial" w:eastAsia="Arial" w:hAnsi="Arial"/>
                <w:sz w:val="18"/>
                <w:szCs w:val="18"/>
                <w:color w:val="auto"/>
              </w:rPr>
              <w:t>outstanding because their effect would be anti-dilutive</w:t>
            </w:r>
          </w:p>
        </w:tc>
        <w:tc>
          <w:tcPr>
            <w:tcW w:w="200" w:type="dxa"/>
            <w:vAlign w:val="bottom"/>
          </w:tcPr>
          <w:p>
            <w:pPr>
              <w:spacing w:after="0"/>
              <w:rPr>
                <w:sz w:val="21"/>
                <w:szCs w:val="21"/>
                <w:color w:val="auto"/>
              </w:rPr>
            </w:pPr>
          </w:p>
        </w:tc>
        <w:tc>
          <w:tcPr>
            <w:tcW w:w="118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315" w:lineRule="exact"/>
        <w:rPr>
          <w:sz w:val="20"/>
          <w:szCs w:val="20"/>
          <w:color w:val="auto"/>
        </w:rPr>
      </w:pPr>
    </w:p>
    <w:p>
      <w:pPr>
        <w:ind w:left="420" w:hanging="412"/>
        <w:spacing w:after="0"/>
        <w:tabs>
          <w:tab w:leader="none" w:pos="4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Stock-Based Compensation Plans</w:t>
      </w:r>
    </w:p>
    <w:p>
      <w:pPr>
        <w:spacing w:after="0" w:line="144" w:lineRule="exact"/>
        <w:rPr>
          <w:sz w:val="20"/>
          <w:szCs w:val="20"/>
          <w:color w:val="auto"/>
        </w:rPr>
      </w:pPr>
    </w:p>
    <w:p>
      <w:pPr>
        <w:jc w:val="both"/>
        <w:ind w:left="660"/>
        <w:spacing w:after="0" w:line="268" w:lineRule="auto"/>
        <w:rPr>
          <w:sz w:val="20"/>
          <w:szCs w:val="20"/>
          <w:color w:val="auto"/>
        </w:rPr>
      </w:pPr>
      <w:r>
        <w:rPr>
          <w:rFonts w:ascii="Arial" w:cs="Arial" w:eastAsia="Arial" w:hAnsi="Arial"/>
          <w:sz w:val="18"/>
          <w:szCs w:val="18"/>
          <w:color w:val="auto"/>
        </w:rPr>
        <w:t>As of March 31, 2025, the Company had two equity incentive plans, which include the Gentex Corporation 2019 Omnibus Incentive Plan ("2019 Omnibus Plan"), and an employee stock purchase plan. Those plans and any prior material amendments thereto have previously been approved by shareholders.</w:t>
      </w:r>
    </w:p>
    <w:p>
      <w:pPr>
        <w:spacing w:after="0" w:line="103" w:lineRule="exact"/>
        <w:rPr>
          <w:sz w:val="20"/>
          <w:szCs w:val="20"/>
          <w:color w:val="auto"/>
        </w:rPr>
      </w:pPr>
    </w:p>
    <w:p>
      <w:pPr>
        <w:jc w:val="both"/>
        <w:ind w:left="660"/>
        <w:spacing w:after="0" w:line="256" w:lineRule="auto"/>
        <w:rPr>
          <w:sz w:val="20"/>
          <w:szCs w:val="20"/>
          <w:color w:val="auto"/>
        </w:rPr>
      </w:pPr>
      <w:r>
        <w:rPr>
          <w:rFonts w:ascii="Arial" w:cs="Arial" w:eastAsia="Arial" w:hAnsi="Arial"/>
          <w:sz w:val="18"/>
          <w:szCs w:val="18"/>
          <w:color w:val="auto"/>
        </w:rPr>
        <w:t>The 2019 Omnibus Plan provides for the potential awards to: i) employees; and ii) non-employee directors of the Company or its subsidiaries, which potential awards may be stock options (both incentive stock options and non-qualified stock options), appreciation rights, restricted stock awards and restricted stock units, performance share awards and performance units, and other awards that are stock-based, cash-based or a combination of both. The 2019 Omnibus Plan replaced the Company's Employee Stock Option Plan, Second Restricted Stock Plan, and Amended and Restated Non-Employee Director Stock Option Plan (the "Prior Plans"), which were also approved by shareholders. Any existing awards previously granted under the Prior Plans remain outstanding in accordance with their terms and are governed by the Prior Plans as applicable.</w:t>
      </w:r>
    </w:p>
    <w:p>
      <w:pPr>
        <w:spacing w:after="0" w:line="115" w:lineRule="exact"/>
        <w:rPr>
          <w:sz w:val="20"/>
          <w:szCs w:val="20"/>
          <w:color w:val="auto"/>
        </w:rPr>
      </w:pPr>
    </w:p>
    <w:p>
      <w:pPr>
        <w:jc w:val="both"/>
        <w:ind w:left="660" w:right="20"/>
        <w:spacing w:after="0" w:line="287" w:lineRule="auto"/>
        <w:rPr>
          <w:sz w:val="20"/>
          <w:szCs w:val="20"/>
          <w:color w:val="auto"/>
        </w:rPr>
      </w:pPr>
      <w:r>
        <w:rPr>
          <w:rFonts w:ascii="Arial" w:cs="Arial" w:eastAsia="Arial" w:hAnsi="Arial"/>
          <w:sz w:val="18"/>
          <w:szCs w:val="18"/>
          <w:color w:val="auto"/>
        </w:rPr>
        <w:t xml:space="preserve">Readers should refer to </w:t>
      </w:r>
      <w:r>
        <w:rPr>
          <w:rFonts w:ascii="Arial" w:cs="Arial" w:eastAsia="Arial" w:hAnsi="Arial"/>
          <w:sz w:val="18"/>
          <w:szCs w:val="18"/>
          <w:u w:val="single" w:color="auto"/>
          <w:color w:val="auto"/>
        </w:rPr>
        <w:t>Note 5</w:t>
      </w:r>
      <w:r>
        <w:rPr>
          <w:rFonts w:ascii="Arial" w:cs="Arial" w:eastAsia="Arial" w:hAnsi="Arial"/>
          <w:sz w:val="18"/>
          <w:szCs w:val="18"/>
          <w:color w:val="auto"/>
        </w:rPr>
        <w:t xml:space="preserve"> of the consolidated financial statements in the Company's Annual Report on Form 10-K for the calendar year ended December 31, 2024, for additional information related to the Prior Plans.</w:t>
      </w:r>
    </w:p>
    <w:p>
      <w:pPr>
        <w:spacing w:after="0" w:line="72" w:lineRule="exact"/>
        <w:rPr>
          <w:sz w:val="20"/>
          <w:szCs w:val="20"/>
          <w:color w:val="auto"/>
        </w:rPr>
      </w:pPr>
    </w:p>
    <w:p>
      <w:pPr>
        <w:jc w:val="both"/>
        <w:ind w:left="660"/>
        <w:spacing w:after="0" w:line="287" w:lineRule="auto"/>
        <w:rPr>
          <w:sz w:val="20"/>
          <w:szCs w:val="20"/>
          <w:color w:val="auto"/>
        </w:rPr>
      </w:pPr>
      <w:r>
        <w:rPr>
          <w:rFonts w:ascii="Arial" w:cs="Arial" w:eastAsia="Arial" w:hAnsi="Arial"/>
          <w:sz w:val="18"/>
          <w:szCs w:val="18"/>
          <w:color w:val="auto"/>
        </w:rPr>
        <w:t>The Company recognized total compensation expense for share-based payments of $8,682,020 for the three months ended March 31, 2025. The Company recognized compensation expense for share-based</w:t>
      </w:r>
    </w:p>
    <w:p>
      <w:pPr>
        <w:spacing w:after="0" w:line="200" w:lineRule="exact"/>
        <w:rPr>
          <w:sz w:val="20"/>
          <w:szCs w:val="20"/>
          <w:color w:val="auto"/>
        </w:rPr>
      </w:pPr>
    </w:p>
    <w:p>
      <w:pPr>
        <w:spacing w:after="0" w:line="33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6" w:name="page17"/>
    <w:bookmarkEnd w:id="16"/>
    <w:p>
      <w:pPr>
        <w:jc w:val="center"/>
        <w:ind w:right="636"/>
        <w:spacing w:after="0"/>
        <w:rPr>
          <w:sz w:val="20"/>
          <w:szCs w:val="20"/>
          <w:color w:val="auto"/>
        </w:rPr>
      </w:pPr>
      <w:r>
        <w:rPr>
          <w:rFonts w:ascii="Arial" w:cs="Arial" w:eastAsia="Arial" w:hAnsi="Arial"/>
          <w:sz w:val="18"/>
          <w:szCs w:val="18"/>
          <w:b w:val="1"/>
          <w:bCs w:val="1"/>
          <w:u w:val="single" w:color="auto"/>
          <w:color w:val="auto"/>
        </w:rPr>
        <w:t>GENTEX CORPORATION AND SUBSIDIARIES</w:t>
      </w:r>
    </w:p>
    <w:p>
      <w:pPr>
        <w:spacing w:after="0" w:line="239" w:lineRule="exact"/>
        <w:rPr>
          <w:sz w:val="20"/>
          <w:szCs w:val="20"/>
          <w:color w:val="auto"/>
        </w:rPr>
      </w:pPr>
    </w:p>
    <w:p>
      <w:pPr>
        <w:jc w:val="center"/>
        <w:ind w:right="636"/>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7" w:lineRule="exact"/>
        <w:rPr>
          <w:sz w:val="20"/>
          <w:szCs w:val="20"/>
          <w:color w:val="auto"/>
        </w:rPr>
      </w:pPr>
    </w:p>
    <w:p>
      <w:pPr>
        <w:jc w:val="center"/>
        <w:ind w:right="636"/>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ind w:left="4"/>
        <w:spacing w:after="0" w:line="287" w:lineRule="auto"/>
        <w:rPr>
          <w:sz w:val="20"/>
          <w:szCs w:val="20"/>
          <w:color w:val="auto"/>
        </w:rPr>
      </w:pPr>
      <w:r>
        <w:rPr>
          <w:rFonts w:ascii="Arial" w:cs="Arial" w:eastAsia="Arial" w:hAnsi="Arial"/>
          <w:sz w:val="18"/>
          <w:szCs w:val="18"/>
          <w:color w:val="auto"/>
        </w:rPr>
        <w:t>payments of $10,487,261 for the three months ended March 31, 2024. A portion of the compensation cost for share-based payment awards is capitalized as part of inventory.</w:t>
      </w:r>
    </w:p>
    <w:p>
      <w:pPr>
        <w:spacing w:after="0" w:line="72"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2019 Omnibus Incentive Plan</w:t>
      </w:r>
    </w:p>
    <w:p>
      <w:pPr>
        <w:spacing w:after="0" w:line="252" w:lineRule="exact"/>
        <w:rPr>
          <w:sz w:val="20"/>
          <w:szCs w:val="20"/>
          <w:color w:val="auto"/>
        </w:rPr>
      </w:pPr>
    </w:p>
    <w:p>
      <w:pPr>
        <w:jc w:val="both"/>
        <w:ind w:left="4"/>
        <w:spacing w:after="0" w:line="257" w:lineRule="auto"/>
        <w:rPr>
          <w:sz w:val="20"/>
          <w:szCs w:val="20"/>
          <w:color w:val="auto"/>
        </w:rPr>
      </w:pPr>
      <w:r>
        <w:rPr>
          <w:rFonts w:ascii="Arial" w:cs="Arial" w:eastAsia="Arial" w:hAnsi="Arial"/>
          <w:sz w:val="18"/>
          <w:szCs w:val="18"/>
          <w:color w:val="auto"/>
        </w:rPr>
        <w:t>The purpose of the 2019 Omnibus Plan is to attract and retain employees, officers, and directors of the Company and its subsidiaries and to motivate and provide such persons incentives and rewards for performance. Pursuant to the terms of the 2019 Omnibus Plan, each type of award counts against the available shares based on a predetermined conversion rate (shown in the table below). As of March 31, 2025, 12,036,966 share awards have been made under the Plan, resulting in 33,097,022 shares granted of the 45,000,000 total shares available to be issued under the Plan. The shares issued are presented net of shares from canceled/expired options and shares.</w:t>
      </w:r>
    </w:p>
    <w:p>
      <w:pPr>
        <w:spacing w:after="0" w:line="235" w:lineRule="exact"/>
        <w:rPr>
          <w:sz w:val="20"/>
          <w:szCs w:val="20"/>
          <w:color w:val="auto"/>
        </w:rPr>
      </w:pPr>
    </w:p>
    <w:tbl>
      <w:tblPr>
        <w:tblLayout w:type="fixed"/>
        <w:tblInd w:w="4" w:type="dxa"/>
        <w:tblCellMar>
          <w:top w:w="0" w:type="dxa"/>
          <w:left w:w="0" w:type="dxa"/>
          <w:bottom w:w="0" w:type="dxa"/>
          <w:right w:w="0" w:type="dxa"/>
        </w:tblCellMar>
      </w:tblPr>
      <w:tr>
        <w:trPr>
          <w:trHeight w:val="166"/>
        </w:trPr>
        <w:tc>
          <w:tcPr>
            <w:tcW w:w="3880" w:type="dxa"/>
            <w:vAlign w:val="bottom"/>
            <w:tcBorders>
              <w:top w:val="single" w:sz="8" w:color="CCEEFF"/>
            </w:tcBorders>
            <w:shd w:val="clear" w:color="auto" w:fill="CCEEFF"/>
          </w:tcPr>
          <w:p>
            <w:pPr>
              <w:spacing w:after="0"/>
              <w:rPr>
                <w:sz w:val="14"/>
                <w:szCs w:val="14"/>
                <w:color w:val="auto"/>
              </w:rPr>
            </w:pPr>
          </w:p>
        </w:tc>
        <w:tc>
          <w:tcPr>
            <w:tcW w:w="1960" w:type="dxa"/>
            <w:vAlign w:val="bottom"/>
            <w:tcBorders>
              <w:top w:val="single" w:sz="8" w:color="auto"/>
            </w:tcBorders>
            <w:vMerge w:val="restart"/>
            <w:shd w:val="clear" w:color="auto" w:fill="CCEEFF"/>
          </w:tcPr>
          <w:p>
            <w:pPr>
              <w:jc w:val="right"/>
              <w:ind w:right="354"/>
              <w:spacing w:after="0"/>
              <w:rPr>
                <w:sz w:val="20"/>
                <w:szCs w:val="20"/>
                <w:color w:val="auto"/>
              </w:rPr>
            </w:pPr>
            <w:r>
              <w:rPr>
                <w:rFonts w:ascii="Arial" w:cs="Arial" w:eastAsia="Arial" w:hAnsi="Arial"/>
                <w:sz w:val="14"/>
                <w:szCs w:val="14"/>
                <w:b w:val="1"/>
                <w:bCs w:val="1"/>
                <w:color w:val="auto"/>
              </w:rPr>
              <w:t>Shares Granted</w:t>
            </w:r>
          </w:p>
        </w:tc>
        <w:tc>
          <w:tcPr>
            <w:tcW w:w="100" w:type="dxa"/>
            <w:vAlign w:val="bottom"/>
            <w:tcBorders>
              <w:top w:val="single" w:sz="8" w:color="CCEEFF"/>
            </w:tcBorders>
            <w:shd w:val="clear" w:color="auto" w:fill="CCEEFF"/>
          </w:tcPr>
          <w:p>
            <w:pPr>
              <w:spacing w:after="0"/>
              <w:rPr>
                <w:sz w:val="14"/>
                <w:szCs w:val="14"/>
                <w:color w:val="auto"/>
              </w:rPr>
            </w:pPr>
          </w:p>
        </w:tc>
        <w:tc>
          <w:tcPr>
            <w:tcW w:w="1960" w:type="dxa"/>
            <w:vAlign w:val="bottom"/>
            <w:tcBorders>
              <w:top w:val="single" w:sz="8" w:color="auto"/>
            </w:tcBorders>
            <w:vMerge w:val="restart"/>
            <w:shd w:val="clear" w:color="auto" w:fill="CCEEFF"/>
          </w:tcPr>
          <w:p>
            <w:pPr>
              <w:jc w:val="right"/>
              <w:ind w:right="319"/>
              <w:spacing w:after="0"/>
              <w:rPr>
                <w:sz w:val="20"/>
                <w:szCs w:val="20"/>
                <w:color w:val="auto"/>
              </w:rPr>
            </w:pPr>
            <w:r>
              <w:rPr>
                <w:rFonts w:ascii="Arial" w:cs="Arial" w:eastAsia="Arial" w:hAnsi="Arial"/>
                <w:sz w:val="14"/>
                <w:szCs w:val="14"/>
                <w:b w:val="1"/>
                <w:bCs w:val="1"/>
                <w:color w:val="auto"/>
              </w:rPr>
              <w:t>Conversion Rate</w:t>
            </w:r>
          </w:p>
        </w:tc>
        <w:tc>
          <w:tcPr>
            <w:tcW w:w="120" w:type="dxa"/>
            <w:vAlign w:val="bottom"/>
            <w:tcBorders>
              <w:top w:val="single" w:sz="8" w:color="CCEEFF"/>
            </w:tcBorders>
            <w:vMerge w:val="restart"/>
            <w:shd w:val="clear" w:color="auto" w:fill="CCEEFF"/>
          </w:tcPr>
          <w:p>
            <w:pPr>
              <w:spacing w:after="0"/>
              <w:rPr>
                <w:sz w:val="14"/>
                <w:szCs w:val="14"/>
                <w:color w:val="auto"/>
              </w:rPr>
            </w:pPr>
          </w:p>
        </w:tc>
        <w:tc>
          <w:tcPr>
            <w:tcW w:w="1960" w:type="dxa"/>
            <w:vAlign w:val="bottom"/>
            <w:tcBorders>
              <w:top w:val="single" w:sz="8" w:color="auto"/>
            </w:tcBorders>
            <w:shd w:val="clear" w:color="auto" w:fill="CCEEFF"/>
          </w:tcPr>
          <w:p>
            <w:pPr>
              <w:jc w:val="right"/>
              <w:ind w:right="76"/>
              <w:spacing w:after="0"/>
              <w:rPr>
                <w:sz w:val="20"/>
                <w:szCs w:val="20"/>
                <w:color w:val="auto"/>
              </w:rPr>
            </w:pPr>
            <w:r>
              <w:rPr>
                <w:rFonts w:ascii="Arial" w:cs="Arial" w:eastAsia="Arial" w:hAnsi="Arial"/>
                <w:sz w:val="14"/>
                <w:szCs w:val="14"/>
                <w:b w:val="1"/>
                <w:bCs w:val="1"/>
                <w:color w:val="auto"/>
              </w:rPr>
              <w:t>Total Shares Under 2019</w:t>
            </w:r>
          </w:p>
        </w:tc>
        <w:tc>
          <w:tcPr>
            <w:tcW w:w="0" w:type="dxa"/>
            <w:vAlign w:val="bottom"/>
          </w:tcPr>
          <w:p>
            <w:pPr>
              <w:spacing w:after="0"/>
              <w:rPr>
                <w:sz w:val="1"/>
                <w:szCs w:val="1"/>
                <w:color w:val="auto"/>
              </w:rPr>
            </w:pPr>
          </w:p>
        </w:tc>
      </w:tr>
      <w:tr>
        <w:trPr>
          <w:trHeight w:val="185"/>
        </w:trPr>
        <w:tc>
          <w:tcPr>
            <w:tcW w:w="3880" w:type="dxa"/>
            <w:vAlign w:val="bottom"/>
            <w:shd w:val="clear" w:color="auto" w:fill="CCEEFF"/>
          </w:tcPr>
          <w:p>
            <w:pPr>
              <w:spacing w:after="0"/>
              <w:rPr>
                <w:sz w:val="16"/>
                <w:szCs w:val="16"/>
                <w:color w:val="auto"/>
              </w:rPr>
            </w:pPr>
          </w:p>
        </w:tc>
        <w:tc>
          <w:tcPr>
            <w:tcW w:w="196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960" w:type="dxa"/>
            <w:vAlign w:val="bottom"/>
            <w:tcBorders>
              <w:bottom w:val="single" w:sz="8" w:color="auto"/>
            </w:tcBorders>
            <w:vMerge w:val="continue"/>
            <w:shd w:val="clear" w:color="auto" w:fill="CCEEFF"/>
          </w:tcPr>
          <w:p>
            <w:pPr>
              <w:spacing w:after="0"/>
              <w:rPr>
                <w:sz w:val="16"/>
                <w:szCs w:val="16"/>
                <w:color w:val="auto"/>
              </w:rPr>
            </w:pPr>
          </w:p>
        </w:tc>
        <w:tc>
          <w:tcPr>
            <w:tcW w:w="120" w:type="dxa"/>
            <w:vAlign w:val="bottom"/>
            <w:vMerge w:val="continue"/>
            <w:shd w:val="clear" w:color="auto" w:fill="CCEEFF"/>
          </w:tcPr>
          <w:p>
            <w:pPr>
              <w:spacing w:after="0"/>
              <w:rPr>
                <w:sz w:val="16"/>
                <w:szCs w:val="16"/>
                <w:color w:val="auto"/>
              </w:rPr>
            </w:pPr>
          </w:p>
        </w:tc>
        <w:tc>
          <w:tcPr>
            <w:tcW w:w="1960" w:type="dxa"/>
            <w:vAlign w:val="bottom"/>
            <w:tcBorders>
              <w:bottom w:val="single" w:sz="8" w:color="auto"/>
            </w:tcBorders>
            <w:shd w:val="clear" w:color="auto" w:fill="CCEEFF"/>
          </w:tcPr>
          <w:p>
            <w:pPr>
              <w:jc w:val="right"/>
              <w:ind w:right="416"/>
              <w:spacing w:after="0"/>
              <w:rPr>
                <w:sz w:val="20"/>
                <w:szCs w:val="20"/>
                <w:color w:val="auto"/>
              </w:rPr>
            </w:pPr>
            <w:r>
              <w:rPr>
                <w:rFonts w:ascii="Arial" w:cs="Arial" w:eastAsia="Arial" w:hAnsi="Arial"/>
                <w:sz w:val="14"/>
                <w:szCs w:val="14"/>
                <w:b w:val="1"/>
                <w:bCs w:val="1"/>
                <w:color w:val="auto"/>
              </w:rPr>
              <w:t>Omnibus Plan</w:t>
            </w:r>
          </w:p>
        </w:tc>
        <w:tc>
          <w:tcPr>
            <w:tcW w:w="0" w:type="dxa"/>
            <w:vAlign w:val="bottom"/>
          </w:tcPr>
          <w:p>
            <w:pPr>
              <w:spacing w:after="0"/>
              <w:rPr>
                <w:sz w:val="1"/>
                <w:szCs w:val="1"/>
                <w:color w:val="auto"/>
              </w:rPr>
            </w:pPr>
          </w:p>
        </w:tc>
      </w:tr>
      <w:tr>
        <w:trPr>
          <w:trHeight w:val="223"/>
        </w:trPr>
        <w:tc>
          <w:tcPr>
            <w:tcW w:w="3880" w:type="dxa"/>
            <w:vAlign w:val="bottom"/>
          </w:tcPr>
          <w:p>
            <w:pPr>
              <w:ind w:left="20"/>
              <w:spacing w:after="0"/>
              <w:rPr>
                <w:sz w:val="20"/>
                <w:szCs w:val="20"/>
                <w:color w:val="auto"/>
              </w:rPr>
            </w:pPr>
            <w:r>
              <w:rPr>
                <w:rFonts w:ascii="Arial" w:cs="Arial" w:eastAsia="Arial" w:hAnsi="Arial"/>
                <w:sz w:val="18"/>
                <w:szCs w:val="18"/>
                <w:color w:val="auto"/>
              </w:rPr>
              <w:t>Non-Qualified Stock Options</w:t>
            </w:r>
          </w:p>
        </w:tc>
        <w:tc>
          <w:tcPr>
            <w:tcW w:w="1960" w:type="dxa"/>
            <w:vAlign w:val="bottom"/>
          </w:tcPr>
          <w:p>
            <w:pPr>
              <w:jc w:val="right"/>
              <w:spacing w:after="0"/>
              <w:rPr>
                <w:sz w:val="20"/>
                <w:szCs w:val="20"/>
                <w:color w:val="auto"/>
              </w:rPr>
            </w:pPr>
            <w:r>
              <w:rPr>
                <w:rFonts w:ascii="Arial" w:cs="Arial" w:eastAsia="Arial" w:hAnsi="Arial"/>
                <w:sz w:val="18"/>
                <w:szCs w:val="18"/>
                <w:color w:val="auto"/>
              </w:rPr>
              <w:t>5,154,595</w:t>
            </w:r>
          </w:p>
        </w:tc>
        <w:tc>
          <w:tcPr>
            <w:tcW w:w="10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Arial" w:cs="Arial" w:eastAsia="Arial" w:hAnsi="Arial"/>
                <w:sz w:val="18"/>
                <w:szCs w:val="18"/>
                <w:color w:val="auto"/>
              </w:rPr>
              <w:t>5,154,595</w:t>
            </w:r>
          </w:p>
        </w:tc>
        <w:tc>
          <w:tcPr>
            <w:tcW w:w="0" w:type="dxa"/>
            <w:vAlign w:val="bottom"/>
          </w:tcPr>
          <w:p>
            <w:pPr>
              <w:spacing w:after="0"/>
              <w:rPr>
                <w:sz w:val="1"/>
                <w:szCs w:val="1"/>
                <w:color w:val="auto"/>
              </w:rPr>
            </w:pPr>
          </w:p>
        </w:tc>
      </w:tr>
      <w:tr>
        <w:trPr>
          <w:trHeight w:val="229"/>
        </w:trPr>
        <w:tc>
          <w:tcPr>
            <w:tcW w:w="3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Restricted Stock</w:t>
            </w:r>
          </w:p>
        </w:tc>
        <w:tc>
          <w:tcPr>
            <w:tcW w:w="1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5,627,044</w:t>
            </w:r>
          </w:p>
        </w:tc>
        <w:tc>
          <w:tcPr>
            <w:tcW w:w="2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4.06</w:t>
            </w:r>
          </w:p>
        </w:tc>
        <w:tc>
          <w:tcPr>
            <w:tcW w:w="12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22,845,799</w:t>
            </w:r>
          </w:p>
        </w:tc>
        <w:tc>
          <w:tcPr>
            <w:tcW w:w="0" w:type="dxa"/>
            <w:vAlign w:val="bottom"/>
          </w:tcPr>
          <w:p>
            <w:pPr>
              <w:spacing w:after="0"/>
              <w:rPr>
                <w:sz w:val="1"/>
                <w:szCs w:val="1"/>
                <w:color w:val="auto"/>
              </w:rPr>
            </w:pPr>
          </w:p>
        </w:tc>
      </w:tr>
      <w:tr>
        <w:trPr>
          <w:trHeight w:val="230"/>
        </w:trPr>
        <w:tc>
          <w:tcPr>
            <w:tcW w:w="38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Performance Shares</w:t>
            </w:r>
          </w:p>
        </w:tc>
        <w:tc>
          <w:tcPr>
            <w:tcW w:w="1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1,255,327</w:t>
            </w:r>
          </w:p>
        </w:tc>
        <w:tc>
          <w:tcPr>
            <w:tcW w:w="206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4.06</w:t>
            </w:r>
          </w:p>
        </w:tc>
        <w:tc>
          <w:tcPr>
            <w:tcW w:w="120" w:type="dxa"/>
            <w:vAlign w:val="bottom"/>
            <w:tcBorders>
              <w:bottom w:val="single" w:sz="8" w:color="CCEEFF"/>
            </w:tcBorders>
          </w:tcPr>
          <w:p>
            <w:pPr>
              <w:spacing w:after="0"/>
              <w:rPr>
                <w:sz w:val="19"/>
                <w:szCs w:val="19"/>
                <w:color w:val="auto"/>
              </w:rPr>
            </w:pPr>
          </w:p>
        </w:tc>
        <w:tc>
          <w:tcPr>
            <w:tcW w:w="1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5,096,628</w:t>
            </w:r>
          </w:p>
        </w:tc>
        <w:tc>
          <w:tcPr>
            <w:tcW w:w="0" w:type="dxa"/>
            <w:vAlign w:val="bottom"/>
          </w:tcPr>
          <w:p>
            <w:pPr>
              <w:spacing w:after="0"/>
              <w:rPr>
                <w:sz w:val="1"/>
                <w:szCs w:val="1"/>
                <w:color w:val="auto"/>
              </w:rPr>
            </w:pPr>
          </w:p>
        </w:tc>
      </w:tr>
      <w:tr>
        <w:trPr>
          <w:trHeight w:val="223"/>
        </w:trPr>
        <w:tc>
          <w:tcPr>
            <w:tcW w:w="38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Total</w:t>
            </w:r>
          </w:p>
        </w:tc>
        <w:tc>
          <w:tcPr>
            <w:tcW w:w="1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12,036,966</w:t>
            </w:r>
          </w:p>
        </w:tc>
        <w:tc>
          <w:tcPr>
            <w:tcW w:w="100" w:type="dxa"/>
            <w:vAlign w:val="bottom"/>
            <w:shd w:val="clear" w:color="auto" w:fill="CCEEFF"/>
          </w:tcPr>
          <w:p>
            <w:pPr>
              <w:spacing w:after="0"/>
              <w:rPr>
                <w:sz w:val="19"/>
                <w:szCs w:val="19"/>
                <w:color w:val="auto"/>
              </w:rPr>
            </w:pPr>
          </w:p>
        </w:tc>
        <w:tc>
          <w:tcPr>
            <w:tcW w:w="1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33,097,022</w:t>
            </w:r>
          </w:p>
        </w:tc>
        <w:tc>
          <w:tcPr>
            <w:tcW w:w="0" w:type="dxa"/>
            <w:vAlign w:val="bottom"/>
          </w:tcPr>
          <w:p>
            <w:pPr>
              <w:spacing w:after="0"/>
              <w:rPr>
                <w:sz w:val="1"/>
                <w:szCs w:val="1"/>
                <w:color w:val="auto"/>
              </w:rPr>
            </w:pPr>
          </w:p>
        </w:tc>
      </w:tr>
    </w:tbl>
    <w:p>
      <w:pPr>
        <w:spacing w:after="0" w:line="224" w:lineRule="exact"/>
        <w:rPr>
          <w:sz w:val="20"/>
          <w:szCs w:val="20"/>
          <w:color w:val="auto"/>
        </w:rPr>
      </w:pPr>
    </w:p>
    <w:p>
      <w:pPr>
        <w:ind w:left="4"/>
        <w:spacing w:after="0"/>
        <w:rPr>
          <w:sz w:val="20"/>
          <w:szCs w:val="20"/>
          <w:color w:val="auto"/>
        </w:rPr>
      </w:pPr>
      <w:r>
        <w:rPr>
          <w:rFonts w:ascii="Arial" w:cs="Arial" w:eastAsia="Arial" w:hAnsi="Arial"/>
          <w:sz w:val="18"/>
          <w:szCs w:val="18"/>
          <w:u w:val="single" w:color="auto"/>
          <w:color w:val="auto"/>
        </w:rPr>
        <w:t>Employee Stock Options</w:t>
      </w:r>
    </w:p>
    <w:p>
      <w:pPr>
        <w:spacing w:after="0" w:line="144" w:lineRule="exact"/>
        <w:rPr>
          <w:sz w:val="20"/>
          <w:szCs w:val="20"/>
          <w:color w:val="auto"/>
        </w:rPr>
      </w:pPr>
    </w:p>
    <w:p>
      <w:pPr>
        <w:jc w:val="both"/>
        <w:ind w:left="4"/>
        <w:spacing w:after="0" w:line="262" w:lineRule="auto"/>
        <w:rPr>
          <w:sz w:val="20"/>
          <w:szCs w:val="20"/>
          <w:color w:val="auto"/>
        </w:rPr>
      </w:pPr>
      <w:r>
        <w:rPr>
          <w:rFonts w:ascii="Arial" w:cs="Arial" w:eastAsia="Arial" w:hAnsi="Arial"/>
          <w:sz w:val="18"/>
          <w:szCs w:val="18"/>
          <w:color w:val="auto"/>
        </w:rPr>
        <w:t>Under the 2019 Omnibus Plan and the Employee Stock Option Plan, the option exercise price equals the stock’s market price on the date of grant. The options vest after one to five years and expire after five to ten years. As of March 31, 2025, there was $4,796,530 of unearned compensation cost associated with stock options granted under the 2019 Omnibus Incentive Plan and the Employee Stock Option Plan, which is expected to be recognized over the remaining vesting periods.</w:t>
      </w:r>
    </w:p>
    <w:p>
      <w:pPr>
        <w:spacing w:after="0" w:line="109" w:lineRule="exact"/>
        <w:rPr>
          <w:sz w:val="20"/>
          <w:szCs w:val="20"/>
          <w:color w:val="auto"/>
        </w:rPr>
      </w:pPr>
    </w:p>
    <w:p>
      <w:pPr>
        <w:ind w:left="4" w:right="740"/>
        <w:spacing w:after="0" w:line="287" w:lineRule="auto"/>
        <w:rPr>
          <w:sz w:val="20"/>
          <w:szCs w:val="20"/>
          <w:color w:val="auto"/>
        </w:rPr>
      </w:pPr>
      <w:r>
        <w:rPr>
          <w:rFonts w:ascii="Arial" w:cs="Arial" w:eastAsia="Arial" w:hAnsi="Arial"/>
          <w:sz w:val="18"/>
          <w:szCs w:val="18"/>
          <w:color w:val="auto"/>
        </w:rPr>
        <w:t>The fair value of each option grant was estimated on the date of grant using the Black-Scholes option pricing model with the following weighted-average assumptions for the indicated periods:</w:t>
      </w:r>
    </w:p>
    <w:p>
      <w:pPr>
        <w:spacing w:after="0" w:line="136" w:lineRule="exact"/>
        <w:rPr>
          <w:sz w:val="20"/>
          <w:szCs w:val="20"/>
          <w:color w:val="auto"/>
        </w:rPr>
      </w:pPr>
    </w:p>
    <w:tbl>
      <w:tblPr>
        <w:tblLayout w:type="fixed"/>
        <w:tblInd w:w="4" w:type="dxa"/>
        <w:tblCellMar>
          <w:top w:w="0" w:type="dxa"/>
          <w:left w:w="0" w:type="dxa"/>
          <w:bottom w:w="0" w:type="dxa"/>
          <w:right w:w="0" w:type="dxa"/>
        </w:tblCellMar>
      </w:tblPr>
      <w:tr>
        <w:trPr>
          <w:trHeight w:val="197"/>
        </w:trPr>
        <w:tc>
          <w:tcPr>
            <w:tcW w:w="6420" w:type="dxa"/>
            <w:vAlign w:val="bottom"/>
          </w:tcPr>
          <w:p>
            <w:pPr>
              <w:spacing w:after="0"/>
              <w:rPr>
                <w:sz w:val="17"/>
                <w:szCs w:val="17"/>
                <w:color w:val="auto"/>
              </w:rPr>
            </w:pPr>
          </w:p>
        </w:tc>
        <w:tc>
          <w:tcPr>
            <w:tcW w:w="3400" w:type="dxa"/>
            <w:vAlign w:val="bottom"/>
            <w:gridSpan w:val="4"/>
          </w:tcPr>
          <w:p>
            <w:pPr>
              <w:ind w:left="580"/>
              <w:spacing w:after="0"/>
              <w:rPr>
                <w:sz w:val="20"/>
                <w:szCs w:val="20"/>
                <w:color w:val="auto"/>
              </w:rPr>
            </w:pPr>
            <w:r>
              <w:rPr>
                <w:rFonts w:ascii="Arial" w:cs="Arial" w:eastAsia="Arial" w:hAnsi="Arial"/>
                <w:sz w:val="14"/>
                <w:szCs w:val="14"/>
                <w:b w:val="1"/>
                <w:bCs w:val="1"/>
                <w:color w:val="auto"/>
              </w:rPr>
              <w:t>Three Months Ended March 31,</w:t>
            </w:r>
          </w:p>
        </w:tc>
      </w:tr>
      <w:tr>
        <w:trPr>
          <w:trHeight w:val="196"/>
        </w:trPr>
        <w:tc>
          <w:tcPr>
            <w:tcW w:w="6420" w:type="dxa"/>
            <w:vAlign w:val="bottom"/>
            <w:tcBorders>
              <w:bottom w:val="single" w:sz="8" w:color="CCEEFF"/>
            </w:tcBorders>
          </w:tcPr>
          <w:p>
            <w:pPr>
              <w:spacing w:after="0"/>
              <w:rPr>
                <w:sz w:val="17"/>
                <w:szCs w:val="17"/>
                <w:color w:val="auto"/>
              </w:rPr>
            </w:pPr>
          </w:p>
        </w:tc>
        <w:tc>
          <w:tcPr>
            <w:tcW w:w="1600" w:type="dxa"/>
            <w:vAlign w:val="bottom"/>
            <w:tcBorders>
              <w:top w:val="single" w:sz="8" w:color="auto"/>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top w:val="single" w:sz="8" w:color="auto"/>
              <w:bottom w:val="single" w:sz="8" w:color="CCEEFF"/>
            </w:tcBorders>
          </w:tcPr>
          <w:p>
            <w:pPr>
              <w:spacing w:after="0"/>
              <w:rPr>
                <w:sz w:val="17"/>
                <w:szCs w:val="17"/>
                <w:color w:val="auto"/>
              </w:rPr>
            </w:pPr>
          </w:p>
        </w:tc>
        <w:tc>
          <w:tcPr>
            <w:tcW w:w="1600" w:type="dxa"/>
            <w:vAlign w:val="bottom"/>
            <w:tcBorders>
              <w:top w:val="single" w:sz="8" w:color="auto"/>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bottom w:val="single" w:sz="8" w:color="CCEEFF"/>
            </w:tcBorders>
          </w:tcPr>
          <w:p>
            <w:pPr>
              <w:spacing w:after="0"/>
              <w:rPr>
                <w:sz w:val="17"/>
                <w:szCs w:val="17"/>
                <w:color w:val="auto"/>
              </w:rPr>
            </w:pPr>
          </w:p>
        </w:tc>
      </w:tr>
      <w:tr>
        <w:trPr>
          <w:trHeight w:val="224"/>
        </w:trPr>
        <w:tc>
          <w:tcPr>
            <w:tcW w:w="6420" w:type="dxa"/>
            <w:vAlign w:val="bottom"/>
            <w:shd w:val="clear" w:color="auto" w:fill="CCEEFF"/>
          </w:tcPr>
          <w:p>
            <w:pPr>
              <w:ind w:left="20"/>
              <w:spacing w:after="0" w:line="224" w:lineRule="exact"/>
              <w:rPr>
                <w:sz w:val="20"/>
                <w:szCs w:val="20"/>
                <w:color w:val="auto"/>
              </w:rPr>
            </w:pPr>
            <w:r>
              <w:rPr>
                <w:rFonts w:ascii="Arial" w:cs="Arial" w:eastAsia="Arial" w:hAnsi="Arial"/>
                <w:sz w:val="18"/>
                <w:szCs w:val="18"/>
                <w:color w:val="auto"/>
              </w:rPr>
              <w:t xml:space="preserve">Dividend Yield </w:t>
            </w:r>
            <w:r>
              <w:rPr>
                <w:rFonts w:ascii="Arial" w:cs="Arial" w:eastAsia="Arial" w:hAnsi="Arial"/>
                <w:sz w:val="23"/>
                <w:szCs w:val="23"/>
                <w:color w:val="auto"/>
                <w:vertAlign w:val="superscript"/>
              </w:rPr>
              <w:t>(1)</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1.62 %</w:t>
            </w: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1.64 %</w:t>
            </w:r>
          </w:p>
        </w:tc>
        <w:tc>
          <w:tcPr>
            <w:tcW w:w="100" w:type="dxa"/>
            <w:vAlign w:val="bottom"/>
            <w:shd w:val="clear" w:color="auto" w:fill="CCEEFF"/>
          </w:tcPr>
          <w:p>
            <w:pPr>
              <w:spacing w:after="0"/>
              <w:rPr>
                <w:sz w:val="19"/>
                <w:szCs w:val="19"/>
                <w:color w:val="auto"/>
              </w:rPr>
            </w:pPr>
          </w:p>
        </w:tc>
      </w:tr>
      <w:tr>
        <w:trPr>
          <w:trHeight w:val="230"/>
        </w:trPr>
        <w:tc>
          <w:tcPr>
            <w:tcW w:w="642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Expected volatility </w:t>
            </w:r>
            <w:r>
              <w:rPr>
                <w:rFonts w:ascii="Arial" w:cs="Arial" w:eastAsia="Arial" w:hAnsi="Arial"/>
                <w:sz w:val="23"/>
                <w:szCs w:val="23"/>
                <w:color w:val="auto"/>
                <w:vertAlign w:val="superscript"/>
              </w:rPr>
              <w:t>(2)</w:t>
            </w:r>
          </w:p>
        </w:tc>
        <w:tc>
          <w:tcPr>
            <w:tcW w:w="1600" w:type="dxa"/>
            <w:vAlign w:val="bottom"/>
          </w:tcPr>
          <w:p>
            <w:pPr>
              <w:jc w:val="right"/>
              <w:spacing w:after="0"/>
              <w:rPr>
                <w:sz w:val="20"/>
                <w:szCs w:val="20"/>
                <w:color w:val="auto"/>
              </w:rPr>
            </w:pPr>
            <w:r>
              <w:rPr>
                <w:rFonts w:ascii="Arial" w:cs="Arial" w:eastAsia="Arial" w:hAnsi="Arial"/>
                <w:sz w:val="18"/>
                <w:szCs w:val="18"/>
                <w:color w:val="auto"/>
              </w:rPr>
              <w:t>25.60 %</w:t>
            </w:r>
          </w:p>
        </w:tc>
        <w:tc>
          <w:tcPr>
            <w:tcW w:w="1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28.29 %</w:t>
            </w:r>
          </w:p>
        </w:tc>
        <w:tc>
          <w:tcPr>
            <w:tcW w:w="100" w:type="dxa"/>
            <w:vAlign w:val="bottom"/>
          </w:tcPr>
          <w:p>
            <w:pPr>
              <w:spacing w:after="0"/>
              <w:rPr>
                <w:sz w:val="19"/>
                <w:szCs w:val="19"/>
                <w:color w:val="auto"/>
              </w:rPr>
            </w:pPr>
          </w:p>
        </w:tc>
      </w:tr>
      <w:tr>
        <w:trPr>
          <w:trHeight w:val="229"/>
        </w:trPr>
        <w:tc>
          <w:tcPr>
            <w:tcW w:w="642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Risk-free interest rate </w:t>
            </w:r>
            <w:r>
              <w:rPr>
                <w:rFonts w:ascii="Arial" w:cs="Arial" w:eastAsia="Arial" w:hAnsi="Arial"/>
                <w:sz w:val="23"/>
                <w:szCs w:val="23"/>
                <w:color w:val="auto"/>
                <w:vertAlign w:val="superscript"/>
              </w:rPr>
              <w:t>(3)</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3.96 %</w:t>
            </w: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4.21 %</w:t>
            </w:r>
          </w:p>
        </w:tc>
        <w:tc>
          <w:tcPr>
            <w:tcW w:w="100" w:type="dxa"/>
            <w:vAlign w:val="bottom"/>
            <w:shd w:val="clear" w:color="auto" w:fill="CCEEFF"/>
          </w:tcPr>
          <w:p>
            <w:pPr>
              <w:spacing w:after="0"/>
              <w:rPr>
                <w:sz w:val="19"/>
                <w:szCs w:val="19"/>
                <w:color w:val="auto"/>
              </w:rPr>
            </w:pPr>
          </w:p>
        </w:tc>
      </w:tr>
      <w:tr>
        <w:trPr>
          <w:trHeight w:val="230"/>
        </w:trPr>
        <w:tc>
          <w:tcPr>
            <w:tcW w:w="642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Expected term of options (years) </w:t>
            </w:r>
            <w:r>
              <w:rPr>
                <w:rFonts w:ascii="Arial" w:cs="Arial" w:eastAsia="Arial" w:hAnsi="Arial"/>
                <w:sz w:val="23"/>
                <w:szCs w:val="23"/>
                <w:color w:val="auto"/>
                <w:vertAlign w:val="superscript"/>
              </w:rPr>
              <w:t>(4)</w:t>
            </w:r>
          </w:p>
        </w:tc>
        <w:tc>
          <w:tcPr>
            <w:tcW w:w="1600" w:type="dxa"/>
            <w:vAlign w:val="bottom"/>
          </w:tcPr>
          <w:p>
            <w:pPr>
              <w:jc w:val="right"/>
              <w:spacing w:after="0"/>
              <w:rPr>
                <w:sz w:val="20"/>
                <w:szCs w:val="20"/>
                <w:color w:val="auto"/>
              </w:rPr>
            </w:pPr>
            <w:r>
              <w:rPr>
                <w:rFonts w:ascii="Arial" w:cs="Arial" w:eastAsia="Arial" w:hAnsi="Arial"/>
                <w:sz w:val="18"/>
                <w:szCs w:val="18"/>
                <w:color w:val="auto"/>
              </w:rPr>
              <w:t>4.14</w:t>
            </w:r>
          </w:p>
        </w:tc>
        <w:tc>
          <w:tcPr>
            <w:tcW w:w="1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4.14</w:t>
            </w:r>
          </w:p>
        </w:tc>
        <w:tc>
          <w:tcPr>
            <w:tcW w:w="100" w:type="dxa"/>
            <w:vAlign w:val="bottom"/>
          </w:tcPr>
          <w:p>
            <w:pPr>
              <w:spacing w:after="0"/>
              <w:rPr>
                <w:sz w:val="19"/>
                <w:szCs w:val="19"/>
                <w:color w:val="auto"/>
              </w:rPr>
            </w:pPr>
          </w:p>
        </w:tc>
      </w:tr>
      <w:tr>
        <w:trPr>
          <w:trHeight w:val="230"/>
        </w:trPr>
        <w:tc>
          <w:tcPr>
            <w:tcW w:w="6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Weighted-avg. grant date fair value</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$5.35</w:t>
            </w: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$9.08</w:t>
            </w:r>
          </w:p>
        </w:tc>
        <w:tc>
          <w:tcPr>
            <w:tcW w:w="100" w:type="dxa"/>
            <w:vAlign w:val="bottom"/>
            <w:shd w:val="clear" w:color="auto" w:fill="CCEEFF"/>
          </w:tcPr>
          <w:p>
            <w:pPr>
              <w:spacing w:after="0"/>
              <w:rPr>
                <w:sz w:val="19"/>
                <w:szCs w:val="19"/>
                <w:color w:val="auto"/>
              </w:rPr>
            </w:pPr>
          </w:p>
        </w:tc>
      </w:tr>
    </w:tbl>
    <w:p>
      <w:pPr>
        <w:spacing w:after="0" w:line="72" w:lineRule="exact"/>
        <w:rPr>
          <w:sz w:val="20"/>
          <w:szCs w:val="20"/>
          <w:color w:val="auto"/>
        </w:rPr>
      </w:pPr>
    </w:p>
    <w:p>
      <w:pPr>
        <w:ind w:left="324" w:hanging="324"/>
        <w:spacing w:after="0"/>
        <w:tabs>
          <w:tab w:leader="none" w:pos="324" w:val="left"/>
        </w:tabs>
        <w:numPr>
          <w:ilvl w:val="0"/>
          <w:numId w:val="11"/>
        </w:numPr>
        <w:rPr>
          <w:rFonts w:ascii="Arial" w:cs="Arial" w:eastAsia="Arial" w:hAnsi="Arial"/>
          <w:sz w:val="9"/>
          <w:szCs w:val="9"/>
          <w:color w:val="auto"/>
        </w:rPr>
      </w:pPr>
      <w:r>
        <w:rPr>
          <w:rFonts w:ascii="Arial" w:cs="Arial" w:eastAsia="Arial" w:hAnsi="Arial"/>
          <w:sz w:val="14"/>
          <w:szCs w:val="14"/>
          <w:color w:val="auto"/>
        </w:rPr>
        <w:t>Represents the Company’s estimated cash dividend yield over the expected term of option grant.</w:t>
      </w:r>
    </w:p>
    <w:p>
      <w:pPr>
        <w:spacing w:after="0" w:line="28" w:lineRule="exact"/>
        <w:rPr>
          <w:rFonts w:ascii="Arial" w:cs="Arial" w:eastAsia="Arial" w:hAnsi="Arial"/>
          <w:sz w:val="9"/>
          <w:szCs w:val="9"/>
          <w:color w:val="auto"/>
        </w:rPr>
      </w:pPr>
    </w:p>
    <w:p>
      <w:pPr>
        <w:ind w:left="324" w:right="260" w:hanging="324"/>
        <w:spacing w:after="0" w:line="221" w:lineRule="auto"/>
        <w:tabs>
          <w:tab w:leader="none" w:pos="321" w:val="left"/>
        </w:tabs>
        <w:numPr>
          <w:ilvl w:val="0"/>
          <w:numId w:val="11"/>
        </w:numPr>
        <w:rPr>
          <w:rFonts w:ascii="Arial" w:cs="Arial" w:eastAsia="Arial" w:hAnsi="Arial"/>
          <w:sz w:val="19"/>
          <w:szCs w:val="19"/>
          <w:color w:val="auto"/>
          <w:vertAlign w:val="superscript"/>
        </w:rPr>
      </w:pPr>
      <w:r>
        <w:rPr>
          <w:rFonts w:ascii="Arial" w:cs="Arial" w:eastAsia="Arial" w:hAnsi="Arial"/>
          <w:sz w:val="14"/>
          <w:szCs w:val="14"/>
          <w:color w:val="auto"/>
        </w:rPr>
        <w:t>Amount is determined based on analysis of historical price volatility of the Company’s common stock. The expected volatility is based on the daily percentage change in the price of the stock over a period equal to the expected term of the option grant.</w:t>
      </w:r>
    </w:p>
    <w:p>
      <w:pPr>
        <w:spacing w:after="0" w:line="1" w:lineRule="exact"/>
        <w:rPr>
          <w:rFonts w:ascii="Arial" w:cs="Arial" w:eastAsia="Arial" w:hAnsi="Arial"/>
          <w:sz w:val="19"/>
          <w:szCs w:val="19"/>
          <w:color w:val="auto"/>
          <w:vertAlign w:val="superscript"/>
        </w:rPr>
      </w:pPr>
    </w:p>
    <w:p>
      <w:pPr>
        <w:ind w:left="324" w:hanging="324"/>
        <w:spacing w:after="0" w:line="187" w:lineRule="auto"/>
        <w:tabs>
          <w:tab w:leader="none" w:pos="324" w:val="left"/>
        </w:tabs>
        <w:numPr>
          <w:ilvl w:val="0"/>
          <w:numId w:val="11"/>
        </w:numPr>
        <w:rPr>
          <w:rFonts w:ascii="Arial" w:cs="Arial" w:eastAsia="Arial" w:hAnsi="Arial"/>
          <w:sz w:val="18"/>
          <w:szCs w:val="18"/>
          <w:color w:val="auto"/>
          <w:vertAlign w:val="superscript"/>
        </w:rPr>
      </w:pPr>
      <w:r>
        <w:rPr>
          <w:rFonts w:ascii="Arial" w:cs="Arial" w:eastAsia="Arial" w:hAnsi="Arial"/>
          <w:sz w:val="14"/>
          <w:szCs w:val="14"/>
          <w:color w:val="auto"/>
        </w:rPr>
        <w:t>Represents the U.S. Treasury yield over the expected term of the option grant.</w:t>
      </w:r>
    </w:p>
    <w:p>
      <w:pPr>
        <w:ind w:left="324" w:right="20" w:hanging="324"/>
        <w:spacing w:after="0" w:line="284" w:lineRule="auto"/>
        <w:tabs>
          <w:tab w:leader="none" w:pos="321" w:val="left"/>
        </w:tabs>
        <w:numPr>
          <w:ilvl w:val="0"/>
          <w:numId w:val="11"/>
        </w:numPr>
        <w:rPr>
          <w:rFonts w:ascii="Arial" w:cs="Arial" w:eastAsia="Arial" w:hAnsi="Arial"/>
          <w:sz w:val="9"/>
          <w:szCs w:val="9"/>
          <w:color w:val="auto"/>
        </w:rPr>
      </w:pPr>
      <w:r>
        <w:rPr>
          <w:rFonts w:ascii="Arial" w:cs="Arial" w:eastAsia="Arial" w:hAnsi="Arial"/>
          <w:sz w:val="14"/>
          <w:szCs w:val="14"/>
          <w:color w:val="auto"/>
        </w:rPr>
        <w:t>Represents the period of time that options granted are expected to be outstanding. Based on analysis of historical option exercise activity, the Company has determined that all employee groups exhibit similar exercise and post-vesting termination behavior.</w:t>
      </w:r>
    </w:p>
    <w:p>
      <w:pPr>
        <w:spacing w:after="0" w:line="200" w:lineRule="exact"/>
        <w:rPr>
          <w:sz w:val="20"/>
          <w:szCs w:val="20"/>
          <w:color w:val="auto"/>
        </w:rPr>
      </w:pPr>
    </w:p>
    <w:p>
      <w:pPr>
        <w:spacing w:after="0" w:line="205" w:lineRule="exact"/>
        <w:rPr>
          <w:sz w:val="20"/>
          <w:szCs w:val="20"/>
          <w:color w:val="auto"/>
        </w:rPr>
      </w:pPr>
    </w:p>
    <w:p>
      <w:pPr>
        <w:ind w:left="4"/>
        <w:spacing w:after="0"/>
        <w:rPr>
          <w:sz w:val="20"/>
          <w:szCs w:val="20"/>
          <w:color w:val="auto"/>
        </w:rPr>
      </w:pPr>
      <w:r>
        <w:rPr>
          <w:rFonts w:ascii="Arial" w:cs="Arial" w:eastAsia="Arial" w:hAnsi="Arial"/>
          <w:sz w:val="18"/>
          <w:szCs w:val="18"/>
          <w:u w:val="single" w:color="auto"/>
          <w:color w:val="auto"/>
        </w:rPr>
        <w:t>Restricted Shares</w:t>
      </w:r>
    </w:p>
    <w:p>
      <w:pPr>
        <w:spacing w:after="0" w:line="158" w:lineRule="exact"/>
        <w:rPr>
          <w:sz w:val="20"/>
          <w:szCs w:val="20"/>
          <w:color w:val="auto"/>
        </w:rPr>
      </w:pPr>
    </w:p>
    <w:p>
      <w:pPr>
        <w:jc w:val="both"/>
        <w:ind w:left="4"/>
        <w:spacing w:after="0" w:line="256" w:lineRule="auto"/>
        <w:rPr>
          <w:sz w:val="20"/>
          <w:szCs w:val="20"/>
          <w:color w:val="auto"/>
        </w:rPr>
      </w:pPr>
      <w:r>
        <w:rPr>
          <w:rFonts w:ascii="Arial" w:cs="Arial" w:eastAsia="Arial" w:hAnsi="Arial"/>
          <w:sz w:val="18"/>
          <w:szCs w:val="18"/>
          <w:color w:val="auto"/>
        </w:rPr>
        <w:t>Restricted shares awarded under the 2019 Omnibus Plan and the Second Restricted Stock Plan entitle the shareholder to all rights of common stock ownership, except that the shares may not be sold, transferred, pledged, exchanged or otherwise disposed of during the restriction period. The restriction period is determined by the Compensation Committee, appointed by the Board of Directors, but may not exceed ten years under the terms of such plans. As of March 31, 2025, the Company had unearned stock-based compensation of $55,170,475 associated with the restricted stock grants issued under the 2019 Omnibus Plan and the Second Restricted Stock Plan. The unearned stock-based compensation related to these grants is being amortized to compensation expense over the applicable restriction periods. Compensation</w:t>
      </w:r>
    </w:p>
    <w:p>
      <w:pPr>
        <w:sectPr>
          <w:pgSz w:w="11900" w:h="16838" w:orient="portrait"/>
          <w:cols w:equalWidth="0" w:num="1">
            <w:col w:w="10584"/>
          </w:cols>
          <w:pgMar w:left="976" w:top="364" w:right="339" w:bottom="1440" w:gutter="0" w:footer="0" w:header="0"/>
        </w:sectPr>
      </w:pPr>
    </w:p>
    <w:p>
      <w:pPr>
        <w:spacing w:after="0" w:line="200" w:lineRule="exact"/>
        <w:rPr>
          <w:sz w:val="20"/>
          <w:szCs w:val="20"/>
          <w:color w:val="auto"/>
        </w:rPr>
      </w:pPr>
    </w:p>
    <w:p>
      <w:pPr>
        <w:spacing w:after="0" w:line="361" w:lineRule="exact"/>
        <w:rPr>
          <w:sz w:val="20"/>
          <w:szCs w:val="20"/>
          <w:color w:val="auto"/>
        </w:rPr>
      </w:pPr>
    </w:p>
    <w:p>
      <w:pPr>
        <w:ind w:left="10384"/>
        <w:spacing w:after="0"/>
        <w:rPr>
          <w:sz w:val="20"/>
          <w:szCs w:val="20"/>
          <w:color w:val="auto"/>
        </w:rPr>
      </w:pP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-423545</wp:posOffset>
            </wp:positionH>
            <wp:positionV relativeFrom="paragraph">
              <wp:posOffset>80645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84"/>
          </w:cols>
          <w:pgMar w:left="976" w:top="364" w:right="339" w:bottom="1440" w:gutter="0" w:footer="0" w:header="0"/>
          <w:type w:val="continuous"/>
        </w:sectPr>
      </w:pPr>
    </w:p>
    <w:bookmarkStart w:id="17" w:name="page18"/>
    <w:bookmarkEnd w:id="17"/>
    <w:p>
      <w:pPr>
        <w:jc w:val="center"/>
        <w:spacing w:after="0"/>
        <w:rPr>
          <w:sz w:val="20"/>
          <w:szCs w:val="20"/>
          <w:color w:val="auto"/>
        </w:rPr>
      </w:pPr>
      <w:r>
        <w:rPr>
          <w:rFonts w:ascii="Arial" w:cs="Arial" w:eastAsia="Arial" w:hAnsi="Arial"/>
          <w:sz w:val="18"/>
          <w:szCs w:val="18"/>
          <w:b w:val="1"/>
          <w:bCs w:val="1"/>
          <w:u w:val="single" w:color="auto"/>
          <w:color w:val="auto"/>
        </w:rPr>
        <w:t>GENTEX CORPORATION AND SUBSIDIARIES</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ind w:left="660"/>
        <w:spacing w:after="0" w:line="287" w:lineRule="auto"/>
        <w:rPr>
          <w:sz w:val="20"/>
          <w:szCs w:val="20"/>
          <w:color w:val="auto"/>
        </w:rPr>
      </w:pPr>
      <w:r>
        <w:rPr>
          <w:rFonts w:ascii="Arial" w:cs="Arial" w:eastAsia="Arial" w:hAnsi="Arial"/>
          <w:sz w:val="18"/>
          <w:szCs w:val="18"/>
          <w:color w:val="auto"/>
        </w:rPr>
        <w:t>expense from restricted stock grants in the three months ended March 31, 2025 was $5,858,085. Compensation expense from restricted stock grants in the three months ended March 31, 2024 was $6,687,341.</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Performance Shares</w:t>
      </w:r>
    </w:p>
    <w:p>
      <w:pPr>
        <w:spacing w:after="0" w:line="252" w:lineRule="exact"/>
        <w:rPr>
          <w:sz w:val="20"/>
          <w:szCs w:val="20"/>
          <w:color w:val="auto"/>
        </w:rPr>
      </w:pPr>
    </w:p>
    <w:p>
      <w:pPr>
        <w:jc w:val="both"/>
        <w:ind w:left="660"/>
        <w:spacing w:after="0" w:line="257" w:lineRule="auto"/>
        <w:rPr>
          <w:sz w:val="20"/>
          <w:szCs w:val="20"/>
          <w:color w:val="auto"/>
        </w:rPr>
      </w:pPr>
      <w:r>
        <w:rPr>
          <w:rFonts w:ascii="Arial" w:cs="Arial" w:eastAsia="Arial" w:hAnsi="Arial"/>
          <w:sz w:val="18"/>
          <w:szCs w:val="18"/>
          <w:color w:val="auto"/>
        </w:rPr>
        <w:t>Performance shares awarded under the 2019 Omnibus Plan are considered performance condition awards as attainment is based on the Company's performance relative to pre-established metrics. The fair value of such performance share awards was determined using the Company's average closing stock price on the twenty days preceding the date of grant. The expected attainment of the metrics for these awards is then analyzed each reporting period, and the related expense is adjusted based on expected attainment, if the then expected attainment differs from previous expectations. The cumulative effect on current and prior periods of a change in expected attainment is recognized in the period of change.</w:t>
      </w:r>
    </w:p>
    <w:p>
      <w:pPr>
        <w:spacing w:after="0" w:line="209" w:lineRule="exact"/>
        <w:rPr>
          <w:sz w:val="20"/>
          <w:szCs w:val="20"/>
          <w:color w:val="auto"/>
        </w:rPr>
      </w:pPr>
    </w:p>
    <w:p>
      <w:pPr>
        <w:jc w:val="both"/>
        <w:ind w:left="660"/>
        <w:spacing w:after="0" w:line="259" w:lineRule="auto"/>
        <w:rPr>
          <w:sz w:val="20"/>
          <w:szCs w:val="20"/>
          <w:color w:val="auto"/>
        </w:rPr>
      </w:pPr>
      <w:r>
        <w:rPr>
          <w:rFonts w:ascii="Arial" w:cs="Arial" w:eastAsia="Arial" w:hAnsi="Arial"/>
          <w:sz w:val="18"/>
          <w:szCs w:val="18"/>
          <w:color w:val="auto"/>
        </w:rPr>
        <w:t>As of March 31, 2025, the Company had unearned stock-based compensation of $15,983,706 associated with these performance share grants. The unearned stock-based compensation related to these grants is being amortized to compensation expense over the applicable performance periods. Compensation expense related to these performance share grants in the three months ended March 31, 2025 was $1,047,329. Compensation expense related to these performance share grants in the three months ended March 31, 2024 was $1,772,630.</w:t>
      </w:r>
    </w:p>
    <w:p>
      <w:pPr>
        <w:spacing w:after="0" w:line="206" w:lineRule="exact"/>
        <w:rPr>
          <w:sz w:val="20"/>
          <w:szCs w:val="20"/>
          <w:color w:val="auto"/>
        </w:rPr>
      </w:pPr>
    </w:p>
    <w:p>
      <w:pPr>
        <w:jc w:val="both"/>
        <w:ind w:left="660"/>
        <w:spacing w:after="0" w:line="255" w:lineRule="auto"/>
        <w:rPr>
          <w:sz w:val="20"/>
          <w:szCs w:val="20"/>
          <w:color w:val="auto"/>
        </w:rPr>
      </w:pPr>
      <w:r>
        <w:rPr>
          <w:rFonts w:ascii="Arial" w:cs="Arial" w:eastAsia="Arial" w:hAnsi="Arial"/>
          <w:sz w:val="18"/>
          <w:szCs w:val="18"/>
          <w:color w:val="auto"/>
        </w:rPr>
        <w:t>As part of its objective of attracting and retaining management to fulfill the Company's strategic goals, the Compensation Committee recommended and the Board approved on February 16, 2023, a retention grant of performance share awards ("PSAs"). In addition to the retention of management, the PSAs have been granted to further align management goals with those of the Company's shareholders. For that reason, the PSAs have been granted with performance criteria and will be based upon achievement of the Company's relative total shareholder return ("TSR") over a four-year period (2023-2026), against a predetermined peer group. The grant date fair value of PSAs with TSR targets was determined using a Monte Carlo simulation. Compensation expense related to these retention grants in the three months ended March 31, 2025 was $453,025. Compensation expense related to these retention grants in the three months ended March 31, 2024 was $422,846.</w:t>
      </w:r>
    </w:p>
    <w:p>
      <w:pPr>
        <w:spacing w:after="0" w:line="21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Employee Stock Purchase Plan</w:t>
      </w:r>
    </w:p>
    <w:p>
      <w:pPr>
        <w:spacing w:after="0" w:line="252" w:lineRule="exact"/>
        <w:rPr>
          <w:sz w:val="20"/>
          <w:szCs w:val="20"/>
          <w:color w:val="auto"/>
        </w:rPr>
      </w:pPr>
    </w:p>
    <w:p>
      <w:pPr>
        <w:jc w:val="both"/>
        <w:ind w:left="660"/>
        <w:spacing w:after="0" w:line="262" w:lineRule="auto"/>
        <w:rPr>
          <w:sz w:val="20"/>
          <w:szCs w:val="20"/>
          <w:color w:val="auto"/>
        </w:rPr>
      </w:pPr>
      <w:r>
        <w:rPr>
          <w:rFonts w:ascii="Arial" w:cs="Arial" w:eastAsia="Arial" w:hAnsi="Arial"/>
          <w:sz w:val="18"/>
          <w:szCs w:val="18"/>
          <w:color w:val="auto"/>
        </w:rPr>
        <w:t xml:space="preserve">The 2022 Gentex Corporation Employee Stock Purchase Plan covering 2,000,000 shares of common stock was approved by shareholders effective July 1, 2022. Under the plan, the Company sells shares at 85% of the stock's market price at date of purchase. Under ASC 718, </w:t>
      </w:r>
      <w:r>
        <w:rPr>
          <w:rFonts w:ascii="Arial" w:cs="Arial" w:eastAsia="Arial" w:hAnsi="Arial"/>
          <w:sz w:val="18"/>
          <w:szCs w:val="18"/>
          <w:i w:val="1"/>
          <w:iCs w:val="1"/>
          <w:color w:val="auto"/>
        </w:rPr>
        <w:t>Compensation - Stock Compensation,</w:t>
      </w:r>
      <w:r>
        <w:rPr>
          <w:rFonts w:ascii="Arial" w:cs="Arial" w:eastAsia="Arial" w:hAnsi="Arial"/>
          <w:sz w:val="18"/>
          <w:szCs w:val="18"/>
          <w:color w:val="auto"/>
        </w:rPr>
        <w:t xml:space="preserve"> the 15% discounted value is recognized as compensation expense. As of March 31, 2025, the Company has issued 607,551 shares under this plan.</w:t>
      </w:r>
    </w:p>
    <w:p>
      <w:pPr>
        <w:spacing w:after="0" w:line="203" w:lineRule="exact"/>
        <w:rPr>
          <w:sz w:val="20"/>
          <w:szCs w:val="20"/>
          <w:color w:val="auto"/>
        </w:rPr>
      </w:pPr>
    </w:p>
    <w:p>
      <w:pPr>
        <w:ind w:left="420" w:hanging="412"/>
        <w:spacing w:after="0"/>
        <w:tabs>
          <w:tab w:leader="none" w:pos="4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Comprehensive Income (Loss)</w:t>
      </w:r>
    </w:p>
    <w:p>
      <w:pPr>
        <w:spacing w:after="0" w:line="252" w:lineRule="exact"/>
        <w:rPr>
          <w:sz w:val="20"/>
          <w:szCs w:val="20"/>
          <w:color w:val="auto"/>
        </w:rPr>
      </w:pPr>
    </w:p>
    <w:p>
      <w:pPr>
        <w:jc w:val="both"/>
        <w:ind w:left="660"/>
        <w:spacing w:after="0" w:line="268" w:lineRule="auto"/>
        <w:rPr>
          <w:sz w:val="20"/>
          <w:szCs w:val="20"/>
          <w:color w:val="auto"/>
        </w:rPr>
      </w:pPr>
      <w:r>
        <w:rPr>
          <w:rFonts w:ascii="Arial" w:cs="Arial" w:eastAsia="Arial" w:hAnsi="Arial"/>
          <w:sz w:val="18"/>
          <w:szCs w:val="18"/>
          <w:color w:val="auto"/>
        </w:rPr>
        <w:t>Comprehensive income (loss) reflects the change in equity of a business enterprise during a period from transactions and other events and circumstances from non-owner sources. For the Company, comprehensive income represents net income adjusted for unrealized gains and losses on certain debt securities and foreign currency translation adjustments.</w:t>
      </w:r>
    </w:p>
    <w:p>
      <w:pPr>
        <w:spacing w:after="0" w:line="198" w:lineRule="exact"/>
        <w:rPr>
          <w:sz w:val="20"/>
          <w:szCs w:val="20"/>
          <w:color w:val="auto"/>
        </w:rPr>
      </w:pPr>
    </w:p>
    <w:p>
      <w:pPr>
        <w:jc w:val="both"/>
        <w:ind w:left="660"/>
        <w:spacing w:after="0" w:line="287" w:lineRule="auto"/>
        <w:rPr>
          <w:sz w:val="20"/>
          <w:szCs w:val="20"/>
          <w:color w:val="auto"/>
        </w:rPr>
      </w:pPr>
      <w:r>
        <w:rPr>
          <w:rFonts w:ascii="Arial" w:cs="Arial" w:eastAsia="Arial" w:hAnsi="Arial"/>
          <w:sz w:val="18"/>
          <w:szCs w:val="18"/>
          <w:color w:val="auto"/>
        </w:rPr>
        <w:t>The following table presents the net changes in the Company's accumulated other comprehensive loss by component (all amounts shown are net of tax):</w:t>
      </w:r>
    </w:p>
    <w:p>
      <w:pPr>
        <w:spacing w:after="0" w:line="200" w:lineRule="exact"/>
        <w:rPr>
          <w:sz w:val="20"/>
          <w:szCs w:val="20"/>
          <w:color w:val="auto"/>
        </w:rPr>
      </w:pPr>
    </w:p>
    <w:p>
      <w:pPr>
        <w:spacing w:after="0" w:line="33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8" w:name="page19"/>
    <w:bookmarkEnd w:id="18"/>
    <w:p>
      <w:pPr>
        <w:jc w:val="center"/>
        <w:spacing w:after="0"/>
        <w:rPr>
          <w:sz w:val="20"/>
          <w:szCs w:val="20"/>
          <w:color w:val="auto"/>
        </w:rPr>
      </w:pPr>
      <w:r>
        <w:rPr>
          <w:rFonts w:ascii="Arial" w:cs="Arial" w:eastAsia="Arial" w:hAnsi="Arial"/>
          <w:sz w:val="18"/>
          <w:szCs w:val="18"/>
          <w:b w:val="1"/>
          <w:bCs w:val="1"/>
          <w:u w:val="single" w:color="auto"/>
          <w:color w:val="auto"/>
        </w:rPr>
        <w:t>GENTEX CORPORATION AND SUBSIDIARIES</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14" w:lineRule="exact"/>
        <w:rPr>
          <w:sz w:val="20"/>
          <w:szCs w:val="20"/>
          <w:color w:val="auto"/>
        </w:rPr>
      </w:pPr>
    </w:p>
    <w:tbl>
      <w:tblPr>
        <w:tblLayout w:type="fixed"/>
        <w:tblInd w:w="660" w:type="dxa"/>
        <w:tblCellMar>
          <w:top w:w="0" w:type="dxa"/>
          <w:left w:w="0" w:type="dxa"/>
          <w:bottom w:w="0" w:type="dxa"/>
          <w:right w:w="0" w:type="dxa"/>
        </w:tblCellMar>
      </w:tblPr>
      <w:tr>
        <w:trPr>
          <w:trHeight w:val="196"/>
        </w:trPr>
        <w:tc>
          <w:tcPr>
            <w:tcW w:w="7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580" w:type="dxa"/>
            <w:vAlign w:val="bottom"/>
            <w:gridSpan w:val="4"/>
          </w:tcPr>
          <w:p>
            <w:pPr>
              <w:ind w:left="80"/>
              <w:spacing w:after="0"/>
              <w:rPr>
                <w:sz w:val="20"/>
                <w:szCs w:val="20"/>
                <w:color w:val="auto"/>
              </w:rPr>
            </w:pPr>
            <w:r>
              <w:rPr>
                <w:rFonts w:ascii="Arial" w:cs="Arial" w:eastAsia="Arial" w:hAnsi="Arial"/>
                <w:sz w:val="14"/>
                <w:szCs w:val="14"/>
                <w:b w:val="1"/>
                <w:bCs w:val="1"/>
                <w:color w:val="auto"/>
              </w:rPr>
              <w:t>Three Months Ended March 31,</w:t>
            </w:r>
          </w:p>
        </w:tc>
      </w:tr>
      <w:tr>
        <w:trPr>
          <w:trHeight w:val="203"/>
        </w:trPr>
        <w:tc>
          <w:tcPr>
            <w:tcW w:w="704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2025</w:t>
            </w:r>
          </w:p>
        </w:tc>
        <w:tc>
          <w:tcPr>
            <w:tcW w:w="2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bottom w:val="single" w:sz="8" w:color="auto"/>
            </w:tcBorders>
          </w:tcPr>
          <w:p>
            <w:pPr>
              <w:spacing w:after="0"/>
              <w:rPr>
                <w:sz w:val="17"/>
                <w:szCs w:val="17"/>
                <w:color w:val="auto"/>
              </w:rPr>
            </w:pPr>
          </w:p>
        </w:tc>
      </w:tr>
      <w:tr>
        <w:trPr>
          <w:trHeight w:val="211"/>
        </w:trPr>
        <w:tc>
          <w:tcPr>
            <w:tcW w:w="7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Foreign currency translation adjustments:</w:t>
            </w: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9"/>
        </w:trPr>
        <w:tc>
          <w:tcPr>
            <w:tcW w:w="7040" w:type="dxa"/>
            <w:vAlign w:val="bottom"/>
          </w:tcPr>
          <w:p>
            <w:pPr>
              <w:ind w:left="240"/>
              <w:spacing w:after="0"/>
              <w:rPr>
                <w:sz w:val="20"/>
                <w:szCs w:val="20"/>
                <w:color w:val="auto"/>
              </w:rPr>
            </w:pPr>
            <w:r>
              <w:rPr>
                <w:rFonts w:ascii="Arial" w:cs="Arial" w:eastAsia="Arial" w:hAnsi="Arial"/>
                <w:sz w:val="18"/>
                <w:szCs w:val="18"/>
                <w:color w:val="auto"/>
              </w:rPr>
              <w:t>Balance at beginning of period</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(5,817,736)</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(4,534,719)</w:t>
            </w:r>
          </w:p>
        </w:tc>
        <w:tc>
          <w:tcPr>
            <w:tcW w:w="100" w:type="dxa"/>
            <w:vAlign w:val="bottom"/>
          </w:tcPr>
          <w:p>
            <w:pPr>
              <w:spacing w:after="0"/>
              <w:rPr>
                <w:sz w:val="19"/>
                <w:szCs w:val="19"/>
                <w:color w:val="auto"/>
              </w:rPr>
            </w:pPr>
          </w:p>
        </w:tc>
      </w:tr>
      <w:tr>
        <w:trPr>
          <w:trHeight w:val="230"/>
        </w:trPr>
        <w:tc>
          <w:tcPr>
            <w:tcW w:w="70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Other Comprehensive loss before reclassifications</w:t>
            </w:r>
          </w:p>
        </w:tc>
        <w:tc>
          <w:tcPr>
            <w:tcW w:w="2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(345,230)</w:t>
            </w:r>
          </w:p>
        </w:tc>
        <w:tc>
          <w:tcPr>
            <w:tcW w:w="2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(950,213)</w:t>
            </w:r>
          </w:p>
        </w:tc>
        <w:tc>
          <w:tcPr>
            <w:tcW w:w="100" w:type="dxa"/>
            <w:vAlign w:val="bottom"/>
            <w:shd w:val="clear" w:color="auto" w:fill="CCEEFF"/>
          </w:tcPr>
          <w:p>
            <w:pPr>
              <w:spacing w:after="0"/>
              <w:rPr>
                <w:sz w:val="19"/>
                <w:szCs w:val="19"/>
                <w:color w:val="auto"/>
              </w:rPr>
            </w:pPr>
          </w:p>
        </w:tc>
      </w:tr>
      <w:tr>
        <w:trPr>
          <w:trHeight w:val="223"/>
        </w:trPr>
        <w:tc>
          <w:tcPr>
            <w:tcW w:w="704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Net current-period change</w:t>
            </w:r>
          </w:p>
        </w:tc>
        <w:tc>
          <w:tcPr>
            <w:tcW w:w="2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(345,230)</w:t>
            </w:r>
          </w:p>
        </w:tc>
        <w:tc>
          <w:tcPr>
            <w:tcW w:w="2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(950,213)</w:t>
            </w:r>
          </w:p>
        </w:tc>
        <w:tc>
          <w:tcPr>
            <w:tcW w:w="100" w:type="dxa"/>
            <w:vAlign w:val="bottom"/>
            <w:tcBorders>
              <w:bottom w:val="single" w:sz="8" w:color="CCEEFF"/>
            </w:tcBorders>
          </w:tcPr>
          <w:p>
            <w:pPr>
              <w:spacing w:after="0"/>
              <w:rPr>
                <w:sz w:val="19"/>
                <w:szCs w:val="19"/>
                <w:color w:val="auto"/>
              </w:rPr>
            </w:pPr>
          </w:p>
        </w:tc>
      </w:tr>
      <w:tr>
        <w:trPr>
          <w:trHeight w:val="223"/>
        </w:trPr>
        <w:tc>
          <w:tcPr>
            <w:tcW w:w="70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Balance at end of period</w:t>
            </w:r>
          </w:p>
        </w:tc>
        <w:tc>
          <w:tcPr>
            <w:tcW w:w="2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(6,162,966)</w:t>
            </w:r>
          </w:p>
        </w:tc>
        <w:tc>
          <w:tcPr>
            <w:tcW w:w="2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(5,484,932)</w:t>
            </w:r>
          </w:p>
        </w:tc>
        <w:tc>
          <w:tcPr>
            <w:tcW w:w="100" w:type="dxa"/>
            <w:vAlign w:val="bottom"/>
            <w:shd w:val="clear" w:color="auto" w:fill="CCEEFF"/>
          </w:tcPr>
          <w:p>
            <w:pPr>
              <w:spacing w:after="0"/>
              <w:rPr>
                <w:sz w:val="19"/>
                <w:szCs w:val="19"/>
                <w:color w:val="auto"/>
              </w:rPr>
            </w:pPr>
          </w:p>
        </w:tc>
      </w:tr>
      <w:tr>
        <w:trPr>
          <w:trHeight w:val="88"/>
        </w:trPr>
        <w:tc>
          <w:tcPr>
            <w:tcW w:w="7040" w:type="dxa"/>
            <w:vAlign w:val="bottom"/>
          </w:tcPr>
          <w:p>
            <w:pPr>
              <w:spacing w:after="0"/>
              <w:rPr>
                <w:sz w:val="7"/>
                <w:szCs w:val="7"/>
                <w:color w:val="auto"/>
              </w:rPr>
            </w:pPr>
          </w:p>
        </w:tc>
        <w:tc>
          <w:tcPr>
            <w:tcW w:w="2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2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00" w:type="dxa"/>
            <w:vAlign w:val="bottom"/>
          </w:tcPr>
          <w:p>
            <w:pPr>
              <w:spacing w:after="0"/>
              <w:rPr>
                <w:sz w:val="7"/>
                <w:szCs w:val="7"/>
                <w:color w:val="auto"/>
              </w:rPr>
            </w:pPr>
          </w:p>
        </w:tc>
      </w:tr>
      <w:tr>
        <w:trPr>
          <w:trHeight w:val="230"/>
        </w:trPr>
        <w:tc>
          <w:tcPr>
            <w:tcW w:w="7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Unrealized (losses) gains on debt securities:</w:t>
            </w: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29"/>
        </w:trPr>
        <w:tc>
          <w:tcPr>
            <w:tcW w:w="7040" w:type="dxa"/>
            <w:vAlign w:val="bottom"/>
          </w:tcPr>
          <w:p>
            <w:pPr>
              <w:ind w:left="240"/>
              <w:spacing w:after="0"/>
              <w:rPr>
                <w:sz w:val="20"/>
                <w:szCs w:val="20"/>
                <w:color w:val="auto"/>
              </w:rPr>
            </w:pPr>
            <w:r>
              <w:rPr>
                <w:rFonts w:ascii="Arial" w:cs="Arial" w:eastAsia="Arial" w:hAnsi="Arial"/>
                <w:sz w:val="18"/>
                <w:szCs w:val="18"/>
                <w:color w:val="auto"/>
              </w:rPr>
              <w:t>Balance at beginning of period</w:t>
            </w: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(591,605)</w:t>
            </w: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(2,022,403)</w:t>
            </w:r>
          </w:p>
        </w:tc>
        <w:tc>
          <w:tcPr>
            <w:tcW w:w="100" w:type="dxa"/>
            <w:vAlign w:val="bottom"/>
          </w:tcPr>
          <w:p>
            <w:pPr>
              <w:spacing w:after="0"/>
              <w:rPr>
                <w:sz w:val="19"/>
                <w:szCs w:val="19"/>
                <w:color w:val="auto"/>
              </w:rPr>
            </w:pPr>
          </w:p>
        </w:tc>
      </w:tr>
      <w:tr>
        <w:trPr>
          <w:trHeight w:val="229"/>
        </w:trPr>
        <w:tc>
          <w:tcPr>
            <w:tcW w:w="70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Other Comprehensive loss before reclassifications</w:t>
            </w: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(853,336)</w:t>
            </w: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(548,457)</w:t>
            </w:r>
          </w:p>
        </w:tc>
        <w:tc>
          <w:tcPr>
            <w:tcW w:w="100" w:type="dxa"/>
            <w:vAlign w:val="bottom"/>
            <w:shd w:val="clear" w:color="auto" w:fill="CCEEFF"/>
          </w:tcPr>
          <w:p>
            <w:pPr>
              <w:spacing w:after="0"/>
              <w:rPr>
                <w:sz w:val="19"/>
                <w:szCs w:val="19"/>
                <w:color w:val="auto"/>
              </w:rPr>
            </w:pPr>
          </w:p>
        </w:tc>
      </w:tr>
      <w:tr>
        <w:trPr>
          <w:trHeight w:val="230"/>
        </w:trPr>
        <w:tc>
          <w:tcPr>
            <w:tcW w:w="704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Amounts reclassified from accumulated other comprehensive loss</w:t>
            </w:r>
          </w:p>
        </w:tc>
        <w:tc>
          <w:tcPr>
            <w:tcW w:w="2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2,577,785</w:t>
            </w:r>
          </w:p>
        </w:tc>
        <w:tc>
          <w:tcPr>
            <w:tcW w:w="2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589,466</w:t>
            </w:r>
          </w:p>
        </w:tc>
        <w:tc>
          <w:tcPr>
            <w:tcW w:w="100" w:type="dxa"/>
            <w:vAlign w:val="bottom"/>
            <w:tcBorders>
              <w:bottom w:val="single" w:sz="8" w:color="CCEEFF"/>
            </w:tcBorders>
          </w:tcPr>
          <w:p>
            <w:pPr>
              <w:spacing w:after="0"/>
              <w:rPr>
                <w:sz w:val="19"/>
                <w:szCs w:val="19"/>
                <w:color w:val="auto"/>
              </w:rPr>
            </w:pPr>
          </w:p>
        </w:tc>
      </w:tr>
      <w:tr>
        <w:trPr>
          <w:trHeight w:val="223"/>
        </w:trPr>
        <w:tc>
          <w:tcPr>
            <w:tcW w:w="70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Net current-period change</w:t>
            </w:r>
          </w:p>
        </w:tc>
        <w:tc>
          <w:tcPr>
            <w:tcW w:w="2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1,724,449</w:t>
            </w:r>
          </w:p>
        </w:tc>
        <w:tc>
          <w:tcPr>
            <w:tcW w:w="2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41,009</w:t>
            </w:r>
          </w:p>
        </w:tc>
        <w:tc>
          <w:tcPr>
            <w:tcW w:w="100" w:type="dxa"/>
            <w:vAlign w:val="bottom"/>
            <w:shd w:val="clear" w:color="auto" w:fill="CCEEFF"/>
          </w:tcPr>
          <w:p>
            <w:pPr>
              <w:spacing w:after="0"/>
              <w:rPr>
                <w:sz w:val="19"/>
                <w:szCs w:val="19"/>
                <w:color w:val="auto"/>
              </w:rPr>
            </w:pPr>
          </w:p>
        </w:tc>
      </w:tr>
      <w:tr>
        <w:trPr>
          <w:trHeight w:val="262"/>
        </w:trPr>
        <w:tc>
          <w:tcPr>
            <w:tcW w:w="704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Balance at end of period</w:t>
            </w:r>
          </w:p>
        </w:tc>
        <w:tc>
          <w:tcPr>
            <w:tcW w:w="20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1,132,844</w:t>
            </w:r>
          </w:p>
        </w:tc>
        <w:tc>
          <w:tcPr>
            <w:tcW w:w="2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(1,981,394)</w:t>
            </w:r>
          </w:p>
        </w:tc>
        <w:tc>
          <w:tcPr>
            <w:tcW w:w="100" w:type="dxa"/>
            <w:vAlign w:val="bottom"/>
            <w:tcBorders>
              <w:bottom w:val="single" w:sz="8" w:color="CCEEFF"/>
            </w:tcBorders>
          </w:tcPr>
          <w:p>
            <w:pPr>
              <w:spacing w:after="0"/>
              <w:rPr>
                <w:sz w:val="22"/>
                <w:szCs w:val="22"/>
                <w:color w:val="auto"/>
              </w:rPr>
            </w:pPr>
          </w:p>
        </w:tc>
      </w:tr>
      <w:tr>
        <w:trPr>
          <w:trHeight w:val="229"/>
        </w:trPr>
        <w:tc>
          <w:tcPr>
            <w:tcW w:w="7040" w:type="dxa"/>
            <w:vAlign w:val="bottom"/>
            <w:tcBorders>
              <w:top w:val="single" w:sz="8" w:color="CCEEFF"/>
            </w:tcBorders>
          </w:tcPr>
          <w:p>
            <w:pPr>
              <w:ind w:left="20"/>
              <w:spacing w:after="0"/>
              <w:rPr>
                <w:sz w:val="20"/>
                <w:szCs w:val="20"/>
                <w:color w:val="auto"/>
              </w:rPr>
            </w:pPr>
            <w:r>
              <w:rPr>
                <w:rFonts w:ascii="Arial" w:cs="Arial" w:eastAsia="Arial" w:hAnsi="Arial"/>
                <w:sz w:val="18"/>
                <w:szCs w:val="18"/>
                <w:color w:val="auto"/>
              </w:rPr>
              <w:t>Accumulated other comprehensive loss, end of period</w:t>
            </w:r>
          </w:p>
        </w:tc>
        <w:tc>
          <w:tcPr>
            <w:tcW w:w="200" w:type="dxa"/>
            <w:vAlign w:val="bottom"/>
            <w:tcBorders>
              <w:top w:val="single" w:sz="8" w:color="CCEEFF"/>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CCEEFF"/>
              <w:bottom w:val="single" w:sz="8" w:color="auto"/>
            </w:tcBorders>
          </w:tcPr>
          <w:p>
            <w:pPr>
              <w:jc w:val="right"/>
              <w:spacing w:after="0"/>
              <w:rPr>
                <w:sz w:val="20"/>
                <w:szCs w:val="20"/>
                <w:color w:val="auto"/>
              </w:rPr>
            </w:pPr>
            <w:r>
              <w:rPr>
                <w:rFonts w:ascii="Arial" w:cs="Arial" w:eastAsia="Arial" w:hAnsi="Arial"/>
                <w:sz w:val="18"/>
                <w:szCs w:val="18"/>
                <w:color w:val="auto"/>
              </w:rPr>
              <w:t>(5,030,122)</w:t>
            </w:r>
          </w:p>
        </w:tc>
        <w:tc>
          <w:tcPr>
            <w:tcW w:w="260" w:type="dxa"/>
            <w:vAlign w:val="bottom"/>
            <w:tcBorders>
              <w:top w:val="single" w:sz="8" w:color="CCEEFF"/>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CCEEFF"/>
              <w:bottom w:val="single" w:sz="8" w:color="auto"/>
            </w:tcBorders>
          </w:tcPr>
          <w:p>
            <w:pPr>
              <w:jc w:val="right"/>
              <w:spacing w:after="0"/>
              <w:rPr>
                <w:sz w:val="20"/>
                <w:szCs w:val="20"/>
                <w:color w:val="auto"/>
              </w:rPr>
            </w:pPr>
            <w:r>
              <w:rPr>
                <w:rFonts w:ascii="Arial" w:cs="Arial" w:eastAsia="Arial" w:hAnsi="Arial"/>
                <w:sz w:val="18"/>
                <w:szCs w:val="18"/>
                <w:color w:val="auto"/>
              </w:rPr>
              <w:t>(7,466,326)</w:t>
            </w:r>
          </w:p>
        </w:tc>
        <w:tc>
          <w:tcPr>
            <w:tcW w:w="100" w:type="dxa"/>
            <w:vAlign w:val="bottom"/>
            <w:tcBorders>
              <w:top w:val="single" w:sz="8" w:color="CCEEFF"/>
            </w:tcBorders>
          </w:tcPr>
          <w:p>
            <w:pPr>
              <w:spacing w:after="0"/>
              <w:rPr>
                <w:sz w:val="19"/>
                <w:szCs w:val="19"/>
                <w:color w:val="auto"/>
              </w:rPr>
            </w:pPr>
          </w:p>
        </w:tc>
      </w:tr>
      <w:tr>
        <w:trPr>
          <w:trHeight w:val="21"/>
        </w:trPr>
        <w:tc>
          <w:tcPr>
            <w:tcW w:w="70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7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details of reclassifications out of accumulated other comprehensive loss for the three months ended</w:t>
      </w:r>
    </w:p>
    <w:p>
      <w:pPr>
        <w:spacing w:after="0" w:line="2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March 31, 2025 and 2024:</w:t>
      </w:r>
    </w:p>
    <w:p>
      <w:pPr>
        <w:spacing w:after="0" w:line="258" w:lineRule="exact"/>
        <w:rPr>
          <w:sz w:val="20"/>
          <w:szCs w:val="20"/>
          <w:color w:val="auto"/>
        </w:rPr>
      </w:pPr>
    </w:p>
    <w:tbl>
      <w:tblPr>
        <w:tblLayout w:type="fixed"/>
        <w:tblInd w:w="660" w:type="dxa"/>
        <w:tblCellMar>
          <w:top w:w="0" w:type="dxa"/>
          <w:left w:w="0" w:type="dxa"/>
          <w:bottom w:w="0" w:type="dxa"/>
          <w:right w:w="0" w:type="dxa"/>
        </w:tblCellMar>
      </w:tblPr>
      <w:tr>
        <w:trPr>
          <w:trHeight w:val="184"/>
        </w:trPr>
        <w:tc>
          <w:tcPr>
            <w:tcW w:w="5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780" w:type="dxa"/>
            <w:vAlign w:val="bottom"/>
          </w:tcPr>
          <w:p>
            <w:pPr>
              <w:jc w:val="center"/>
              <w:ind w:left="35"/>
              <w:spacing w:after="0"/>
              <w:rPr>
                <w:sz w:val="20"/>
                <w:szCs w:val="20"/>
                <w:color w:val="auto"/>
              </w:rPr>
            </w:pPr>
            <w:r>
              <w:rPr>
                <w:rFonts w:ascii="Arial" w:cs="Arial" w:eastAsia="Arial" w:hAnsi="Arial"/>
                <w:sz w:val="16"/>
                <w:szCs w:val="16"/>
                <w:b w:val="1"/>
                <w:bCs w:val="1"/>
                <w:color w:val="auto"/>
              </w:rPr>
              <w:t>Affected Line item in</w:t>
            </w:r>
          </w:p>
        </w:tc>
        <w:tc>
          <w:tcPr>
            <w:tcW w:w="0" w:type="dxa"/>
            <w:vAlign w:val="bottom"/>
          </w:tcPr>
          <w:p>
            <w:pPr>
              <w:spacing w:after="0"/>
              <w:rPr>
                <w:sz w:val="1"/>
                <w:szCs w:val="1"/>
                <w:color w:val="auto"/>
              </w:rPr>
            </w:pPr>
          </w:p>
        </w:tc>
      </w:tr>
      <w:tr>
        <w:trPr>
          <w:trHeight w:val="162"/>
        </w:trPr>
        <w:tc>
          <w:tcPr>
            <w:tcW w:w="5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80" w:type="dxa"/>
            <w:vAlign w:val="bottom"/>
          </w:tcPr>
          <w:p>
            <w:pPr>
              <w:jc w:val="center"/>
              <w:ind w:left="15"/>
              <w:spacing w:after="0" w:line="162" w:lineRule="exact"/>
              <w:rPr>
                <w:sz w:val="20"/>
                <w:szCs w:val="20"/>
                <w:color w:val="auto"/>
              </w:rPr>
            </w:pPr>
            <w:r>
              <w:rPr>
                <w:rFonts w:ascii="Arial" w:cs="Arial" w:eastAsia="Arial" w:hAnsi="Arial"/>
                <w:sz w:val="16"/>
                <w:szCs w:val="16"/>
                <w:b w:val="1"/>
                <w:bCs w:val="1"/>
                <w:color w:val="auto"/>
              </w:rPr>
              <w:t>the Unaudited</w:t>
            </w:r>
          </w:p>
        </w:tc>
        <w:tc>
          <w:tcPr>
            <w:tcW w:w="0" w:type="dxa"/>
            <w:vAlign w:val="bottom"/>
          </w:tcPr>
          <w:p>
            <w:pPr>
              <w:spacing w:after="0"/>
              <w:rPr>
                <w:sz w:val="1"/>
                <w:szCs w:val="1"/>
                <w:color w:val="auto"/>
              </w:rPr>
            </w:pPr>
          </w:p>
        </w:tc>
      </w:tr>
      <w:tr>
        <w:trPr>
          <w:trHeight w:val="162"/>
        </w:trPr>
        <w:tc>
          <w:tcPr>
            <w:tcW w:w="5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80" w:type="dxa"/>
            <w:vAlign w:val="bottom"/>
          </w:tcPr>
          <w:p>
            <w:pPr>
              <w:jc w:val="center"/>
              <w:ind w:left="15"/>
              <w:spacing w:after="0" w:line="162" w:lineRule="exact"/>
              <w:rPr>
                <w:sz w:val="20"/>
                <w:szCs w:val="20"/>
                <w:color w:val="auto"/>
              </w:rPr>
            </w:pPr>
            <w:r>
              <w:rPr>
                <w:rFonts w:ascii="Arial" w:cs="Arial" w:eastAsia="Arial" w:hAnsi="Arial"/>
                <w:sz w:val="16"/>
                <w:szCs w:val="16"/>
                <w:b w:val="1"/>
                <w:bCs w:val="1"/>
                <w:color w:val="auto"/>
              </w:rPr>
              <w:t>Condensed</w:t>
            </w:r>
          </w:p>
        </w:tc>
        <w:tc>
          <w:tcPr>
            <w:tcW w:w="0" w:type="dxa"/>
            <w:vAlign w:val="bottom"/>
          </w:tcPr>
          <w:p>
            <w:pPr>
              <w:spacing w:after="0"/>
              <w:rPr>
                <w:sz w:val="1"/>
                <w:szCs w:val="1"/>
                <w:color w:val="auto"/>
              </w:rPr>
            </w:pPr>
          </w:p>
        </w:tc>
      </w:tr>
      <w:tr>
        <w:trPr>
          <w:trHeight w:val="162"/>
        </w:trPr>
        <w:tc>
          <w:tcPr>
            <w:tcW w:w="5220" w:type="dxa"/>
            <w:vAlign w:val="bottom"/>
            <w:vMerge w:val="restart"/>
          </w:tcPr>
          <w:p>
            <w:pPr>
              <w:ind w:left="440"/>
              <w:spacing w:after="0"/>
              <w:rPr>
                <w:sz w:val="20"/>
                <w:szCs w:val="20"/>
                <w:color w:val="auto"/>
              </w:rPr>
            </w:pPr>
            <w:r>
              <w:rPr>
                <w:rFonts w:ascii="Arial" w:cs="Arial" w:eastAsia="Arial" w:hAnsi="Arial"/>
                <w:sz w:val="16"/>
                <w:szCs w:val="16"/>
                <w:b w:val="1"/>
                <w:bCs w:val="1"/>
                <w:color w:val="auto"/>
              </w:rPr>
              <w:t>Details about Accumulated Other Comprehensive Loss</w:t>
            </w:r>
          </w:p>
        </w:tc>
        <w:tc>
          <w:tcPr>
            <w:tcW w:w="120" w:type="dxa"/>
            <w:vAlign w:val="bottom"/>
          </w:tcPr>
          <w:p>
            <w:pPr>
              <w:spacing w:after="0"/>
              <w:rPr>
                <w:sz w:val="14"/>
                <w:szCs w:val="14"/>
                <w:color w:val="auto"/>
              </w:rPr>
            </w:pPr>
          </w:p>
        </w:tc>
        <w:tc>
          <w:tcPr>
            <w:tcW w:w="2700" w:type="dxa"/>
            <w:vAlign w:val="bottom"/>
            <w:gridSpan w:val="4"/>
            <w:vMerge w:val="restart"/>
          </w:tcPr>
          <w:p>
            <w:pPr>
              <w:jc w:val="center"/>
              <w:ind w:right="120"/>
              <w:spacing w:after="0"/>
              <w:rPr>
                <w:sz w:val="20"/>
                <w:szCs w:val="20"/>
                <w:color w:val="auto"/>
              </w:rPr>
            </w:pPr>
            <w:r>
              <w:rPr>
                <w:rFonts w:ascii="Arial" w:cs="Arial" w:eastAsia="Arial" w:hAnsi="Arial"/>
                <w:sz w:val="16"/>
                <w:szCs w:val="16"/>
                <w:b w:val="1"/>
                <w:bCs w:val="1"/>
                <w:color w:val="auto"/>
              </w:rPr>
              <w:t>Amounts Reclassified from Other</w:t>
            </w:r>
          </w:p>
        </w:tc>
        <w:tc>
          <w:tcPr>
            <w:tcW w:w="1780" w:type="dxa"/>
            <w:vAlign w:val="bottom"/>
          </w:tcPr>
          <w:p>
            <w:pPr>
              <w:jc w:val="center"/>
              <w:ind w:left="35"/>
              <w:spacing w:after="0" w:line="162" w:lineRule="exact"/>
              <w:rPr>
                <w:sz w:val="20"/>
                <w:szCs w:val="20"/>
                <w:color w:val="auto"/>
              </w:rPr>
            </w:pPr>
            <w:r>
              <w:rPr>
                <w:rFonts w:ascii="Arial" w:cs="Arial" w:eastAsia="Arial" w:hAnsi="Arial"/>
                <w:sz w:val="16"/>
                <w:szCs w:val="16"/>
                <w:b w:val="1"/>
                <w:bCs w:val="1"/>
                <w:color w:val="auto"/>
              </w:rPr>
              <w:t>Consolidated</w:t>
            </w:r>
          </w:p>
        </w:tc>
        <w:tc>
          <w:tcPr>
            <w:tcW w:w="0" w:type="dxa"/>
            <w:vAlign w:val="bottom"/>
          </w:tcPr>
          <w:p>
            <w:pPr>
              <w:spacing w:after="0"/>
              <w:rPr>
                <w:sz w:val="1"/>
                <w:szCs w:val="1"/>
                <w:color w:val="auto"/>
              </w:rPr>
            </w:pPr>
          </w:p>
        </w:tc>
      </w:tr>
      <w:tr>
        <w:trPr>
          <w:trHeight w:val="162"/>
        </w:trPr>
        <w:tc>
          <w:tcPr>
            <w:tcW w:w="52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2700" w:type="dxa"/>
            <w:vAlign w:val="bottom"/>
            <w:gridSpan w:val="4"/>
            <w:vMerge w:val="continue"/>
          </w:tcPr>
          <w:p>
            <w:pPr>
              <w:spacing w:after="0"/>
              <w:rPr>
                <w:sz w:val="14"/>
                <w:szCs w:val="14"/>
                <w:color w:val="auto"/>
              </w:rPr>
            </w:pPr>
          </w:p>
        </w:tc>
        <w:tc>
          <w:tcPr>
            <w:tcW w:w="1780" w:type="dxa"/>
            <w:vAlign w:val="bottom"/>
          </w:tcPr>
          <w:p>
            <w:pPr>
              <w:jc w:val="center"/>
              <w:ind w:left="35"/>
              <w:spacing w:after="0" w:line="162" w:lineRule="exact"/>
              <w:rPr>
                <w:sz w:val="20"/>
                <w:szCs w:val="20"/>
                <w:color w:val="auto"/>
              </w:rPr>
            </w:pPr>
            <w:r>
              <w:rPr>
                <w:rFonts w:ascii="Arial" w:cs="Arial" w:eastAsia="Arial" w:hAnsi="Arial"/>
                <w:sz w:val="16"/>
                <w:szCs w:val="16"/>
                <w:b w:val="1"/>
                <w:bCs w:val="1"/>
                <w:color w:val="auto"/>
              </w:rPr>
              <w:t>Statements of</w:t>
            </w:r>
          </w:p>
        </w:tc>
        <w:tc>
          <w:tcPr>
            <w:tcW w:w="0" w:type="dxa"/>
            <w:vAlign w:val="bottom"/>
          </w:tcPr>
          <w:p>
            <w:pPr>
              <w:spacing w:after="0"/>
              <w:rPr>
                <w:sz w:val="1"/>
                <w:szCs w:val="1"/>
                <w:color w:val="auto"/>
              </w:rPr>
            </w:pPr>
          </w:p>
        </w:tc>
      </w:tr>
      <w:tr>
        <w:trPr>
          <w:trHeight w:val="216"/>
        </w:trPr>
        <w:tc>
          <w:tcPr>
            <w:tcW w:w="5220" w:type="dxa"/>
            <w:vAlign w:val="bottom"/>
            <w:tcBorders>
              <w:bottom w:val="single" w:sz="8" w:color="auto"/>
            </w:tcBorders>
          </w:tcPr>
          <w:p>
            <w:pPr>
              <w:ind w:left="2060"/>
              <w:spacing w:after="0"/>
              <w:rPr>
                <w:sz w:val="20"/>
                <w:szCs w:val="20"/>
                <w:color w:val="auto"/>
              </w:rPr>
            </w:pPr>
            <w:r>
              <w:rPr>
                <w:rFonts w:ascii="Arial" w:cs="Arial" w:eastAsia="Arial" w:hAnsi="Arial"/>
                <w:sz w:val="16"/>
                <w:szCs w:val="16"/>
                <w:b w:val="1"/>
                <w:bCs w:val="1"/>
                <w:color w:val="auto"/>
              </w:rPr>
              <w:t>Components</w:t>
            </w:r>
          </w:p>
        </w:tc>
        <w:tc>
          <w:tcPr>
            <w:tcW w:w="120" w:type="dxa"/>
            <w:vAlign w:val="bottom"/>
            <w:tcBorders>
              <w:bottom w:val="single" w:sz="8" w:color="auto"/>
            </w:tcBorders>
          </w:tcPr>
          <w:p>
            <w:pPr>
              <w:spacing w:after="0"/>
              <w:rPr>
                <w:sz w:val="18"/>
                <w:szCs w:val="18"/>
                <w:color w:val="auto"/>
              </w:rPr>
            </w:pPr>
          </w:p>
        </w:tc>
        <w:tc>
          <w:tcPr>
            <w:tcW w:w="2700" w:type="dxa"/>
            <w:vAlign w:val="bottom"/>
            <w:tcBorders>
              <w:bottom w:val="single" w:sz="8" w:color="auto"/>
            </w:tcBorders>
            <w:gridSpan w:val="4"/>
          </w:tcPr>
          <w:p>
            <w:pPr>
              <w:jc w:val="center"/>
              <w:ind w:right="100"/>
              <w:spacing w:after="0"/>
              <w:rPr>
                <w:sz w:val="20"/>
                <w:szCs w:val="20"/>
                <w:color w:val="auto"/>
              </w:rPr>
            </w:pPr>
            <w:r>
              <w:rPr>
                <w:rFonts w:ascii="Arial" w:cs="Arial" w:eastAsia="Arial" w:hAnsi="Arial"/>
                <w:sz w:val="16"/>
                <w:szCs w:val="16"/>
                <w:b w:val="1"/>
                <w:bCs w:val="1"/>
                <w:color w:val="auto"/>
              </w:rPr>
              <w:t>Comprehensive Loss</w:t>
            </w:r>
          </w:p>
        </w:tc>
        <w:tc>
          <w:tcPr>
            <w:tcW w:w="1780" w:type="dxa"/>
            <w:vAlign w:val="bottom"/>
            <w:tcBorders>
              <w:bottom w:val="single" w:sz="8" w:color="auto"/>
            </w:tcBorders>
          </w:tcPr>
          <w:p>
            <w:pPr>
              <w:jc w:val="center"/>
              <w:ind w:left="35"/>
              <w:spacing w:after="0"/>
              <w:rPr>
                <w:sz w:val="20"/>
                <w:szCs w:val="20"/>
                <w:color w:val="auto"/>
              </w:rPr>
            </w:pPr>
            <w:r>
              <w:rPr>
                <w:rFonts w:ascii="Arial" w:cs="Arial" w:eastAsia="Arial" w:hAnsi="Arial"/>
                <w:sz w:val="16"/>
                <w:szCs w:val="16"/>
                <w:b w:val="1"/>
                <w:bCs w:val="1"/>
                <w:color w:val="auto"/>
              </w:rPr>
              <w:t>Income</w:t>
            </w:r>
          </w:p>
        </w:tc>
        <w:tc>
          <w:tcPr>
            <w:tcW w:w="0" w:type="dxa"/>
            <w:vAlign w:val="bottom"/>
          </w:tcPr>
          <w:p>
            <w:pPr>
              <w:spacing w:after="0"/>
              <w:rPr>
                <w:sz w:val="1"/>
                <w:szCs w:val="1"/>
                <w:color w:val="auto"/>
              </w:rPr>
            </w:pPr>
          </w:p>
        </w:tc>
      </w:tr>
      <w:tr>
        <w:trPr>
          <w:trHeight w:val="194"/>
        </w:trPr>
        <w:tc>
          <w:tcPr>
            <w:tcW w:w="5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700" w:type="dxa"/>
            <w:vAlign w:val="bottom"/>
            <w:gridSpan w:val="4"/>
          </w:tcPr>
          <w:p>
            <w:pPr>
              <w:ind w:left="160"/>
              <w:spacing w:after="0"/>
              <w:rPr>
                <w:sz w:val="20"/>
                <w:szCs w:val="20"/>
                <w:color w:val="auto"/>
              </w:rPr>
            </w:pPr>
            <w:r>
              <w:rPr>
                <w:rFonts w:ascii="Arial" w:cs="Arial" w:eastAsia="Arial" w:hAnsi="Arial"/>
                <w:sz w:val="14"/>
                <w:szCs w:val="14"/>
                <w:b w:val="1"/>
                <w:bCs w:val="1"/>
                <w:color w:val="auto"/>
              </w:rPr>
              <w:t>Three Months Ended March 31,</w:t>
            </w:r>
          </w:p>
        </w:tc>
        <w:tc>
          <w:tcPr>
            <w:tcW w:w="1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52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ind w:left="400"/>
              <w:spacing w:after="0"/>
              <w:rPr>
                <w:sz w:val="20"/>
                <w:szCs w:val="20"/>
                <w:color w:val="auto"/>
              </w:rPr>
            </w:pPr>
            <w:r>
              <w:rPr>
                <w:rFonts w:ascii="Arial" w:cs="Arial" w:eastAsia="Arial" w:hAnsi="Arial"/>
                <w:sz w:val="14"/>
                <w:szCs w:val="14"/>
                <w:b w:val="1"/>
                <w:bCs w:val="1"/>
                <w:color w:val="auto"/>
              </w:rPr>
              <w:t>2025</w:t>
            </w:r>
          </w:p>
        </w:tc>
        <w:tc>
          <w:tcPr>
            <w:tcW w:w="3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21"/>
              <w:spacing w:after="0"/>
              <w:rPr>
                <w:sz w:val="20"/>
                <w:szCs w:val="20"/>
                <w:color w:val="auto"/>
              </w:rPr>
            </w:pPr>
            <w:r>
              <w:rPr>
                <w:rFonts w:ascii="Arial" w:cs="Arial" w:eastAsia="Arial" w:hAnsi="Arial"/>
                <w:sz w:val="14"/>
                <w:szCs w:val="14"/>
                <w:b w:val="1"/>
                <w:bCs w:val="1"/>
                <w:color w:val="auto"/>
              </w:rPr>
              <w:t>2024</w:t>
            </w:r>
          </w:p>
        </w:tc>
        <w:tc>
          <w:tcPr>
            <w:tcW w:w="140" w:type="dxa"/>
            <w:vAlign w:val="bottom"/>
            <w:tcBorders>
              <w:bottom w:val="single" w:sz="8" w:color="CCEEFF"/>
            </w:tcBorders>
          </w:tcPr>
          <w:p>
            <w:pPr>
              <w:spacing w:after="0"/>
              <w:rPr>
                <w:sz w:val="17"/>
                <w:szCs w:val="17"/>
                <w:color w:val="auto"/>
              </w:rPr>
            </w:pPr>
          </w:p>
        </w:tc>
        <w:tc>
          <w:tcPr>
            <w:tcW w:w="178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5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Unrealized gains (losses) on debt securities</w:t>
            </w: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5220" w:type="dxa"/>
            <w:vAlign w:val="bottom"/>
            <w:vMerge w:val="restart"/>
          </w:tcPr>
          <w:p>
            <w:pPr>
              <w:ind w:left="240"/>
              <w:spacing w:after="0"/>
              <w:rPr>
                <w:sz w:val="20"/>
                <w:szCs w:val="20"/>
                <w:color w:val="auto"/>
              </w:rPr>
            </w:pPr>
            <w:r>
              <w:rPr>
                <w:rFonts w:ascii="Arial" w:cs="Arial" w:eastAsia="Arial" w:hAnsi="Arial"/>
                <w:sz w:val="18"/>
                <w:szCs w:val="18"/>
                <w:color w:val="auto"/>
              </w:rPr>
              <w:t>Realized (loss) on sale of securities</w:t>
            </w:r>
          </w:p>
        </w:tc>
        <w:tc>
          <w:tcPr>
            <w:tcW w:w="1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780" w:type="dxa"/>
            <w:vAlign w:val="bottom"/>
          </w:tcPr>
          <w:p>
            <w:pPr>
              <w:jc w:val="center"/>
              <w:spacing w:after="0" w:line="176" w:lineRule="exact"/>
              <w:rPr>
                <w:sz w:val="20"/>
                <w:szCs w:val="20"/>
                <w:color w:val="auto"/>
              </w:rPr>
            </w:pPr>
            <w:r>
              <w:rPr>
                <w:rFonts w:ascii="Arial" w:cs="Arial" w:eastAsia="Arial" w:hAnsi="Arial"/>
                <w:sz w:val="18"/>
                <w:szCs w:val="18"/>
                <w:color w:val="auto"/>
                <w:w w:val="99"/>
              </w:rPr>
              <w:t>Other (loss) income,</w:t>
            </w:r>
          </w:p>
        </w:tc>
        <w:tc>
          <w:tcPr>
            <w:tcW w:w="0" w:type="dxa"/>
            <w:vAlign w:val="bottom"/>
          </w:tcPr>
          <w:p>
            <w:pPr>
              <w:spacing w:after="0"/>
              <w:rPr>
                <w:sz w:val="1"/>
                <w:szCs w:val="1"/>
                <w:color w:val="auto"/>
              </w:rPr>
            </w:pPr>
          </w:p>
        </w:tc>
      </w:tr>
      <w:tr>
        <w:trPr>
          <w:trHeight w:val="243"/>
        </w:trPr>
        <w:tc>
          <w:tcPr>
            <w:tcW w:w="5220" w:type="dxa"/>
            <w:vAlign w:val="bottom"/>
            <w:vMerge w:val="continue"/>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Pr>
          <w:p>
            <w:pPr>
              <w:ind w:left="380"/>
              <w:spacing w:after="0"/>
              <w:rPr>
                <w:sz w:val="20"/>
                <w:szCs w:val="20"/>
                <w:color w:val="auto"/>
              </w:rPr>
            </w:pPr>
            <w:r>
              <w:rPr>
                <w:rFonts w:ascii="Arial" w:cs="Arial" w:eastAsia="Arial" w:hAnsi="Arial"/>
                <w:sz w:val="16"/>
                <w:szCs w:val="16"/>
                <w:color w:val="auto"/>
              </w:rPr>
              <w:t>(3,263,019)</w:t>
            </w:r>
          </w:p>
        </w:tc>
        <w:tc>
          <w:tcPr>
            <w:tcW w:w="320" w:type="dxa"/>
            <w:vAlign w:val="bottom"/>
          </w:tcPr>
          <w:p>
            <w:pPr>
              <w:jc w:val="center"/>
              <w:ind w:right="99"/>
              <w:spacing w:after="0"/>
              <w:rPr>
                <w:sz w:val="20"/>
                <w:szCs w:val="20"/>
                <w:color w:val="auto"/>
              </w:rPr>
            </w:pPr>
            <w:r>
              <w:rPr>
                <w:rFonts w:ascii="Arial" w:cs="Arial" w:eastAsia="Arial" w:hAnsi="Arial"/>
                <w:sz w:val="16"/>
                <w:szCs w:val="16"/>
                <w:color w:val="auto"/>
              </w:rPr>
              <w:t>$</w:t>
            </w:r>
          </w:p>
        </w:tc>
        <w:tc>
          <w:tcPr>
            <w:tcW w:w="1020" w:type="dxa"/>
            <w:vAlign w:val="bottom"/>
          </w:tcPr>
          <w:p>
            <w:pPr>
              <w:jc w:val="center"/>
              <w:ind w:left="201"/>
              <w:spacing w:after="0"/>
              <w:rPr>
                <w:sz w:val="20"/>
                <w:szCs w:val="20"/>
                <w:color w:val="auto"/>
              </w:rPr>
            </w:pPr>
            <w:r>
              <w:rPr>
                <w:rFonts w:ascii="Arial" w:cs="Arial" w:eastAsia="Arial" w:hAnsi="Arial"/>
                <w:sz w:val="16"/>
                <w:szCs w:val="16"/>
                <w:color w:val="auto"/>
              </w:rPr>
              <w:t>(746,159)</w:t>
            </w:r>
          </w:p>
        </w:tc>
        <w:tc>
          <w:tcPr>
            <w:tcW w:w="140" w:type="dxa"/>
            <w:vAlign w:val="bottom"/>
          </w:tcPr>
          <w:p>
            <w:pPr>
              <w:spacing w:after="0"/>
              <w:rPr>
                <w:sz w:val="21"/>
                <w:szCs w:val="21"/>
                <w:color w:val="auto"/>
              </w:rPr>
            </w:pPr>
          </w:p>
        </w:tc>
        <w:tc>
          <w:tcPr>
            <w:tcW w:w="1780" w:type="dxa"/>
            <w:vAlign w:val="bottom"/>
          </w:tcPr>
          <w:p>
            <w:pPr>
              <w:ind w:left="120"/>
              <w:spacing w:after="0"/>
              <w:rPr>
                <w:sz w:val="20"/>
                <w:szCs w:val="20"/>
                <w:color w:val="auto"/>
              </w:rPr>
            </w:pPr>
            <w:r>
              <w:rPr>
                <w:rFonts w:ascii="Arial" w:cs="Arial" w:eastAsia="Arial" w:hAnsi="Arial"/>
                <w:sz w:val="18"/>
                <w:szCs w:val="18"/>
                <w:color w:val="auto"/>
              </w:rPr>
              <w:t>net</w:t>
            </w:r>
          </w:p>
        </w:tc>
        <w:tc>
          <w:tcPr>
            <w:tcW w:w="0" w:type="dxa"/>
            <w:vAlign w:val="bottom"/>
          </w:tcPr>
          <w:p>
            <w:pPr>
              <w:spacing w:after="0"/>
              <w:rPr>
                <w:sz w:val="1"/>
                <w:szCs w:val="1"/>
                <w:color w:val="auto"/>
              </w:rPr>
            </w:pPr>
          </w:p>
        </w:tc>
      </w:tr>
      <w:tr>
        <w:trPr>
          <w:trHeight w:val="175"/>
        </w:trPr>
        <w:tc>
          <w:tcPr>
            <w:tcW w:w="5220" w:type="dxa"/>
            <w:vAlign w:val="bottom"/>
            <w:vMerge w:val="restart"/>
            <w:shd w:val="clear" w:color="auto" w:fill="CCEEFF"/>
          </w:tcPr>
          <w:p>
            <w:pPr>
              <w:ind w:left="240"/>
              <w:spacing w:after="0"/>
              <w:rPr>
                <w:sz w:val="20"/>
                <w:szCs w:val="20"/>
                <w:color w:val="auto"/>
              </w:rPr>
            </w:pPr>
            <w:r>
              <w:rPr>
                <w:rFonts w:ascii="Arial" w:cs="Arial" w:eastAsia="Arial" w:hAnsi="Arial"/>
                <w:sz w:val="18"/>
                <w:szCs w:val="18"/>
                <w:color w:val="auto"/>
              </w:rPr>
              <w:t>Provision for income taxes</w:t>
            </w:r>
          </w:p>
        </w:tc>
        <w:tc>
          <w:tcPr>
            <w:tcW w:w="12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780" w:type="dxa"/>
            <w:vAlign w:val="bottom"/>
            <w:shd w:val="clear" w:color="auto" w:fill="CCEEFF"/>
          </w:tcPr>
          <w:p>
            <w:pPr>
              <w:jc w:val="center"/>
              <w:ind w:left="15"/>
              <w:spacing w:after="0" w:line="176" w:lineRule="exact"/>
              <w:rPr>
                <w:sz w:val="20"/>
                <w:szCs w:val="20"/>
                <w:color w:val="auto"/>
              </w:rPr>
            </w:pPr>
            <w:r>
              <w:rPr>
                <w:rFonts w:ascii="Arial" w:cs="Arial" w:eastAsia="Arial" w:hAnsi="Arial"/>
                <w:sz w:val="18"/>
                <w:szCs w:val="18"/>
                <w:color w:val="auto"/>
              </w:rPr>
              <w:t>Provision for income</w:t>
            </w:r>
          </w:p>
        </w:tc>
        <w:tc>
          <w:tcPr>
            <w:tcW w:w="0" w:type="dxa"/>
            <w:vAlign w:val="bottom"/>
          </w:tcPr>
          <w:p>
            <w:pPr>
              <w:spacing w:after="0"/>
              <w:rPr>
                <w:sz w:val="1"/>
                <w:szCs w:val="1"/>
                <w:color w:val="auto"/>
              </w:rPr>
            </w:pPr>
          </w:p>
        </w:tc>
      </w:tr>
      <w:tr>
        <w:trPr>
          <w:trHeight w:val="243"/>
        </w:trPr>
        <w:tc>
          <w:tcPr>
            <w:tcW w:w="5220" w:type="dxa"/>
            <w:vAlign w:val="bottom"/>
            <w:vMerge w:val="continue"/>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ind w:left="580"/>
              <w:spacing w:after="0"/>
              <w:rPr>
                <w:sz w:val="20"/>
                <w:szCs w:val="20"/>
                <w:color w:val="auto"/>
              </w:rPr>
            </w:pPr>
            <w:r>
              <w:rPr>
                <w:rFonts w:ascii="Arial" w:cs="Arial" w:eastAsia="Arial" w:hAnsi="Arial"/>
                <w:sz w:val="16"/>
                <w:szCs w:val="16"/>
                <w:color w:val="auto"/>
              </w:rPr>
              <w:t>685,234</w:t>
            </w:r>
          </w:p>
        </w:tc>
        <w:tc>
          <w:tcPr>
            <w:tcW w:w="32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center"/>
              <w:ind w:left="221"/>
              <w:spacing w:after="0"/>
              <w:rPr>
                <w:sz w:val="20"/>
                <w:szCs w:val="20"/>
                <w:color w:val="auto"/>
              </w:rPr>
            </w:pPr>
            <w:r>
              <w:rPr>
                <w:rFonts w:ascii="Arial" w:cs="Arial" w:eastAsia="Arial" w:hAnsi="Arial"/>
                <w:sz w:val="16"/>
                <w:szCs w:val="16"/>
                <w:color w:val="auto"/>
              </w:rPr>
              <w:t>156,693</w:t>
            </w:r>
          </w:p>
        </w:tc>
        <w:tc>
          <w:tcPr>
            <w:tcW w:w="140" w:type="dxa"/>
            <w:vAlign w:val="bottom"/>
            <w:shd w:val="clear" w:color="auto" w:fill="CCEEFF"/>
          </w:tcPr>
          <w:p>
            <w:pPr>
              <w:spacing w:after="0"/>
              <w:rPr>
                <w:sz w:val="21"/>
                <w:szCs w:val="21"/>
                <w:color w:val="auto"/>
              </w:rPr>
            </w:pPr>
          </w:p>
        </w:tc>
        <w:tc>
          <w:tcPr>
            <w:tcW w:w="17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taxes</w:t>
            </w:r>
          </w:p>
        </w:tc>
        <w:tc>
          <w:tcPr>
            <w:tcW w:w="0" w:type="dxa"/>
            <w:vAlign w:val="bottom"/>
          </w:tcPr>
          <w:p>
            <w:pPr>
              <w:spacing w:after="0"/>
              <w:rPr>
                <w:sz w:val="1"/>
                <w:szCs w:val="1"/>
                <w:color w:val="auto"/>
              </w:rPr>
            </w:pPr>
          </w:p>
        </w:tc>
      </w:tr>
      <w:tr>
        <w:trPr>
          <w:trHeight w:val="210"/>
        </w:trPr>
        <w:tc>
          <w:tcPr>
            <w:tcW w:w="5220" w:type="dxa"/>
            <w:vAlign w:val="bottom"/>
          </w:tcPr>
          <w:p>
            <w:pPr>
              <w:ind w:left="20"/>
              <w:spacing w:after="0"/>
              <w:rPr>
                <w:sz w:val="20"/>
                <w:szCs w:val="20"/>
                <w:color w:val="auto"/>
              </w:rPr>
            </w:pPr>
            <w:r>
              <w:rPr>
                <w:rFonts w:ascii="Arial" w:cs="Arial" w:eastAsia="Arial" w:hAnsi="Arial"/>
                <w:sz w:val="18"/>
                <w:szCs w:val="18"/>
                <w:color w:val="auto"/>
              </w:rPr>
              <w:t>Total net reclassifications for the period</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tcPr>
          <w:p>
            <w:pPr>
              <w:ind w:left="380"/>
              <w:spacing w:after="0"/>
              <w:rPr>
                <w:sz w:val="20"/>
                <w:szCs w:val="20"/>
                <w:color w:val="auto"/>
              </w:rPr>
            </w:pPr>
            <w:r>
              <w:rPr>
                <w:rFonts w:ascii="Arial" w:cs="Arial" w:eastAsia="Arial" w:hAnsi="Arial"/>
                <w:sz w:val="16"/>
                <w:szCs w:val="16"/>
                <w:color w:val="auto"/>
              </w:rPr>
              <w:t>(2,577,785)</w:t>
            </w:r>
          </w:p>
        </w:tc>
        <w:tc>
          <w:tcPr>
            <w:tcW w:w="320" w:type="dxa"/>
            <w:vAlign w:val="bottom"/>
            <w:tcBorders>
              <w:bottom w:val="single" w:sz="8" w:color="auto"/>
            </w:tcBorders>
          </w:tcPr>
          <w:p>
            <w:pPr>
              <w:jc w:val="center"/>
              <w:ind w:right="9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center"/>
              <w:ind w:left="201"/>
              <w:spacing w:after="0"/>
              <w:rPr>
                <w:sz w:val="20"/>
                <w:szCs w:val="20"/>
                <w:color w:val="auto"/>
              </w:rPr>
            </w:pPr>
            <w:r>
              <w:rPr>
                <w:rFonts w:ascii="Arial" w:cs="Arial" w:eastAsia="Arial" w:hAnsi="Arial"/>
                <w:sz w:val="16"/>
                <w:szCs w:val="16"/>
                <w:color w:val="auto"/>
              </w:rPr>
              <w:t>(589,466)</w:t>
            </w:r>
          </w:p>
        </w:tc>
        <w:tc>
          <w:tcPr>
            <w:tcW w:w="14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420" w:hanging="412"/>
        <w:spacing w:after="0"/>
        <w:tabs>
          <w:tab w:leader="none" w:pos="4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Debt and Financing Arrangements</w:t>
      </w:r>
    </w:p>
    <w:p>
      <w:pPr>
        <w:spacing w:after="0" w:line="252" w:lineRule="exact"/>
        <w:rPr>
          <w:sz w:val="20"/>
          <w:szCs w:val="20"/>
          <w:color w:val="auto"/>
        </w:rPr>
      </w:pPr>
    </w:p>
    <w:p>
      <w:pPr>
        <w:jc w:val="both"/>
        <w:ind w:left="660"/>
        <w:spacing w:after="0" w:line="256" w:lineRule="auto"/>
        <w:rPr>
          <w:sz w:val="20"/>
          <w:szCs w:val="20"/>
          <w:color w:val="auto"/>
        </w:rPr>
      </w:pPr>
      <w:r>
        <w:rPr>
          <w:rFonts w:ascii="Arial" w:cs="Arial" w:eastAsia="Arial" w:hAnsi="Arial"/>
          <w:sz w:val="18"/>
          <w:szCs w:val="18"/>
          <w:color w:val="auto"/>
        </w:rPr>
        <w:t>On February 21, 2023, the Company entered into a credit agreement with PNC as the administrative agent and sole lender (the "Credit Agreement"), that provides for, among other things, a three-year unsecured revolving credit facility with a borrowing capacity of up to $250.0 million (the "Revolver") that matures on February 21, 2026. Included in the Revolver is a $20.0 million sublimit for standby letters of credit and a $35.0 million sublimit for swingline loans, each subject to certain conditions. Funds are available under the Revolver for working capital, capital expenditures, and other lawful corporate purposes, including, but not limited to, acquisitions and common stock repurchases, subject in each case to compliance with certain financial covenants, as defined in the Credit Agreement. As of March 31, 2025, there was no outstanding balance on the Revolver.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9" w:name="page20"/>
    <w:bookmarkEnd w:id="19"/>
    <w:p>
      <w:pPr>
        <w:jc w:val="center"/>
        <w:spacing w:after="0"/>
        <w:rPr>
          <w:sz w:val="20"/>
          <w:szCs w:val="20"/>
          <w:color w:val="auto"/>
        </w:rPr>
      </w:pPr>
      <w:r>
        <w:rPr>
          <w:rFonts w:ascii="Arial" w:cs="Arial" w:eastAsia="Arial" w:hAnsi="Arial"/>
          <w:sz w:val="18"/>
          <w:szCs w:val="18"/>
          <w:b w:val="1"/>
          <w:bCs w:val="1"/>
          <w:u w:val="single" w:color="auto"/>
          <w:color w:val="auto"/>
        </w:rPr>
        <w:t>GENTEX CORPORATION AND SUBSIDIARIES</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6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March 31, 2025, the Company is in compliance with its covenants under the Credit Agreement.</w:t>
      </w:r>
    </w:p>
    <w:p>
      <w:pPr>
        <w:spacing w:after="0" w:line="200" w:lineRule="exact"/>
        <w:rPr>
          <w:sz w:val="20"/>
          <w:szCs w:val="20"/>
          <w:color w:val="auto"/>
        </w:rPr>
      </w:pPr>
    </w:p>
    <w:p>
      <w:pPr>
        <w:spacing w:after="0" w:line="295" w:lineRule="exact"/>
        <w:rPr>
          <w:sz w:val="20"/>
          <w:szCs w:val="20"/>
          <w:color w:val="auto"/>
        </w:rPr>
      </w:pPr>
    </w:p>
    <w:p>
      <w:pPr>
        <w:ind w:left="520" w:hanging="512"/>
        <w:spacing w:after="0"/>
        <w:tabs>
          <w:tab w:leader="none" w:pos="5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Equity</w:t>
      </w:r>
    </w:p>
    <w:p>
      <w:pPr>
        <w:spacing w:after="0" w:line="252" w:lineRule="exact"/>
        <w:rPr>
          <w:sz w:val="20"/>
          <w:szCs w:val="20"/>
          <w:color w:val="auto"/>
        </w:rPr>
      </w:pPr>
    </w:p>
    <w:p>
      <w:pPr>
        <w:jc w:val="both"/>
        <w:ind w:left="660"/>
        <w:spacing w:after="0" w:line="268" w:lineRule="auto"/>
        <w:rPr>
          <w:sz w:val="20"/>
          <w:szCs w:val="20"/>
          <w:color w:val="auto"/>
        </w:rPr>
      </w:pPr>
      <w:r>
        <w:rPr>
          <w:rFonts w:ascii="Arial" w:cs="Arial" w:eastAsia="Arial" w:hAnsi="Arial"/>
          <w:sz w:val="18"/>
          <w:szCs w:val="18"/>
          <w:color w:val="auto"/>
        </w:rPr>
        <w:t>The decrease in common stock during the three months ended March 31, 2025, was primarily due to the repurchases of 3.1 million shares, partially offset by the issuance of 0.7 million shares of the Company’s common stock, net of cancellations, under the Company’s stock-based compensation plans. The total net decrease was 2.4 million shares.</w:t>
      </w:r>
    </w:p>
    <w:p>
      <w:pPr>
        <w:spacing w:after="0" w:line="198" w:lineRule="exact"/>
        <w:rPr>
          <w:sz w:val="20"/>
          <w:szCs w:val="20"/>
          <w:color w:val="auto"/>
        </w:rPr>
      </w:pPr>
    </w:p>
    <w:p>
      <w:pPr>
        <w:jc w:val="both"/>
        <w:ind w:left="660"/>
        <w:spacing w:after="0" w:line="268" w:lineRule="auto"/>
        <w:rPr>
          <w:sz w:val="20"/>
          <w:szCs w:val="20"/>
          <w:color w:val="auto"/>
        </w:rPr>
      </w:pPr>
      <w:r>
        <w:rPr>
          <w:rFonts w:ascii="Arial" w:cs="Arial" w:eastAsia="Arial" w:hAnsi="Arial"/>
          <w:sz w:val="18"/>
          <w:szCs w:val="18"/>
          <w:color w:val="auto"/>
        </w:rPr>
        <w:t>The Company recorded a cash dividend of $0.120 per share during the first quarter of 2025 as compared to a cash dividend of $0.120 per share during the first quarter of 2024. The first quarter 2025 dividend of $27.0 million was declared on February 27, 2025 and was paid on April 23, 2025.</w:t>
      </w:r>
    </w:p>
    <w:p>
      <w:pPr>
        <w:spacing w:after="0" w:line="200" w:lineRule="exact"/>
        <w:rPr>
          <w:sz w:val="20"/>
          <w:szCs w:val="20"/>
          <w:color w:val="auto"/>
        </w:rPr>
      </w:pPr>
    </w:p>
    <w:p>
      <w:pPr>
        <w:spacing w:after="0" w:line="241" w:lineRule="exact"/>
        <w:rPr>
          <w:sz w:val="20"/>
          <w:szCs w:val="20"/>
          <w:color w:val="auto"/>
        </w:rPr>
      </w:pPr>
    </w:p>
    <w:p>
      <w:pPr>
        <w:ind w:left="520" w:hanging="512"/>
        <w:spacing w:after="0"/>
        <w:tabs>
          <w:tab w:leader="none" w:pos="5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Contingencies</w:t>
      </w:r>
    </w:p>
    <w:p>
      <w:pPr>
        <w:spacing w:after="0" w:line="158" w:lineRule="exact"/>
        <w:rPr>
          <w:sz w:val="20"/>
          <w:szCs w:val="20"/>
          <w:color w:val="auto"/>
        </w:rPr>
      </w:pPr>
    </w:p>
    <w:p>
      <w:pPr>
        <w:jc w:val="both"/>
        <w:ind w:left="660"/>
        <w:spacing w:after="0" w:line="259" w:lineRule="auto"/>
        <w:rPr>
          <w:sz w:val="20"/>
          <w:szCs w:val="20"/>
          <w:color w:val="auto"/>
        </w:rPr>
      </w:pPr>
      <w:r>
        <w:rPr>
          <w:rFonts w:ascii="Arial" w:cs="Arial" w:eastAsia="Arial" w:hAnsi="Arial"/>
          <w:sz w:val="18"/>
          <w:szCs w:val="18"/>
          <w:color w:val="auto"/>
        </w:rPr>
        <w:t>The Company is periodically involved in legal proceedings, legal actions and claims arising in the normal course of business, including proceedings relating to, for example, product liability, intellectual property, safety and health, employment, regulatory, and other matters. Such matters are subject to many uncertainties and outcomes are not predictable. The Company does not believe, however, that at the current time any of these matters constitute material pending legal proceedings that will have a material adverse effect on the financial position or future results of operations or cash flows of the Company.</w:t>
      </w:r>
    </w:p>
    <w:p>
      <w:pPr>
        <w:spacing w:after="0" w:line="200" w:lineRule="exact"/>
        <w:rPr>
          <w:sz w:val="20"/>
          <w:szCs w:val="20"/>
          <w:color w:val="auto"/>
        </w:rPr>
      </w:pPr>
    </w:p>
    <w:p>
      <w:pPr>
        <w:spacing w:after="0" w:line="384" w:lineRule="exact"/>
        <w:rPr>
          <w:sz w:val="20"/>
          <w:szCs w:val="20"/>
          <w:color w:val="auto"/>
        </w:rPr>
      </w:pPr>
    </w:p>
    <w:p>
      <w:pPr>
        <w:ind w:left="520" w:hanging="512"/>
        <w:spacing w:after="0"/>
        <w:tabs>
          <w:tab w:leader="none" w:pos="5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Segment Reporting</w:t>
      </w:r>
    </w:p>
    <w:p>
      <w:pPr>
        <w:spacing w:after="0" w:line="200" w:lineRule="exact"/>
        <w:rPr>
          <w:sz w:val="20"/>
          <w:szCs w:val="20"/>
          <w:color w:val="auto"/>
        </w:rPr>
      </w:pPr>
    </w:p>
    <w:p>
      <w:pPr>
        <w:spacing w:after="0" w:line="201" w:lineRule="exact"/>
        <w:rPr>
          <w:sz w:val="20"/>
          <w:szCs w:val="20"/>
          <w:color w:val="auto"/>
        </w:rPr>
      </w:pPr>
    </w:p>
    <w:p>
      <w:pPr>
        <w:jc w:val="both"/>
        <w:ind w:left="660"/>
        <w:spacing w:after="0" w:line="259" w:lineRule="auto"/>
        <w:rPr>
          <w:sz w:val="20"/>
          <w:szCs w:val="20"/>
          <w:color w:val="auto"/>
        </w:rPr>
      </w:pPr>
      <w:r>
        <w:rPr>
          <w:rFonts w:ascii="Arial" w:cs="Arial" w:eastAsia="Arial" w:hAnsi="Arial"/>
          <w:sz w:val="18"/>
          <w:szCs w:val="18"/>
          <w:color w:val="auto"/>
        </w:rPr>
        <w:t xml:space="preserve">ASC 280, </w:t>
      </w:r>
      <w:r>
        <w:rPr>
          <w:rFonts w:ascii="Arial" w:cs="Arial" w:eastAsia="Arial" w:hAnsi="Arial"/>
          <w:sz w:val="18"/>
          <w:szCs w:val="18"/>
          <w:i w:val="1"/>
          <w:iCs w:val="1"/>
          <w:color w:val="auto"/>
        </w:rPr>
        <w:t>Segment Reporting,</w:t>
      </w:r>
      <w:r>
        <w:rPr>
          <w:rFonts w:ascii="Arial" w:cs="Arial" w:eastAsia="Arial" w:hAnsi="Arial"/>
          <w:sz w:val="18"/>
          <w:szCs w:val="18"/>
          <w:color w:val="auto"/>
        </w:rPr>
        <w:t xml:space="preserve"> requires that a public business entity report financial and descriptive information about its reportable operating segments subject to certain aggregation criteria and quantitative thresholds. Operating segments are defined by ASC 280 as components of a public business entity about which separate financial information is available that is evaluated regularly by the chief operating decision-maker ("CODM") in deciding how to allocate resources and in assessing performance. The Company's CODM is its Chief Executive Officer. The Company discloses segment information under two reportable segments, which are</w:t>
      </w:r>
    </w:p>
    <w:p>
      <w:pPr>
        <w:spacing w:after="0" w:line="4" w:lineRule="exact"/>
        <w:rPr>
          <w:sz w:val="20"/>
          <w:szCs w:val="20"/>
          <w:color w:val="auto"/>
        </w:rPr>
      </w:pPr>
    </w:p>
    <w:p>
      <w:pPr>
        <w:jc w:val="both"/>
        <w:ind w:left="660"/>
        <w:spacing w:after="0" w:line="262" w:lineRule="auto"/>
        <w:rPr>
          <w:sz w:val="20"/>
          <w:szCs w:val="20"/>
          <w:color w:val="auto"/>
        </w:rPr>
      </w:pPr>
      <w:r>
        <w:rPr>
          <w:rFonts w:ascii="Arial" w:cs="Arial" w:eastAsia="Arial" w:hAnsi="Arial"/>
          <w:sz w:val="18"/>
          <w:szCs w:val="18"/>
          <w:color w:val="auto"/>
        </w:rPr>
        <w:t>Automotive Products and Other. The Company's Automotive Products segment develops and manufactures digital vision and connected car products and electronics, including automatic-dimming rearview mirrors with and without electronic features; non-auto dimming rearview mirrors with and without electronic features; and other electronics. The Company's Other segment includes the operating segments of Fire Protection, Dimmable Aircraft Windows, Nanofiber, Medical, and Biometrics.</w:t>
      </w:r>
    </w:p>
    <w:p>
      <w:pPr>
        <w:spacing w:after="0" w:line="200" w:lineRule="exact"/>
        <w:rPr>
          <w:sz w:val="20"/>
          <w:szCs w:val="20"/>
          <w:color w:val="auto"/>
        </w:rPr>
      </w:pPr>
    </w:p>
    <w:p>
      <w:pPr>
        <w:spacing w:after="0" w:line="35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20" w:name="page21"/>
    <w:bookmarkEnd w:id="20"/>
    <w:p>
      <w:pPr>
        <w:jc w:val="center"/>
        <w:ind w:right="640"/>
        <w:spacing w:after="0"/>
        <w:rPr>
          <w:sz w:val="20"/>
          <w:szCs w:val="20"/>
          <w:color w:val="auto"/>
        </w:rPr>
      </w:pPr>
      <w:r>
        <w:rPr>
          <w:rFonts w:ascii="Arial" w:cs="Arial" w:eastAsia="Arial" w:hAnsi="Arial"/>
          <w:sz w:val="18"/>
          <w:szCs w:val="18"/>
          <w:b w:val="1"/>
          <w:bCs w:val="1"/>
          <w:u w:val="single" w:color="auto"/>
          <w:color w:val="auto"/>
        </w:rPr>
        <w:t>GENTEX CORPORATION AND SUBSIDIARIES</w:t>
      </w:r>
    </w:p>
    <w:p>
      <w:pPr>
        <w:spacing w:after="0" w:line="239" w:lineRule="exact"/>
        <w:rPr>
          <w:sz w:val="20"/>
          <w:szCs w:val="20"/>
          <w:color w:val="auto"/>
        </w:rPr>
      </w:pPr>
    </w:p>
    <w:p>
      <w:pPr>
        <w:jc w:val="center"/>
        <w:ind w:right="640"/>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7" w:lineRule="exact"/>
        <w:rPr>
          <w:sz w:val="20"/>
          <w:szCs w:val="20"/>
          <w:color w:val="auto"/>
        </w:rPr>
      </w:pPr>
    </w:p>
    <w:p>
      <w:pPr>
        <w:jc w:val="center"/>
        <w:ind w:right="640"/>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line="279" w:lineRule="auto"/>
        <w:rPr>
          <w:sz w:val="20"/>
          <w:szCs w:val="20"/>
          <w:color w:val="auto"/>
        </w:rPr>
      </w:pPr>
      <w:r>
        <w:rPr>
          <w:rFonts w:ascii="Arial" w:cs="Arial" w:eastAsia="Arial" w:hAnsi="Arial"/>
          <w:sz w:val="18"/>
          <w:szCs w:val="18"/>
          <w:color w:val="auto"/>
        </w:rPr>
        <w:t>The table below presents net sales and the significant expense categories that are included in reportable segment operating profit and regularly provided to our CODM:</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240" w:type="dxa"/>
            <w:vAlign w:val="bottom"/>
            <w:gridSpan w:val="5"/>
          </w:tcPr>
          <w:p>
            <w:pPr>
              <w:ind w:left="380"/>
              <w:spacing w:after="0"/>
              <w:rPr>
                <w:sz w:val="20"/>
                <w:szCs w:val="20"/>
                <w:color w:val="auto"/>
              </w:rPr>
            </w:pPr>
            <w:r>
              <w:rPr>
                <w:rFonts w:ascii="Arial" w:cs="Arial" w:eastAsia="Arial" w:hAnsi="Arial"/>
                <w:sz w:val="14"/>
                <w:szCs w:val="14"/>
                <w:b w:val="1"/>
                <w:bCs w:val="1"/>
                <w:color w:val="auto"/>
              </w:rPr>
              <w:t>Three Months Ended March 31,</w:t>
            </w:r>
          </w:p>
        </w:tc>
      </w:tr>
      <w:tr>
        <w:trPr>
          <w:trHeight w:val="203"/>
        </w:trPr>
        <w:tc>
          <w:tcPr>
            <w:tcW w:w="632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ind w:right="591"/>
              <w:spacing w:after="0"/>
              <w:rPr>
                <w:sz w:val="20"/>
                <w:szCs w:val="20"/>
                <w:color w:val="auto"/>
              </w:rPr>
            </w:pPr>
            <w:r>
              <w:rPr>
                <w:rFonts w:ascii="Arial" w:cs="Arial" w:eastAsia="Arial" w:hAnsi="Arial"/>
                <w:sz w:val="14"/>
                <w:szCs w:val="14"/>
                <w:b w:val="1"/>
                <w:bCs w:val="1"/>
                <w:color w:val="auto"/>
              </w:rPr>
              <w:t>2025</w:t>
            </w:r>
          </w:p>
        </w:tc>
        <w:tc>
          <w:tcPr>
            <w:tcW w:w="8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bottom w:val="single" w:sz="8" w:color="CCEEFF"/>
            </w:tcBorders>
          </w:tcPr>
          <w:p>
            <w:pPr>
              <w:spacing w:after="0"/>
              <w:rPr>
                <w:sz w:val="17"/>
                <w:szCs w:val="17"/>
                <w:color w:val="auto"/>
              </w:rPr>
            </w:pPr>
          </w:p>
        </w:tc>
      </w:tr>
      <w:tr>
        <w:trPr>
          <w:trHeight w:val="211"/>
        </w:trPr>
        <w:tc>
          <w:tcPr>
            <w:tcW w:w="6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2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6320" w:type="dxa"/>
            <w:vAlign w:val="bottom"/>
          </w:tcPr>
          <w:p>
            <w:pPr>
              <w:ind w:left="240"/>
              <w:spacing w:after="0"/>
              <w:rPr>
                <w:sz w:val="20"/>
                <w:szCs w:val="20"/>
                <w:color w:val="auto"/>
              </w:rPr>
            </w:pPr>
            <w:r>
              <w:rPr>
                <w:rFonts w:ascii="Arial" w:cs="Arial" w:eastAsia="Arial" w:hAnsi="Arial"/>
                <w:sz w:val="18"/>
                <w:szCs w:val="18"/>
                <w:color w:val="auto"/>
              </w:rPr>
              <w:t>Automotive Products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563,864,259</w:t>
            </w:r>
          </w:p>
        </w:tc>
        <w:tc>
          <w:tcPr>
            <w:tcW w:w="8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577,602,196</w:t>
            </w:r>
          </w:p>
        </w:tc>
        <w:tc>
          <w:tcPr>
            <w:tcW w:w="100" w:type="dxa"/>
            <w:vAlign w:val="bottom"/>
          </w:tcPr>
          <w:p>
            <w:pPr>
              <w:spacing w:after="0"/>
              <w:rPr>
                <w:sz w:val="19"/>
                <w:szCs w:val="19"/>
                <w:color w:val="auto"/>
              </w:rPr>
            </w:pPr>
          </w:p>
        </w:tc>
      </w:tr>
      <w:tr>
        <w:trPr>
          <w:trHeight w:val="229"/>
        </w:trPr>
        <w:tc>
          <w:tcPr>
            <w:tcW w:w="63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Other</w:t>
            </w:r>
          </w:p>
        </w:tc>
        <w:tc>
          <w:tcPr>
            <w:tcW w:w="26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12,908,831</w:t>
            </w: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12,623,015</w:t>
            </w:r>
          </w:p>
        </w:tc>
        <w:tc>
          <w:tcPr>
            <w:tcW w:w="100" w:type="dxa"/>
            <w:vAlign w:val="bottom"/>
            <w:shd w:val="clear" w:color="auto" w:fill="CCEEFF"/>
          </w:tcPr>
          <w:p>
            <w:pPr>
              <w:spacing w:after="0"/>
              <w:rPr>
                <w:sz w:val="19"/>
                <w:szCs w:val="19"/>
                <w:color w:val="auto"/>
              </w:rPr>
            </w:pPr>
          </w:p>
        </w:tc>
      </w:tr>
      <w:tr>
        <w:trPr>
          <w:trHeight w:val="223"/>
        </w:trPr>
        <w:tc>
          <w:tcPr>
            <w:tcW w:w="6320" w:type="dxa"/>
            <w:vAlign w:val="bottom"/>
          </w:tcPr>
          <w:p>
            <w:pPr>
              <w:ind w:left="240"/>
              <w:spacing w:after="0"/>
              <w:rPr>
                <w:sz w:val="20"/>
                <w:szCs w:val="20"/>
                <w:color w:val="auto"/>
              </w:rPr>
            </w:pPr>
            <w:r>
              <w:rPr>
                <w:rFonts w:ascii="Arial" w:cs="Arial" w:eastAsia="Arial" w:hAnsi="Arial"/>
                <w:sz w:val="18"/>
                <w:szCs w:val="18"/>
                <w:color w:val="auto"/>
              </w:rPr>
              <w:t>Total</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576,773,090</w:t>
            </w:r>
          </w:p>
        </w:tc>
        <w:tc>
          <w:tcPr>
            <w:tcW w:w="8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590,225,211</w:t>
            </w:r>
          </w:p>
        </w:tc>
        <w:tc>
          <w:tcPr>
            <w:tcW w:w="100" w:type="dxa"/>
            <w:vAlign w:val="bottom"/>
          </w:tcPr>
          <w:p>
            <w:pPr>
              <w:spacing w:after="0"/>
              <w:rPr>
                <w:sz w:val="19"/>
                <w:szCs w:val="19"/>
                <w:color w:val="auto"/>
              </w:rPr>
            </w:pPr>
          </w:p>
        </w:tc>
      </w:tr>
      <w:tr>
        <w:trPr>
          <w:trHeight w:val="20"/>
        </w:trPr>
        <w:tc>
          <w:tcPr>
            <w:tcW w:w="63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r>
      <w:tr>
        <w:trPr>
          <w:trHeight w:val="237"/>
        </w:trPr>
        <w:tc>
          <w:tcPr>
            <w:tcW w:w="63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30"/>
        </w:trPr>
        <w:tc>
          <w:tcPr>
            <w:tcW w:w="6320" w:type="dxa"/>
            <w:vAlign w:val="bottom"/>
          </w:tcPr>
          <w:p>
            <w:pPr>
              <w:ind w:left="20"/>
              <w:spacing w:after="0"/>
              <w:rPr>
                <w:sz w:val="20"/>
                <w:szCs w:val="20"/>
                <w:color w:val="auto"/>
              </w:rPr>
            </w:pPr>
            <w:r>
              <w:rPr>
                <w:rFonts w:ascii="Arial" w:cs="Arial" w:eastAsia="Arial" w:hAnsi="Arial"/>
                <w:sz w:val="18"/>
                <w:szCs w:val="18"/>
                <w:color w:val="auto"/>
              </w:rPr>
              <w:t>Cost of Goods Sold:</w:t>
            </w:r>
          </w:p>
        </w:tc>
        <w:tc>
          <w:tcPr>
            <w:tcW w:w="2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63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Automotive Products</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375,497,192</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379,926,869</w:t>
            </w:r>
          </w:p>
        </w:tc>
        <w:tc>
          <w:tcPr>
            <w:tcW w:w="100" w:type="dxa"/>
            <w:vAlign w:val="bottom"/>
            <w:shd w:val="clear" w:color="auto" w:fill="CCEEFF"/>
          </w:tcPr>
          <w:p>
            <w:pPr>
              <w:spacing w:after="0"/>
              <w:rPr>
                <w:sz w:val="19"/>
                <w:szCs w:val="19"/>
                <w:color w:val="auto"/>
              </w:rPr>
            </w:pPr>
          </w:p>
        </w:tc>
      </w:tr>
      <w:tr>
        <w:trPr>
          <w:trHeight w:val="229"/>
        </w:trPr>
        <w:tc>
          <w:tcPr>
            <w:tcW w:w="632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Other</w:t>
            </w:r>
          </w:p>
        </w:tc>
        <w:tc>
          <w:tcPr>
            <w:tcW w:w="2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9,542,311</w:t>
            </w: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8,060,736</w:t>
            </w:r>
          </w:p>
        </w:tc>
        <w:tc>
          <w:tcPr>
            <w:tcW w:w="100" w:type="dxa"/>
            <w:vAlign w:val="bottom"/>
            <w:tcBorders>
              <w:bottom w:val="single" w:sz="8" w:color="CCEEFF"/>
            </w:tcBorders>
          </w:tcPr>
          <w:p>
            <w:pPr>
              <w:spacing w:after="0"/>
              <w:rPr>
                <w:sz w:val="19"/>
                <w:szCs w:val="19"/>
                <w:color w:val="auto"/>
              </w:rPr>
            </w:pPr>
          </w:p>
        </w:tc>
      </w:tr>
      <w:tr>
        <w:trPr>
          <w:trHeight w:val="248"/>
        </w:trPr>
        <w:tc>
          <w:tcPr>
            <w:tcW w:w="63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385,039,503</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387,987,605</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0"/>
        </w:trPr>
        <w:tc>
          <w:tcPr>
            <w:tcW w:w="63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217"/>
        </w:trPr>
        <w:tc>
          <w:tcPr>
            <w:tcW w:w="6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6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Expenses:</w:t>
            </w:r>
          </w:p>
        </w:tc>
        <w:tc>
          <w:tcPr>
            <w:tcW w:w="26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29"/>
        </w:trPr>
        <w:tc>
          <w:tcPr>
            <w:tcW w:w="6320" w:type="dxa"/>
            <w:vAlign w:val="bottom"/>
          </w:tcPr>
          <w:p>
            <w:pPr>
              <w:ind w:left="240"/>
              <w:spacing w:after="0"/>
              <w:rPr>
                <w:sz w:val="20"/>
                <w:szCs w:val="20"/>
                <w:color w:val="auto"/>
              </w:rPr>
            </w:pPr>
            <w:r>
              <w:rPr>
                <w:rFonts w:ascii="Arial" w:cs="Arial" w:eastAsia="Arial" w:hAnsi="Arial"/>
                <w:sz w:val="18"/>
                <w:szCs w:val="18"/>
                <w:color w:val="auto"/>
              </w:rPr>
              <w:t>Automotive Products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71,076,825</w:t>
            </w:r>
          </w:p>
        </w:tc>
        <w:tc>
          <w:tcPr>
            <w:tcW w:w="8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68,129,187</w:t>
            </w:r>
          </w:p>
        </w:tc>
        <w:tc>
          <w:tcPr>
            <w:tcW w:w="100" w:type="dxa"/>
            <w:vAlign w:val="bottom"/>
          </w:tcPr>
          <w:p>
            <w:pPr>
              <w:spacing w:after="0"/>
              <w:rPr>
                <w:sz w:val="19"/>
                <w:szCs w:val="19"/>
                <w:color w:val="auto"/>
              </w:rPr>
            </w:pPr>
          </w:p>
        </w:tc>
      </w:tr>
      <w:tr>
        <w:trPr>
          <w:trHeight w:val="229"/>
        </w:trPr>
        <w:tc>
          <w:tcPr>
            <w:tcW w:w="63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Other</w:t>
            </w:r>
          </w:p>
        </w:tc>
        <w:tc>
          <w:tcPr>
            <w:tcW w:w="26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7,669,656</w:t>
            </w: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4,762,107</w:t>
            </w:r>
          </w:p>
        </w:tc>
        <w:tc>
          <w:tcPr>
            <w:tcW w:w="100" w:type="dxa"/>
            <w:vAlign w:val="bottom"/>
            <w:shd w:val="clear" w:color="auto" w:fill="CCEEFF"/>
          </w:tcPr>
          <w:p>
            <w:pPr>
              <w:spacing w:after="0"/>
              <w:rPr>
                <w:sz w:val="19"/>
                <w:szCs w:val="19"/>
                <w:color w:val="auto"/>
              </w:rPr>
            </w:pPr>
          </w:p>
        </w:tc>
      </w:tr>
      <w:tr>
        <w:trPr>
          <w:trHeight w:val="223"/>
        </w:trPr>
        <w:tc>
          <w:tcPr>
            <w:tcW w:w="6320" w:type="dxa"/>
            <w:vAlign w:val="bottom"/>
          </w:tcPr>
          <w:p>
            <w:pPr>
              <w:ind w:left="240"/>
              <w:spacing w:after="0"/>
              <w:rPr>
                <w:sz w:val="20"/>
                <w:szCs w:val="20"/>
                <w:color w:val="auto"/>
              </w:rPr>
            </w:pPr>
            <w:r>
              <w:rPr>
                <w:rFonts w:ascii="Arial" w:cs="Arial" w:eastAsia="Arial" w:hAnsi="Arial"/>
                <w:sz w:val="18"/>
                <w:szCs w:val="18"/>
                <w:color w:val="auto"/>
              </w:rPr>
              <w:t>Total</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78,746,481</w:t>
            </w:r>
          </w:p>
        </w:tc>
        <w:tc>
          <w:tcPr>
            <w:tcW w:w="8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72,891,294</w:t>
            </w:r>
          </w:p>
        </w:tc>
        <w:tc>
          <w:tcPr>
            <w:tcW w:w="100" w:type="dxa"/>
            <w:vAlign w:val="bottom"/>
          </w:tcPr>
          <w:p>
            <w:pPr>
              <w:spacing w:after="0"/>
              <w:rPr>
                <w:sz w:val="19"/>
                <w:szCs w:val="19"/>
                <w:color w:val="auto"/>
              </w:rPr>
            </w:pPr>
          </w:p>
        </w:tc>
      </w:tr>
      <w:tr>
        <w:trPr>
          <w:trHeight w:val="20"/>
        </w:trPr>
        <w:tc>
          <w:tcPr>
            <w:tcW w:w="63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r>
      <w:tr>
        <w:trPr>
          <w:trHeight w:val="237"/>
        </w:trPr>
        <w:tc>
          <w:tcPr>
            <w:tcW w:w="63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30"/>
        </w:trPr>
        <w:tc>
          <w:tcPr>
            <w:tcW w:w="6320" w:type="dxa"/>
            <w:vAlign w:val="bottom"/>
          </w:tcPr>
          <w:p>
            <w:pPr>
              <w:ind w:left="20"/>
              <w:spacing w:after="0"/>
              <w:rPr>
                <w:sz w:val="20"/>
                <w:szCs w:val="20"/>
                <w:color w:val="auto"/>
              </w:rPr>
            </w:pPr>
            <w:r>
              <w:rPr>
                <w:rFonts w:ascii="Arial" w:cs="Arial" w:eastAsia="Arial" w:hAnsi="Arial"/>
                <w:sz w:val="18"/>
                <w:szCs w:val="18"/>
                <w:color w:val="auto"/>
              </w:rPr>
              <w:t>Depreciation and Amortization:</w:t>
            </w:r>
          </w:p>
        </w:tc>
        <w:tc>
          <w:tcPr>
            <w:tcW w:w="2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63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Automotive Products</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23,466,283</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21,943,093</w:t>
            </w:r>
          </w:p>
        </w:tc>
        <w:tc>
          <w:tcPr>
            <w:tcW w:w="100" w:type="dxa"/>
            <w:vAlign w:val="bottom"/>
            <w:shd w:val="clear" w:color="auto" w:fill="CCEEFF"/>
          </w:tcPr>
          <w:p>
            <w:pPr>
              <w:spacing w:after="0"/>
              <w:rPr>
                <w:sz w:val="19"/>
                <w:szCs w:val="19"/>
                <w:color w:val="auto"/>
              </w:rPr>
            </w:pPr>
          </w:p>
        </w:tc>
      </w:tr>
      <w:tr>
        <w:trPr>
          <w:trHeight w:val="230"/>
        </w:trPr>
        <w:tc>
          <w:tcPr>
            <w:tcW w:w="6320" w:type="dxa"/>
            <w:vAlign w:val="bottom"/>
          </w:tcPr>
          <w:p>
            <w:pPr>
              <w:ind w:left="240"/>
              <w:spacing w:after="0"/>
              <w:rPr>
                <w:sz w:val="20"/>
                <w:szCs w:val="20"/>
                <w:color w:val="auto"/>
              </w:rPr>
            </w:pPr>
            <w:r>
              <w:rPr>
                <w:rFonts w:ascii="Arial" w:cs="Arial" w:eastAsia="Arial" w:hAnsi="Arial"/>
                <w:sz w:val="18"/>
                <w:szCs w:val="18"/>
                <w:color w:val="auto"/>
              </w:rPr>
              <w:t>Other</w:t>
            </w:r>
          </w:p>
        </w:tc>
        <w:tc>
          <w:tcPr>
            <w:tcW w:w="2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813,403</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798,749</w:t>
            </w:r>
          </w:p>
        </w:tc>
        <w:tc>
          <w:tcPr>
            <w:tcW w:w="100" w:type="dxa"/>
            <w:vAlign w:val="bottom"/>
          </w:tcPr>
          <w:p>
            <w:pPr>
              <w:spacing w:after="0"/>
              <w:rPr>
                <w:sz w:val="19"/>
                <w:szCs w:val="19"/>
                <w:color w:val="auto"/>
              </w:rPr>
            </w:pPr>
          </w:p>
        </w:tc>
      </w:tr>
      <w:tr>
        <w:trPr>
          <w:trHeight w:val="230"/>
        </w:trPr>
        <w:tc>
          <w:tcPr>
            <w:tcW w:w="63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Corporate</w:t>
            </w:r>
          </w:p>
        </w:tc>
        <w:tc>
          <w:tcPr>
            <w:tcW w:w="26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1,229,383</w:t>
            </w: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1,211,926</w:t>
            </w:r>
          </w:p>
        </w:tc>
        <w:tc>
          <w:tcPr>
            <w:tcW w:w="100" w:type="dxa"/>
            <w:vAlign w:val="bottom"/>
            <w:shd w:val="clear" w:color="auto" w:fill="CCEEFF"/>
          </w:tcPr>
          <w:p>
            <w:pPr>
              <w:spacing w:after="0"/>
              <w:rPr>
                <w:sz w:val="19"/>
                <w:szCs w:val="19"/>
                <w:color w:val="auto"/>
              </w:rPr>
            </w:pPr>
          </w:p>
        </w:tc>
      </w:tr>
      <w:tr>
        <w:trPr>
          <w:trHeight w:val="223"/>
        </w:trPr>
        <w:tc>
          <w:tcPr>
            <w:tcW w:w="6320" w:type="dxa"/>
            <w:vAlign w:val="bottom"/>
          </w:tcPr>
          <w:p>
            <w:pPr>
              <w:ind w:left="240"/>
              <w:spacing w:after="0"/>
              <w:rPr>
                <w:sz w:val="20"/>
                <w:szCs w:val="20"/>
                <w:color w:val="auto"/>
              </w:rPr>
            </w:pPr>
            <w:r>
              <w:rPr>
                <w:rFonts w:ascii="Arial" w:cs="Arial" w:eastAsia="Arial" w:hAnsi="Arial"/>
                <w:sz w:val="18"/>
                <w:szCs w:val="18"/>
                <w:color w:val="auto"/>
              </w:rPr>
              <w:t>Total</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25,509,069</w:t>
            </w:r>
          </w:p>
        </w:tc>
        <w:tc>
          <w:tcPr>
            <w:tcW w:w="8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23,953,768</w:t>
            </w:r>
          </w:p>
        </w:tc>
        <w:tc>
          <w:tcPr>
            <w:tcW w:w="100" w:type="dxa"/>
            <w:vAlign w:val="bottom"/>
          </w:tcPr>
          <w:p>
            <w:pPr>
              <w:spacing w:after="0"/>
              <w:rPr>
                <w:sz w:val="19"/>
                <w:szCs w:val="19"/>
                <w:color w:val="auto"/>
              </w:rPr>
            </w:pPr>
          </w:p>
        </w:tc>
      </w:tr>
      <w:tr>
        <w:trPr>
          <w:trHeight w:val="20"/>
        </w:trPr>
        <w:tc>
          <w:tcPr>
            <w:tcW w:w="63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r>
      <w:tr>
        <w:trPr>
          <w:trHeight w:val="237"/>
        </w:trPr>
        <w:tc>
          <w:tcPr>
            <w:tcW w:w="63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29"/>
        </w:trPr>
        <w:tc>
          <w:tcPr>
            <w:tcW w:w="6320" w:type="dxa"/>
            <w:vAlign w:val="bottom"/>
          </w:tcPr>
          <w:p>
            <w:pPr>
              <w:ind w:left="20"/>
              <w:spacing w:after="0"/>
              <w:rPr>
                <w:sz w:val="20"/>
                <w:szCs w:val="20"/>
                <w:color w:val="auto"/>
              </w:rPr>
            </w:pPr>
            <w:r>
              <w:rPr>
                <w:rFonts w:ascii="Arial" w:cs="Arial" w:eastAsia="Arial" w:hAnsi="Arial"/>
                <w:sz w:val="18"/>
                <w:szCs w:val="18"/>
                <w:color w:val="auto"/>
              </w:rPr>
              <w:t>Income (Loss) from Operations:</w:t>
            </w:r>
          </w:p>
        </w:tc>
        <w:tc>
          <w:tcPr>
            <w:tcW w:w="2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63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Automotive Products</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117,290,242</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129,546,140</w:t>
            </w:r>
          </w:p>
        </w:tc>
        <w:tc>
          <w:tcPr>
            <w:tcW w:w="100" w:type="dxa"/>
            <w:vAlign w:val="bottom"/>
            <w:shd w:val="clear" w:color="auto" w:fill="CCEEFF"/>
          </w:tcPr>
          <w:p>
            <w:pPr>
              <w:spacing w:after="0"/>
              <w:rPr>
                <w:sz w:val="19"/>
                <w:szCs w:val="19"/>
                <w:color w:val="auto"/>
              </w:rPr>
            </w:pPr>
          </w:p>
        </w:tc>
      </w:tr>
      <w:tr>
        <w:trPr>
          <w:trHeight w:val="230"/>
        </w:trPr>
        <w:tc>
          <w:tcPr>
            <w:tcW w:w="632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Other</w:t>
            </w:r>
          </w:p>
        </w:tc>
        <w:tc>
          <w:tcPr>
            <w:tcW w:w="2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(4,303,136)</w:t>
            </w: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(199,828)</w:t>
            </w:r>
          </w:p>
        </w:tc>
        <w:tc>
          <w:tcPr>
            <w:tcW w:w="100" w:type="dxa"/>
            <w:vAlign w:val="bottom"/>
            <w:tcBorders>
              <w:bottom w:val="single" w:sz="8" w:color="CCEEFF"/>
            </w:tcBorders>
          </w:tcPr>
          <w:p>
            <w:pPr>
              <w:spacing w:after="0"/>
              <w:rPr>
                <w:sz w:val="19"/>
                <w:szCs w:val="19"/>
                <w:color w:val="auto"/>
              </w:rPr>
            </w:pPr>
          </w:p>
        </w:tc>
      </w:tr>
      <w:tr>
        <w:trPr>
          <w:trHeight w:val="248"/>
        </w:trPr>
        <w:tc>
          <w:tcPr>
            <w:tcW w:w="63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112,987,106</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129,346,312</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0"/>
        </w:trPr>
        <w:tc>
          <w:tcPr>
            <w:tcW w:w="63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217"/>
        </w:trPr>
        <w:tc>
          <w:tcPr>
            <w:tcW w:w="6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9"/>
        </w:trPr>
        <w:tc>
          <w:tcPr>
            <w:tcW w:w="6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Assets:</w:t>
            </w:r>
          </w:p>
        </w:tc>
        <w:tc>
          <w:tcPr>
            <w:tcW w:w="26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30"/>
        </w:trPr>
        <w:tc>
          <w:tcPr>
            <w:tcW w:w="6320" w:type="dxa"/>
            <w:vAlign w:val="bottom"/>
          </w:tcPr>
          <w:p>
            <w:pPr>
              <w:ind w:left="240"/>
              <w:spacing w:after="0"/>
              <w:rPr>
                <w:sz w:val="20"/>
                <w:szCs w:val="20"/>
                <w:color w:val="auto"/>
              </w:rPr>
            </w:pPr>
            <w:r>
              <w:rPr>
                <w:rFonts w:ascii="Arial" w:cs="Arial" w:eastAsia="Arial" w:hAnsi="Arial"/>
                <w:sz w:val="18"/>
                <w:szCs w:val="18"/>
                <w:color w:val="auto"/>
              </w:rPr>
              <w:t>Automotive Products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1,846,060,773</w:t>
            </w:r>
          </w:p>
        </w:tc>
        <w:tc>
          <w:tcPr>
            <w:tcW w:w="8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1,841,283,617</w:t>
            </w:r>
          </w:p>
        </w:tc>
        <w:tc>
          <w:tcPr>
            <w:tcW w:w="100" w:type="dxa"/>
            <w:vAlign w:val="bottom"/>
          </w:tcPr>
          <w:p>
            <w:pPr>
              <w:spacing w:after="0"/>
              <w:rPr>
                <w:sz w:val="19"/>
                <w:szCs w:val="19"/>
                <w:color w:val="auto"/>
              </w:rPr>
            </w:pPr>
          </w:p>
        </w:tc>
      </w:tr>
      <w:tr>
        <w:trPr>
          <w:trHeight w:val="230"/>
        </w:trPr>
        <w:tc>
          <w:tcPr>
            <w:tcW w:w="63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Other</w:t>
            </w:r>
          </w:p>
        </w:tc>
        <w:tc>
          <w:tcPr>
            <w:tcW w:w="2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87,293,379</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86,813,215</w:t>
            </w:r>
          </w:p>
        </w:tc>
        <w:tc>
          <w:tcPr>
            <w:tcW w:w="100" w:type="dxa"/>
            <w:vAlign w:val="bottom"/>
            <w:shd w:val="clear" w:color="auto" w:fill="CCEEFF"/>
          </w:tcPr>
          <w:p>
            <w:pPr>
              <w:spacing w:after="0"/>
              <w:rPr>
                <w:sz w:val="19"/>
                <w:szCs w:val="19"/>
                <w:color w:val="auto"/>
              </w:rPr>
            </w:pPr>
          </w:p>
        </w:tc>
      </w:tr>
      <w:tr>
        <w:trPr>
          <w:trHeight w:val="230"/>
        </w:trPr>
        <w:tc>
          <w:tcPr>
            <w:tcW w:w="632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Corporate</w:t>
            </w:r>
          </w:p>
        </w:tc>
        <w:tc>
          <w:tcPr>
            <w:tcW w:w="2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849,195,076</w:t>
            </w: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785,117,738</w:t>
            </w:r>
          </w:p>
        </w:tc>
        <w:tc>
          <w:tcPr>
            <w:tcW w:w="100" w:type="dxa"/>
            <w:vAlign w:val="bottom"/>
            <w:tcBorders>
              <w:bottom w:val="single" w:sz="8" w:color="CCEEFF"/>
            </w:tcBorders>
          </w:tcPr>
          <w:p>
            <w:pPr>
              <w:spacing w:after="0"/>
              <w:rPr>
                <w:sz w:val="19"/>
                <w:szCs w:val="19"/>
                <w:color w:val="auto"/>
              </w:rPr>
            </w:pPr>
          </w:p>
        </w:tc>
      </w:tr>
      <w:tr>
        <w:trPr>
          <w:trHeight w:val="248"/>
        </w:trPr>
        <w:tc>
          <w:tcPr>
            <w:tcW w:w="63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2,782,549,228</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2,713,214,570</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0"/>
        </w:trPr>
        <w:tc>
          <w:tcPr>
            <w:tcW w:w="63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217"/>
        </w:trPr>
        <w:tc>
          <w:tcPr>
            <w:tcW w:w="6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9"/>
        </w:trPr>
        <w:tc>
          <w:tcPr>
            <w:tcW w:w="6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Capital Expenditures:</w:t>
            </w:r>
          </w:p>
        </w:tc>
        <w:tc>
          <w:tcPr>
            <w:tcW w:w="26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30"/>
        </w:trPr>
        <w:tc>
          <w:tcPr>
            <w:tcW w:w="6320" w:type="dxa"/>
            <w:vAlign w:val="bottom"/>
          </w:tcPr>
          <w:p>
            <w:pPr>
              <w:ind w:left="240"/>
              <w:spacing w:after="0"/>
              <w:rPr>
                <w:sz w:val="20"/>
                <w:szCs w:val="20"/>
                <w:color w:val="auto"/>
              </w:rPr>
            </w:pPr>
            <w:r>
              <w:rPr>
                <w:rFonts w:ascii="Arial" w:cs="Arial" w:eastAsia="Arial" w:hAnsi="Arial"/>
                <w:sz w:val="18"/>
                <w:szCs w:val="18"/>
                <w:color w:val="auto"/>
              </w:rPr>
              <w:t>Automotive Products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33,932,287</w:t>
            </w:r>
          </w:p>
        </w:tc>
        <w:tc>
          <w:tcPr>
            <w:tcW w:w="8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28,037,141</w:t>
            </w:r>
          </w:p>
        </w:tc>
        <w:tc>
          <w:tcPr>
            <w:tcW w:w="100" w:type="dxa"/>
            <w:vAlign w:val="bottom"/>
          </w:tcPr>
          <w:p>
            <w:pPr>
              <w:spacing w:after="0"/>
              <w:rPr>
                <w:sz w:val="19"/>
                <w:szCs w:val="19"/>
                <w:color w:val="auto"/>
              </w:rPr>
            </w:pPr>
          </w:p>
        </w:tc>
      </w:tr>
      <w:tr>
        <w:trPr>
          <w:trHeight w:val="230"/>
        </w:trPr>
        <w:tc>
          <w:tcPr>
            <w:tcW w:w="63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Other</w:t>
            </w:r>
          </w:p>
        </w:tc>
        <w:tc>
          <w:tcPr>
            <w:tcW w:w="2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87,324</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1,128,815</w:t>
            </w:r>
          </w:p>
        </w:tc>
        <w:tc>
          <w:tcPr>
            <w:tcW w:w="100" w:type="dxa"/>
            <w:vAlign w:val="bottom"/>
            <w:shd w:val="clear" w:color="auto" w:fill="CCEEFF"/>
          </w:tcPr>
          <w:p>
            <w:pPr>
              <w:spacing w:after="0"/>
              <w:rPr>
                <w:sz w:val="19"/>
                <w:szCs w:val="19"/>
                <w:color w:val="auto"/>
              </w:rPr>
            </w:pPr>
          </w:p>
        </w:tc>
      </w:tr>
      <w:tr>
        <w:trPr>
          <w:trHeight w:val="230"/>
        </w:trPr>
        <w:tc>
          <w:tcPr>
            <w:tcW w:w="632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Corporate</w:t>
            </w:r>
          </w:p>
        </w:tc>
        <w:tc>
          <w:tcPr>
            <w:tcW w:w="2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2,702,790</w:t>
            </w: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2,705,414</w:t>
            </w:r>
          </w:p>
        </w:tc>
        <w:tc>
          <w:tcPr>
            <w:tcW w:w="100" w:type="dxa"/>
            <w:vAlign w:val="bottom"/>
            <w:tcBorders>
              <w:bottom w:val="single" w:sz="8" w:color="CCEEFF"/>
            </w:tcBorders>
          </w:tcPr>
          <w:p>
            <w:pPr>
              <w:spacing w:after="0"/>
              <w:rPr>
                <w:sz w:val="19"/>
                <w:szCs w:val="19"/>
                <w:color w:val="auto"/>
              </w:rPr>
            </w:pPr>
          </w:p>
        </w:tc>
      </w:tr>
      <w:tr>
        <w:trPr>
          <w:trHeight w:val="248"/>
        </w:trPr>
        <w:tc>
          <w:tcPr>
            <w:tcW w:w="63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36,722,401</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31,871,370</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0"/>
        </w:trPr>
        <w:tc>
          <w:tcPr>
            <w:tcW w:w="63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-426085</wp:posOffset>
            </wp:positionH>
            <wp:positionV relativeFrom="paragraph">
              <wp:posOffset>73660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80"/>
          </w:cols>
          <w:pgMar w:left="980" w:top="364" w:right="339" w:bottom="1440" w:gutter="0" w:footer="0" w:header="0"/>
        </w:sectPr>
      </w:pPr>
    </w:p>
    <w:bookmarkStart w:id="21" w:name="page22"/>
    <w:bookmarkEnd w:id="21"/>
    <w:p>
      <w:pPr>
        <w:jc w:val="center"/>
        <w:spacing w:after="0"/>
        <w:rPr>
          <w:sz w:val="20"/>
          <w:szCs w:val="20"/>
          <w:color w:val="auto"/>
        </w:rPr>
      </w:pPr>
      <w:r>
        <w:rPr>
          <w:rFonts w:ascii="Arial" w:cs="Arial" w:eastAsia="Arial" w:hAnsi="Arial"/>
          <w:sz w:val="18"/>
          <w:szCs w:val="18"/>
          <w:b w:val="1"/>
          <w:bCs w:val="1"/>
          <w:u w:val="single" w:color="auto"/>
          <w:color w:val="auto"/>
        </w:rPr>
        <w:t>GENTEX CORPORATION AND SUBSIDIARIES</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520" w:hanging="512"/>
        <w:spacing w:after="0"/>
        <w:tabs>
          <w:tab w:leader="none" w:pos="5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Income Taxes</w:t>
      </w:r>
    </w:p>
    <w:p>
      <w:pPr>
        <w:spacing w:after="0" w:line="158" w:lineRule="exact"/>
        <w:rPr>
          <w:sz w:val="20"/>
          <w:szCs w:val="20"/>
          <w:color w:val="auto"/>
        </w:rPr>
      </w:pPr>
    </w:p>
    <w:p>
      <w:pPr>
        <w:jc w:val="both"/>
        <w:ind w:left="660"/>
        <w:spacing w:after="0" w:line="262" w:lineRule="auto"/>
        <w:rPr>
          <w:sz w:val="20"/>
          <w:szCs w:val="20"/>
          <w:color w:val="auto"/>
        </w:rPr>
      </w:pPr>
      <w:r>
        <w:rPr>
          <w:rFonts w:ascii="Arial" w:cs="Arial" w:eastAsia="Arial" w:hAnsi="Arial"/>
          <w:sz w:val="18"/>
          <w:szCs w:val="18"/>
          <w:color w:val="auto"/>
        </w:rPr>
        <w:t>The effective tax rate was 16.5% in the three months ended March 31, 2025, compared to an effective tax rate of 15.2% for the same period in 2024. Generally, effective tax rates for these periods differ from statutory federal income tax rates, due to provisions for state and local income taxes, permanent tax differences, the foreign-derived intangible income tax deduction, and research and development tax credits.</w:t>
      </w:r>
    </w:p>
    <w:p>
      <w:pPr>
        <w:spacing w:after="0" w:line="203" w:lineRule="exact"/>
        <w:rPr>
          <w:sz w:val="20"/>
          <w:szCs w:val="20"/>
          <w:color w:val="auto"/>
        </w:rPr>
      </w:pPr>
    </w:p>
    <w:p>
      <w:pPr>
        <w:ind w:left="520" w:hanging="512"/>
        <w:spacing w:after="0"/>
        <w:tabs>
          <w:tab w:leader="none" w:pos="5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Revenue</w:t>
      </w:r>
    </w:p>
    <w:p>
      <w:pPr>
        <w:spacing w:after="0" w:line="252" w:lineRule="exact"/>
        <w:rPr>
          <w:sz w:val="20"/>
          <w:szCs w:val="20"/>
          <w:color w:val="auto"/>
        </w:rPr>
      </w:pPr>
    </w:p>
    <w:p>
      <w:pPr>
        <w:jc w:val="both"/>
        <w:ind w:left="660"/>
        <w:spacing w:after="0" w:line="279" w:lineRule="auto"/>
        <w:rPr>
          <w:sz w:val="20"/>
          <w:szCs w:val="20"/>
          <w:color w:val="auto"/>
        </w:rPr>
      </w:pPr>
      <w:r>
        <w:rPr>
          <w:rFonts w:ascii="Arial" w:cs="Arial" w:eastAsia="Arial" w:hAnsi="Arial"/>
          <w:sz w:val="18"/>
          <w:szCs w:val="18"/>
          <w:color w:val="auto"/>
        </w:rPr>
        <w:t>The following table shows the Company’s Automotive revenue and Other Products revenue disaggregated by geographical location for Automotive Products for the three-month periods ended March 31, 2025 and March 31, 2024, respectively:</w:t>
      </w:r>
    </w:p>
    <w:p>
      <w:pPr>
        <w:spacing w:after="0" w:line="1" w:lineRule="exact"/>
        <w:rPr>
          <w:sz w:val="20"/>
          <w:szCs w:val="20"/>
          <w:color w:val="auto"/>
        </w:rPr>
      </w:pPr>
    </w:p>
    <w:tbl>
      <w:tblPr>
        <w:tblLayout w:type="fixed"/>
        <w:tblInd w:w="660" w:type="dxa"/>
        <w:tblCellMar>
          <w:top w:w="0" w:type="dxa"/>
          <w:left w:w="0" w:type="dxa"/>
          <w:bottom w:w="0" w:type="dxa"/>
          <w:right w:w="0" w:type="dxa"/>
        </w:tblCellMar>
      </w:tblPr>
      <w:tr>
        <w:trPr>
          <w:trHeight w:val="196"/>
        </w:trPr>
        <w:tc>
          <w:tcPr>
            <w:tcW w:w="6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200" w:type="dxa"/>
            <w:vAlign w:val="bottom"/>
            <w:gridSpan w:val="5"/>
          </w:tcPr>
          <w:p>
            <w:pPr>
              <w:ind w:left="320"/>
              <w:spacing w:after="0"/>
              <w:rPr>
                <w:sz w:val="20"/>
                <w:szCs w:val="20"/>
                <w:color w:val="auto"/>
              </w:rPr>
            </w:pPr>
            <w:r>
              <w:rPr>
                <w:rFonts w:ascii="Arial" w:cs="Arial" w:eastAsia="Arial" w:hAnsi="Arial"/>
                <w:sz w:val="14"/>
                <w:szCs w:val="14"/>
                <w:b w:val="1"/>
                <w:bCs w:val="1"/>
                <w:color w:val="auto"/>
              </w:rPr>
              <w:t>Three Months Ended March 31,</w:t>
            </w:r>
          </w:p>
        </w:tc>
      </w:tr>
      <w:tr>
        <w:trPr>
          <w:trHeight w:val="203"/>
        </w:trPr>
        <w:tc>
          <w:tcPr>
            <w:tcW w:w="62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Revenue</w:t>
            </w:r>
          </w:p>
        </w:tc>
        <w:tc>
          <w:tcPr>
            <w:tcW w:w="36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593"/>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592"/>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bottom w:val="single" w:sz="8" w:color="CCEEFF"/>
            </w:tcBorders>
          </w:tcPr>
          <w:p>
            <w:pPr>
              <w:spacing w:after="0"/>
              <w:rPr>
                <w:sz w:val="17"/>
                <w:szCs w:val="17"/>
                <w:color w:val="auto"/>
              </w:rPr>
            </w:pPr>
          </w:p>
        </w:tc>
      </w:tr>
      <w:tr>
        <w:trPr>
          <w:trHeight w:val="224"/>
        </w:trPr>
        <w:tc>
          <w:tcPr>
            <w:tcW w:w="6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Automotive Products</w:t>
            </w:r>
          </w:p>
        </w:tc>
        <w:tc>
          <w:tcPr>
            <w:tcW w:w="3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29"/>
        </w:trPr>
        <w:tc>
          <w:tcPr>
            <w:tcW w:w="6260" w:type="dxa"/>
            <w:vAlign w:val="bottom"/>
          </w:tcPr>
          <w:p>
            <w:pPr>
              <w:ind w:left="120"/>
              <w:spacing w:after="0"/>
              <w:rPr>
                <w:sz w:val="20"/>
                <w:szCs w:val="20"/>
                <w:color w:val="auto"/>
              </w:rPr>
            </w:pPr>
            <w:r>
              <w:rPr>
                <w:rFonts w:ascii="Arial" w:cs="Arial" w:eastAsia="Arial" w:hAnsi="Arial"/>
                <w:sz w:val="18"/>
                <w:szCs w:val="18"/>
                <w:color w:val="auto"/>
              </w:rPr>
              <w:t>U.S.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163,380,938</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165,140,622</w:t>
            </w:r>
          </w:p>
        </w:tc>
        <w:tc>
          <w:tcPr>
            <w:tcW w:w="100" w:type="dxa"/>
            <w:vAlign w:val="bottom"/>
          </w:tcPr>
          <w:p>
            <w:pPr>
              <w:spacing w:after="0"/>
              <w:rPr>
                <w:sz w:val="19"/>
                <w:szCs w:val="19"/>
                <w:color w:val="auto"/>
              </w:rPr>
            </w:pPr>
          </w:p>
        </w:tc>
      </w:tr>
      <w:tr>
        <w:trPr>
          <w:trHeight w:val="230"/>
        </w:trPr>
        <w:tc>
          <w:tcPr>
            <w:tcW w:w="62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Japan</w:t>
            </w:r>
          </w:p>
        </w:tc>
        <w:tc>
          <w:tcPr>
            <w:tcW w:w="3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98,365,403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89,004,628</w:t>
            </w:r>
          </w:p>
        </w:tc>
        <w:tc>
          <w:tcPr>
            <w:tcW w:w="100" w:type="dxa"/>
            <w:vAlign w:val="bottom"/>
            <w:shd w:val="clear" w:color="auto" w:fill="CCEEFF"/>
          </w:tcPr>
          <w:p>
            <w:pPr>
              <w:spacing w:after="0"/>
              <w:rPr>
                <w:sz w:val="19"/>
                <w:szCs w:val="19"/>
                <w:color w:val="auto"/>
              </w:rPr>
            </w:pPr>
          </w:p>
        </w:tc>
      </w:tr>
      <w:tr>
        <w:trPr>
          <w:trHeight w:val="229"/>
        </w:trPr>
        <w:tc>
          <w:tcPr>
            <w:tcW w:w="6260" w:type="dxa"/>
            <w:vAlign w:val="bottom"/>
          </w:tcPr>
          <w:p>
            <w:pPr>
              <w:ind w:left="120"/>
              <w:spacing w:after="0"/>
              <w:rPr>
                <w:sz w:val="20"/>
                <w:szCs w:val="20"/>
                <w:color w:val="auto"/>
              </w:rPr>
            </w:pPr>
            <w:r>
              <w:rPr>
                <w:rFonts w:ascii="Arial" w:cs="Arial" w:eastAsia="Arial" w:hAnsi="Arial"/>
                <w:sz w:val="18"/>
                <w:szCs w:val="18"/>
                <w:color w:val="auto"/>
              </w:rPr>
              <w:t>Germany</w:t>
            </w:r>
          </w:p>
        </w:tc>
        <w:tc>
          <w:tcPr>
            <w:tcW w:w="3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65,017,861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75,694,888</w:t>
            </w:r>
          </w:p>
        </w:tc>
        <w:tc>
          <w:tcPr>
            <w:tcW w:w="100" w:type="dxa"/>
            <w:vAlign w:val="bottom"/>
          </w:tcPr>
          <w:p>
            <w:pPr>
              <w:spacing w:after="0"/>
              <w:rPr>
                <w:sz w:val="19"/>
                <w:szCs w:val="19"/>
                <w:color w:val="auto"/>
              </w:rPr>
            </w:pPr>
          </w:p>
        </w:tc>
      </w:tr>
      <w:tr>
        <w:trPr>
          <w:trHeight w:val="230"/>
        </w:trPr>
        <w:tc>
          <w:tcPr>
            <w:tcW w:w="62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Korea</w:t>
            </w:r>
          </w:p>
        </w:tc>
        <w:tc>
          <w:tcPr>
            <w:tcW w:w="3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38,195,333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53,695,112</w:t>
            </w:r>
          </w:p>
        </w:tc>
        <w:tc>
          <w:tcPr>
            <w:tcW w:w="100" w:type="dxa"/>
            <w:vAlign w:val="bottom"/>
            <w:shd w:val="clear" w:color="auto" w:fill="CCEEFF"/>
          </w:tcPr>
          <w:p>
            <w:pPr>
              <w:spacing w:after="0"/>
              <w:rPr>
                <w:sz w:val="19"/>
                <w:szCs w:val="19"/>
                <w:color w:val="auto"/>
              </w:rPr>
            </w:pPr>
          </w:p>
        </w:tc>
      </w:tr>
      <w:tr>
        <w:trPr>
          <w:trHeight w:val="229"/>
        </w:trPr>
        <w:tc>
          <w:tcPr>
            <w:tcW w:w="6260" w:type="dxa"/>
            <w:vAlign w:val="bottom"/>
          </w:tcPr>
          <w:p>
            <w:pPr>
              <w:ind w:left="120"/>
              <w:spacing w:after="0"/>
              <w:rPr>
                <w:sz w:val="20"/>
                <w:szCs w:val="20"/>
                <w:color w:val="auto"/>
              </w:rPr>
            </w:pPr>
            <w:r>
              <w:rPr>
                <w:rFonts w:ascii="Arial" w:cs="Arial" w:eastAsia="Arial" w:hAnsi="Arial"/>
                <w:sz w:val="18"/>
                <w:szCs w:val="18"/>
                <w:color w:val="auto"/>
              </w:rPr>
              <w:t>Mexico</w:t>
            </w:r>
          </w:p>
        </w:tc>
        <w:tc>
          <w:tcPr>
            <w:tcW w:w="3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47,648,876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37,621,163</w:t>
            </w:r>
          </w:p>
        </w:tc>
        <w:tc>
          <w:tcPr>
            <w:tcW w:w="100" w:type="dxa"/>
            <w:vAlign w:val="bottom"/>
          </w:tcPr>
          <w:p>
            <w:pPr>
              <w:spacing w:after="0"/>
              <w:rPr>
                <w:sz w:val="19"/>
                <w:szCs w:val="19"/>
                <w:color w:val="auto"/>
              </w:rPr>
            </w:pPr>
          </w:p>
        </w:tc>
      </w:tr>
      <w:tr>
        <w:trPr>
          <w:trHeight w:val="230"/>
        </w:trPr>
        <w:tc>
          <w:tcPr>
            <w:tcW w:w="62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China</w:t>
            </w:r>
          </w:p>
        </w:tc>
        <w:tc>
          <w:tcPr>
            <w:tcW w:w="3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40,954,400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47,349,454</w:t>
            </w:r>
          </w:p>
        </w:tc>
        <w:tc>
          <w:tcPr>
            <w:tcW w:w="100" w:type="dxa"/>
            <w:vAlign w:val="bottom"/>
            <w:shd w:val="clear" w:color="auto" w:fill="CCEEFF"/>
          </w:tcPr>
          <w:p>
            <w:pPr>
              <w:spacing w:after="0"/>
              <w:rPr>
                <w:sz w:val="19"/>
                <w:szCs w:val="19"/>
                <w:color w:val="auto"/>
              </w:rPr>
            </w:pPr>
          </w:p>
        </w:tc>
      </w:tr>
      <w:tr>
        <w:trPr>
          <w:trHeight w:val="229"/>
        </w:trPr>
        <w:tc>
          <w:tcPr>
            <w:tcW w:w="626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Other</w:t>
            </w:r>
          </w:p>
        </w:tc>
        <w:tc>
          <w:tcPr>
            <w:tcW w:w="3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110,301,448</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109,096,329</w:t>
            </w:r>
          </w:p>
        </w:tc>
        <w:tc>
          <w:tcPr>
            <w:tcW w:w="100" w:type="dxa"/>
            <w:vAlign w:val="bottom"/>
            <w:tcBorders>
              <w:bottom w:val="single" w:sz="8" w:color="CCEEFF"/>
            </w:tcBorders>
          </w:tcPr>
          <w:p>
            <w:pPr>
              <w:spacing w:after="0"/>
              <w:rPr>
                <w:sz w:val="19"/>
                <w:szCs w:val="19"/>
                <w:color w:val="auto"/>
              </w:rPr>
            </w:pPr>
          </w:p>
        </w:tc>
      </w:tr>
      <w:tr>
        <w:trPr>
          <w:trHeight w:val="223"/>
        </w:trPr>
        <w:tc>
          <w:tcPr>
            <w:tcW w:w="6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Automotive Products</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563,864,259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577,602,196</w:t>
            </w:r>
          </w:p>
        </w:tc>
        <w:tc>
          <w:tcPr>
            <w:tcW w:w="100" w:type="dxa"/>
            <w:vAlign w:val="bottom"/>
            <w:shd w:val="clear" w:color="auto" w:fill="CCEEFF"/>
          </w:tcPr>
          <w:p>
            <w:pPr>
              <w:spacing w:after="0"/>
              <w:rPr>
                <w:sz w:val="19"/>
                <w:szCs w:val="19"/>
                <w:color w:val="auto"/>
              </w:rPr>
            </w:pPr>
          </w:p>
        </w:tc>
      </w:tr>
      <w:tr>
        <w:trPr>
          <w:trHeight w:val="229"/>
        </w:trPr>
        <w:tc>
          <w:tcPr>
            <w:tcW w:w="62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Products (U.S.)</w:t>
            </w:r>
          </w:p>
        </w:tc>
        <w:tc>
          <w:tcPr>
            <w:tcW w:w="3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12,908,831</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12,623,015</w:t>
            </w:r>
          </w:p>
        </w:tc>
        <w:tc>
          <w:tcPr>
            <w:tcW w:w="100" w:type="dxa"/>
            <w:vAlign w:val="bottom"/>
            <w:tcBorders>
              <w:bottom w:val="single" w:sz="8" w:color="CCEEFF"/>
            </w:tcBorders>
          </w:tcPr>
          <w:p>
            <w:pPr>
              <w:spacing w:after="0"/>
              <w:rPr>
                <w:sz w:val="19"/>
                <w:szCs w:val="19"/>
                <w:color w:val="auto"/>
              </w:rPr>
            </w:pPr>
          </w:p>
        </w:tc>
      </w:tr>
      <w:tr>
        <w:trPr>
          <w:trHeight w:val="248"/>
        </w:trPr>
        <w:tc>
          <w:tcPr>
            <w:tcW w:w="6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Revenue</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576,773,090</w:t>
            </w:r>
          </w:p>
        </w:tc>
        <w:tc>
          <w:tcPr>
            <w:tcW w:w="100" w:type="dxa"/>
            <w:vAlign w:val="bottom"/>
            <w:tcBorders>
              <w:bottom w:val="single" w:sz="8" w:color="auto"/>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590,225,211</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0"/>
        </w:trPr>
        <w:tc>
          <w:tcPr>
            <w:tcW w:w="62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305" w:lineRule="exact"/>
        <w:rPr>
          <w:sz w:val="20"/>
          <w:szCs w:val="20"/>
          <w:color w:val="auto"/>
        </w:rPr>
      </w:pPr>
    </w:p>
    <w:p>
      <w:pPr>
        <w:jc w:val="both"/>
        <w:ind w:left="660"/>
        <w:spacing w:after="0" w:line="259" w:lineRule="auto"/>
        <w:rPr>
          <w:sz w:val="20"/>
          <w:szCs w:val="20"/>
          <w:color w:val="auto"/>
        </w:rPr>
      </w:pPr>
      <w:r>
        <w:rPr>
          <w:rFonts w:ascii="Arial" w:cs="Arial" w:eastAsia="Arial" w:hAnsi="Arial"/>
          <w:sz w:val="18"/>
          <w:szCs w:val="18"/>
          <w:color w:val="auto"/>
        </w:rPr>
        <w:t>Revenue by geographic area may fluctuate based on many factors, including: exposure to local economic, political, and labor conditions; global supply chain constraints; unexpected changes in laws, regulations, trade or monetary or fiscal policy, including interest rates, foreign currency exchange rates and changes in the rate of inflation in the U.S. and other foreign countries; labor strikes, armed conflicts and acts of terrorism and war; and tariffs, quotas, customs and other import or export restrictions and other trade barriers.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22" w:name="page23"/>
    <w:bookmarkEnd w:id="22"/>
    <w:p>
      <w:pPr>
        <w:jc w:val="center"/>
        <w:spacing w:after="0"/>
        <w:rPr>
          <w:sz w:val="20"/>
          <w:szCs w:val="20"/>
          <w:color w:val="auto"/>
        </w:rPr>
      </w:pPr>
      <w:r>
        <w:rPr>
          <w:rFonts w:ascii="Arial" w:cs="Arial" w:eastAsia="Arial" w:hAnsi="Arial"/>
          <w:sz w:val="18"/>
          <w:szCs w:val="18"/>
          <w:b w:val="1"/>
          <w:bCs w:val="1"/>
          <w:u w:val="single" w:color="auto"/>
          <w:color w:val="auto"/>
        </w:rPr>
        <w:t>GENTEX CORPORATION AND SUBSIDIARIES</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64" w:lineRule="exact"/>
        <w:rPr>
          <w:sz w:val="20"/>
          <w:szCs w:val="20"/>
          <w:color w:val="auto"/>
        </w:rPr>
      </w:pPr>
    </w:p>
    <w:p>
      <w:pPr>
        <w:ind w:left="660" w:right="540"/>
        <w:spacing w:after="0" w:line="279" w:lineRule="auto"/>
        <w:rPr>
          <w:sz w:val="20"/>
          <w:szCs w:val="20"/>
          <w:color w:val="auto"/>
        </w:rPr>
      </w:pPr>
      <w:r>
        <w:rPr>
          <w:rFonts w:ascii="Arial" w:cs="Arial" w:eastAsia="Arial" w:hAnsi="Arial"/>
          <w:sz w:val="18"/>
          <w:szCs w:val="18"/>
          <w:color w:val="auto"/>
        </w:rPr>
        <w:t>The following table disaggregates the Company’s Automotive revenue and Other revenue by major source for the three-month periods ended March 31, 2025 and March 31, 2024:</w:t>
      </w:r>
    </w:p>
    <w:p>
      <w:pPr>
        <w:spacing w:after="0" w:line="1" w:lineRule="exact"/>
        <w:rPr>
          <w:sz w:val="20"/>
          <w:szCs w:val="20"/>
          <w:color w:val="auto"/>
        </w:rPr>
      </w:pPr>
    </w:p>
    <w:tbl>
      <w:tblPr>
        <w:tblLayout w:type="fixed"/>
        <w:tblInd w:w="660" w:type="dxa"/>
        <w:tblCellMar>
          <w:top w:w="0" w:type="dxa"/>
          <w:left w:w="0" w:type="dxa"/>
          <w:bottom w:w="0" w:type="dxa"/>
          <w:right w:w="0" w:type="dxa"/>
        </w:tblCellMar>
      </w:tblPr>
      <w:tr>
        <w:trPr>
          <w:trHeight w:val="196"/>
        </w:trPr>
        <w:tc>
          <w:tcPr>
            <w:tcW w:w="6560" w:type="dxa"/>
            <w:vAlign w:val="bottom"/>
            <w:vMerge w:val="restart"/>
          </w:tcPr>
          <w:p>
            <w:pPr>
              <w:ind w:left="20"/>
              <w:spacing w:after="0"/>
              <w:rPr>
                <w:sz w:val="20"/>
                <w:szCs w:val="20"/>
                <w:color w:val="auto"/>
              </w:rPr>
            </w:pPr>
            <w:r>
              <w:rPr>
                <w:rFonts w:ascii="Arial" w:cs="Arial" w:eastAsia="Arial" w:hAnsi="Arial"/>
                <w:sz w:val="18"/>
                <w:szCs w:val="18"/>
                <w:color w:val="auto"/>
              </w:rPr>
              <w:t>Revenue</w:t>
            </w:r>
          </w:p>
        </w:tc>
        <w:tc>
          <w:tcPr>
            <w:tcW w:w="280" w:type="dxa"/>
            <w:vAlign w:val="bottom"/>
          </w:tcPr>
          <w:p>
            <w:pPr>
              <w:spacing w:after="0"/>
              <w:rPr>
                <w:sz w:val="17"/>
                <w:szCs w:val="17"/>
                <w:color w:val="auto"/>
              </w:rPr>
            </w:pPr>
          </w:p>
        </w:tc>
        <w:tc>
          <w:tcPr>
            <w:tcW w:w="2980" w:type="dxa"/>
            <w:vAlign w:val="bottom"/>
            <w:gridSpan w:val="5"/>
          </w:tcPr>
          <w:p>
            <w:pPr>
              <w:ind w:left="240"/>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232"/>
        </w:trPr>
        <w:tc>
          <w:tcPr>
            <w:tcW w:w="6560" w:type="dxa"/>
            <w:vAlign w:val="bottom"/>
            <w:tcBorders>
              <w:bottom w:val="single" w:sz="8" w:color="auto"/>
            </w:tcBorders>
            <w:vMerge w:val="continue"/>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Automotive Segment</w:t>
            </w:r>
          </w:p>
        </w:tc>
        <w:tc>
          <w:tcPr>
            <w:tcW w:w="2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560" w:type="dxa"/>
            <w:vAlign w:val="bottom"/>
          </w:tcPr>
          <w:p>
            <w:pPr>
              <w:ind w:left="240"/>
              <w:spacing w:after="0"/>
              <w:rPr>
                <w:sz w:val="20"/>
                <w:szCs w:val="20"/>
                <w:color w:val="auto"/>
              </w:rPr>
            </w:pPr>
            <w:r>
              <w:rPr>
                <w:rFonts w:ascii="Arial" w:cs="Arial" w:eastAsia="Arial" w:hAnsi="Arial"/>
                <w:sz w:val="18"/>
                <w:szCs w:val="18"/>
                <w:color w:val="auto"/>
              </w:rPr>
              <w:t>Automotive Mirrors &amp; Electronics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530,131,429</w:t>
            </w:r>
          </w:p>
        </w:tc>
        <w:tc>
          <w:tcPr>
            <w:tcW w:w="1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550,184,430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HomeLink Modules*</w:t>
            </w:r>
          </w:p>
        </w:tc>
        <w:tc>
          <w:tcPr>
            <w:tcW w:w="2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33,732,830</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27,417,766</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560" w:type="dxa"/>
            <w:vAlign w:val="bottom"/>
          </w:tcPr>
          <w:p>
            <w:pPr>
              <w:ind w:left="20"/>
              <w:spacing w:after="0"/>
              <w:rPr>
                <w:sz w:val="20"/>
                <w:szCs w:val="20"/>
                <w:color w:val="auto"/>
              </w:rPr>
            </w:pPr>
            <w:r>
              <w:rPr>
                <w:rFonts w:ascii="Arial" w:cs="Arial" w:eastAsia="Arial" w:hAnsi="Arial"/>
                <w:sz w:val="18"/>
                <w:szCs w:val="18"/>
                <w:color w:val="auto"/>
              </w:rPr>
              <w:t>Total Automotive Products</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563,864,259</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577,602,196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5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5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6560" w:type="dxa"/>
            <w:vAlign w:val="bottom"/>
          </w:tcPr>
          <w:p>
            <w:pPr>
              <w:ind w:left="20"/>
              <w:spacing w:after="0"/>
              <w:rPr>
                <w:sz w:val="20"/>
                <w:szCs w:val="20"/>
                <w:color w:val="auto"/>
              </w:rPr>
            </w:pPr>
            <w:r>
              <w:rPr>
                <w:rFonts w:ascii="Arial" w:cs="Arial" w:eastAsia="Arial" w:hAnsi="Arial"/>
                <w:sz w:val="18"/>
                <w:szCs w:val="18"/>
                <w:color w:val="auto"/>
              </w:rPr>
              <w:t>Other Segment</w:t>
            </w:r>
          </w:p>
        </w:tc>
        <w:tc>
          <w:tcPr>
            <w:tcW w:w="2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5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Fire Protection Products</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6,717,770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6,836,038</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60" w:type="dxa"/>
            <w:vAlign w:val="bottom"/>
          </w:tcPr>
          <w:p>
            <w:pPr>
              <w:ind w:left="240"/>
              <w:spacing w:after="0"/>
              <w:rPr>
                <w:sz w:val="20"/>
                <w:szCs w:val="20"/>
                <w:color w:val="auto"/>
              </w:rPr>
            </w:pPr>
            <w:r>
              <w:rPr>
                <w:rFonts w:ascii="Arial" w:cs="Arial" w:eastAsia="Arial" w:hAnsi="Arial"/>
                <w:sz w:val="18"/>
                <w:szCs w:val="18"/>
                <w:color w:val="auto"/>
              </w:rPr>
              <w:t>Windows Products</w:t>
            </w:r>
          </w:p>
        </w:tc>
        <w:tc>
          <w:tcPr>
            <w:tcW w:w="2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4,890,986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5,770,800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5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Medical Products</w:t>
            </w:r>
          </w:p>
        </w:tc>
        <w:tc>
          <w:tcPr>
            <w:tcW w:w="2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386,835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16,177</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60" w:type="dxa"/>
            <w:vAlign w:val="bottom"/>
          </w:tcPr>
          <w:p>
            <w:pPr>
              <w:ind w:left="240"/>
              <w:spacing w:after="0"/>
              <w:rPr>
                <w:sz w:val="20"/>
                <w:szCs w:val="20"/>
                <w:color w:val="auto"/>
              </w:rPr>
            </w:pPr>
            <w:r>
              <w:rPr>
                <w:rFonts w:ascii="Arial" w:cs="Arial" w:eastAsia="Arial" w:hAnsi="Arial"/>
                <w:sz w:val="18"/>
                <w:szCs w:val="18"/>
                <w:color w:val="auto"/>
              </w:rPr>
              <w:t>Biometric Products</w:t>
            </w:r>
          </w:p>
        </w:tc>
        <w:tc>
          <w:tcPr>
            <w:tcW w:w="2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913,240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65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Other</w:t>
            </w: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12,908,831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12,623,015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5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left="680"/>
        <w:spacing w:after="0"/>
        <w:rPr>
          <w:sz w:val="20"/>
          <w:szCs w:val="20"/>
          <w:color w:val="auto"/>
        </w:rPr>
      </w:pPr>
      <w:r>
        <w:rPr>
          <w:rFonts w:ascii="Arial" w:cs="Arial" w:eastAsia="Arial" w:hAnsi="Arial"/>
          <w:sz w:val="18"/>
          <w:szCs w:val="18"/>
          <w:color w:val="auto"/>
        </w:rPr>
        <w:t>*Excludes HomeLink revenue where HomeLink electronics are integrated into interior auto-dimming mirrors.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-127635</wp:posOffset>
            </wp:positionV>
            <wp:extent cx="6240780" cy="1460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240780" cy="146050"/>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520" w:hanging="512"/>
        <w:spacing w:after="0"/>
        <w:tabs>
          <w:tab w:leader="none" w:pos="5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Leases</w:t>
      </w:r>
    </w:p>
    <w:p>
      <w:pPr>
        <w:spacing w:after="0" w:line="252" w:lineRule="exact"/>
        <w:rPr>
          <w:sz w:val="20"/>
          <w:szCs w:val="20"/>
          <w:color w:val="auto"/>
        </w:rPr>
      </w:pPr>
    </w:p>
    <w:p>
      <w:pPr>
        <w:jc w:val="both"/>
        <w:ind w:left="660"/>
        <w:spacing w:after="0" w:line="262" w:lineRule="auto"/>
        <w:rPr>
          <w:sz w:val="20"/>
          <w:szCs w:val="20"/>
          <w:color w:val="auto"/>
        </w:rPr>
      </w:pPr>
      <w:r>
        <w:rPr>
          <w:rFonts w:ascii="Arial" w:cs="Arial" w:eastAsia="Arial" w:hAnsi="Arial"/>
          <w:sz w:val="18"/>
          <w:szCs w:val="18"/>
          <w:color w:val="auto"/>
        </w:rPr>
        <w:t>The Company has operating leases for certain sales, manufacturing, and engineering offices, as well as other vehicles and equipment, which are included within "Plant and Equipment - Net" section of the Unaudited Condensed Consolidated Balance Sheets. The leases have remaining lease terms of less than 1 year to 5 years. The weighted average remaining lease term for operating leases as of March 31, 2025 was 3 years, with a weighted average discount rate of 5.4%</w:t>
      </w:r>
      <w:r>
        <w:rPr>
          <w:rFonts w:ascii="Arial" w:cs="Arial" w:eastAsia="Arial" w:hAnsi="Arial"/>
          <w:sz w:val="18"/>
          <w:szCs w:val="18"/>
          <w:color w:val="FAAC16"/>
        </w:rPr>
        <w:t>.</w:t>
      </w:r>
    </w:p>
    <w:p>
      <w:pPr>
        <w:spacing w:after="0" w:line="20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Future minimum lease payments for operating leases as of March 31, 2025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34925</wp:posOffset>
            </wp:positionV>
            <wp:extent cx="6206490" cy="12890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206490" cy="128905"/>
                    </a:xfrm>
                    <a:prstGeom prst="rect">
                      <a:avLst/>
                    </a:prstGeom>
                    <a:noFill/>
                  </pic:spPr>
                </pic:pic>
              </a:graphicData>
            </a:graphic>
          </wp:anchor>
        </w:drawing>
      </w:r>
    </w:p>
    <w:p>
      <w:pPr>
        <w:spacing w:after="0" w:line="39"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Year ending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23495</wp:posOffset>
            </wp:positionV>
            <wp:extent cx="620649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206490" cy="8255"/>
                    </a:xfrm>
                    <a:prstGeom prst="rect">
                      <a:avLst/>
                    </a:prstGeom>
                    <a:noFill/>
                  </pic:spPr>
                </pic:pic>
              </a:graphicData>
            </a:graphic>
          </wp:anchor>
        </w:drawing>
      </w:r>
    </w:p>
    <w:p>
      <w:pPr>
        <w:spacing w:after="0" w:line="179" w:lineRule="exact"/>
        <w:rPr>
          <w:sz w:val="20"/>
          <w:szCs w:val="20"/>
          <w:color w:val="auto"/>
        </w:rPr>
      </w:pPr>
    </w:p>
    <w:tbl>
      <w:tblPr>
        <w:tblLayout w:type="fixed"/>
        <w:tblInd w:w="660" w:type="dxa"/>
        <w:tblCellMar>
          <w:top w:w="0" w:type="dxa"/>
          <w:left w:w="0" w:type="dxa"/>
          <w:bottom w:w="0" w:type="dxa"/>
          <w:right w:w="0" w:type="dxa"/>
        </w:tblCellMar>
      </w:tblPr>
      <w:tr>
        <w:trPr>
          <w:trHeight w:val="229"/>
        </w:trPr>
        <w:tc>
          <w:tcPr>
            <w:tcW w:w="7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 (excluding the three months ended March 31, 2025)</w:t>
            </w:r>
          </w:p>
        </w:tc>
        <w:tc>
          <w:tcPr>
            <w:tcW w:w="860" w:type="dxa"/>
            <w:vAlign w:val="bottom"/>
            <w:gridSpan w:val="2"/>
            <w:shd w:val="clear" w:color="auto" w:fill="CCEEFF"/>
          </w:tcPr>
          <w:p>
            <w:pPr>
              <w:jc w:val="right"/>
              <w:ind w:right="630"/>
              <w:spacing w:after="0"/>
              <w:rPr>
                <w:sz w:val="20"/>
                <w:szCs w:val="20"/>
                <w:color w:val="auto"/>
              </w:rPr>
            </w:pPr>
            <w:r>
              <w:rPr>
                <w:rFonts w:ascii="Arial" w:cs="Arial" w:eastAsia="Arial" w:hAnsi="Arial"/>
                <w:sz w:val="18"/>
                <w:szCs w:val="18"/>
                <w:color w:val="auto"/>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1,635,846</w:t>
            </w:r>
          </w:p>
        </w:tc>
        <w:tc>
          <w:tcPr>
            <w:tcW w:w="60" w:type="dxa"/>
            <w:vAlign w:val="bottom"/>
          </w:tcPr>
          <w:p>
            <w:pPr>
              <w:spacing w:after="0"/>
              <w:rPr>
                <w:sz w:val="19"/>
                <w:szCs w:val="19"/>
                <w:color w:val="auto"/>
              </w:rPr>
            </w:pPr>
          </w:p>
        </w:tc>
      </w:tr>
      <w:tr>
        <w:trPr>
          <w:trHeight w:val="230"/>
        </w:trPr>
        <w:tc>
          <w:tcPr>
            <w:tcW w:w="7300" w:type="dxa"/>
            <w:vAlign w:val="bottom"/>
          </w:tcPr>
          <w:p>
            <w:pPr>
              <w:ind w:left="20"/>
              <w:spacing w:after="0"/>
              <w:rPr>
                <w:sz w:val="20"/>
                <w:szCs w:val="20"/>
                <w:color w:val="auto"/>
              </w:rPr>
            </w:pPr>
            <w:r>
              <w:rPr>
                <w:rFonts w:ascii="Arial" w:cs="Arial" w:eastAsia="Arial" w:hAnsi="Arial"/>
                <w:sz w:val="18"/>
                <w:szCs w:val="18"/>
                <w:color w:val="auto"/>
              </w:rPr>
              <w:t>2026</w:t>
            </w:r>
          </w:p>
        </w:tc>
        <w:tc>
          <w:tcPr>
            <w:tcW w:w="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1,548,758</w:t>
            </w:r>
          </w:p>
        </w:tc>
        <w:tc>
          <w:tcPr>
            <w:tcW w:w="60" w:type="dxa"/>
            <w:vAlign w:val="bottom"/>
          </w:tcPr>
          <w:p>
            <w:pPr>
              <w:spacing w:after="0"/>
              <w:rPr>
                <w:sz w:val="19"/>
                <w:szCs w:val="19"/>
                <w:color w:val="auto"/>
              </w:rPr>
            </w:pPr>
          </w:p>
        </w:tc>
      </w:tr>
      <w:tr>
        <w:trPr>
          <w:trHeight w:val="230"/>
        </w:trPr>
        <w:tc>
          <w:tcPr>
            <w:tcW w:w="7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2027</w:t>
            </w:r>
          </w:p>
        </w:tc>
        <w:tc>
          <w:tcPr>
            <w:tcW w:w="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1,108,780</w:t>
            </w:r>
          </w:p>
        </w:tc>
        <w:tc>
          <w:tcPr>
            <w:tcW w:w="60" w:type="dxa"/>
            <w:vAlign w:val="bottom"/>
          </w:tcPr>
          <w:p>
            <w:pPr>
              <w:spacing w:after="0"/>
              <w:rPr>
                <w:sz w:val="19"/>
                <w:szCs w:val="19"/>
                <w:color w:val="auto"/>
              </w:rPr>
            </w:pPr>
          </w:p>
        </w:tc>
      </w:tr>
      <w:tr>
        <w:trPr>
          <w:trHeight w:val="230"/>
        </w:trPr>
        <w:tc>
          <w:tcPr>
            <w:tcW w:w="7300" w:type="dxa"/>
            <w:vAlign w:val="bottom"/>
          </w:tcPr>
          <w:p>
            <w:pPr>
              <w:ind w:left="20"/>
              <w:spacing w:after="0"/>
              <w:rPr>
                <w:sz w:val="20"/>
                <w:szCs w:val="20"/>
                <w:color w:val="auto"/>
              </w:rPr>
            </w:pPr>
            <w:r>
              <w:rPr>
                <w:rFonts w:ascii="Arial" w:cs="Arial" w:eastAsia="Arial" w:hAnsi="Arial"/>
                <w:sz w:val="18"/>
                <w:szCs w:val="18"/>
                <w:color w:val="auto"/>
              </w:rPr>
              <w:t>2028</w:t>
            </w:r>
          </w:p>
        </w:tc>
        <w:tc>
          <w:tcPr>
            <w:tcW w:w="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718,825</w:t>
            </w:r>
          </w:p>
        </w:tc>
        <w:tc>
          <w:tcPr>
            <w:tcW w:w="60" w:type="dxa"/>
            <w:vAlign w:val="bottom"/>
          </w:tcPr>
          <w:p>
            <w:pPr>
              <w:spacing w:after="0"/>
              <w:rPr>
                <w:sz w:val="19"/>
                <w:szCs w:val="19"/>
                <w:color w:val="auto"/>
              </w:rPr>
            </w:pPr>
          </w:p>
        </w:tc>
      </w:tr>
      <w:tr>
        <w:trPr>
          <w:trHeight w:val="229"/>
        </w:trPr>
        <w:tc>
          <w:tcPr>
            <w:tcW w:w="7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2029</w:t>
            </w:r>
          </w:p>
        </w:tc>
        <w:tc>
          <w:tcPr>
            <w:tcW w:w="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89,248</w:t>
            </w:r>
          </w:p>
        </w:tc>
        <w:tc>
          <w:tcPr>
            <w:tcW w:w="60" w:type="dxa"/>
            <w:vAlign w:val="bottom"/>
          </w:tcPr>
          <w:p>
            <w:pPr>
              <w:spacing w:after="0"/>
              <w:rPr>
                <w:sz w:val="19"/>
                <w:szCs w:val="19"/>
                <w:color w:val="auto"/>
              </w:rPr>
            </w:pPr>
          </w:p>
        </w:tc>
      </w:tr>
      <w:tr>
        <w:trPr>
          <w:trHeight w:val="230"/>
        </w:trPr>
        <w:tc>
          <w:tcPr>
            <w:tcW w:w="73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Thereafter</w:t>
            </w:r>
          </w:p>
        </w:tc>
        <w:tc>
          <w:tcPr>
            <w:tcW w:w="20" w:type="dxa"/>
            <w:vAlign w:val="bottom"/>
            <w:tcBorders>
              <w:bottom w:val="single" w:sz="8" w:color="CCEEFF"/>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14,588</w:t>
            </w:r>
          </w:p>
        </w:tc>
        <w:tc>
          <w:tcPr>
            <w:tcW w:w="60" w:type="dxa"/>
            <w:vAlign w:val="bottom"/>
          </w:tcPr>
          <w:p>
            <w:pPr>
              <w:spacing w:after="0"/>
              <w:rPr>
                <w:sz w:val="19"/>
                <w:szCs w:val="19"/>
                <w:color w:val="auto"/>
              </w:rPr>
            </w:pPr>
          </w:p>
        </w:tc>
      </w:tr>
      <w:tr>
        <w:trPr>
          <w:trHeight w:val="223"/>
        </w:trPr>
        <w:tc>
          <w:tcPr>
            <w:tcW w:w="73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future minimum lease payments</w:t>
            </w:r>
          </w:p>
        </w:tc>
        <w:tc>
          <w:tcPr>
            <w:tcW w:w="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5,116,045</w:t>
            </w:r>
          </w:p>
        </w:tc>
        <w:tc>
          <w:tcPr>
            <w:tcW w:w="60" w:type="dxa"/>
            <w:vAlign w:val="bottom"/>
          </w:tcPr>
          <w:p>
            <w:pPr>
              <w:spacing w:after="0"/>
              <w:rPr>
                <w:sz w:val="19"/>
                <w:szCs w:val="19"/>
                <w:color w:val="auto"/>
              </w:rPr>
            </w:pPr>
          </w:p>
        </w:tc>
      </w:tr>
      <w:tr>
        <w:trPr>
          <w:trHeight w:val="230"/>
        </w:trPr>
        <w:tc>
          <w:tcPr>
            <w:tcW w:w="73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imputed interest</w:t>
            </w:r>
          </w:p>
        </w:tc>
        <w:tc>
          <w:tcPr>
            <w:tcW w:w="20" w:type="dxa"/>
            <w:vAlign w:val="bottom"/>
            <w:tcBorders>
              <w:bottom w:val="single" w:sz="8" w:color="CCEEFF"/>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(264,449)</w:t>
            </w:r>
          </w:p>
        </w:tc>
        <w:tc>
          <w:tcPr>
            <w:tcW w:w="60" w:type="dxa"/>
            <w:vAlign w:val="bottom"/>
          </w:tcPr>
          <w:p>
            <w:pPr>
              <w:spacing w:after="0"/>
              <w:rPr>
                <w:sz w:val="19"/>
                <w:szCs w:val="19"/>
                <w:color w:val="auto"/>
              </w:rPr>
            </w:pPr>
          </w:p>
        </w:tc>
      </w:tr>
      <w:tr>
        <w:trPr>
          <w:trHeight w:val="248"/>
        </w:trPr>
        <w:tc>
          <w:tcPr>
            <w:tcW w:w="73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ind w:right="630"/>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4,851,596</w:t>
            </w:r>
          </w:p>
        </w:tc>
        <w:tc>
          <w:tcPr>
            <w:tcW w:w="60" w:type="dxa"/>
            <w:vAlign w:val="bottom"/>
          </w:tcPr>
          <w:p>
            <w:pPr>
              <w:spacing w:after="0"/>
              <w:rPr>
                <w:sz w:val="21"/>
                <w:szCs w:val="21"/>
                <w:color w:val="auto"/>
              </w:rPr>
            </w:pPr>
          </w:p>
        </w:tc>
      </w:tr>
      <w:tr>
        <w:trPr>
          <w:trHeight w:val="20"/>
        </w:trPr>
        <w:tc>
          <w:tcPr>
            <w:tcW w:w="73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39"/>
        </w:trPr>
        <w:tc>
          <w:tcPr>
            <w:tcW w:w="7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02"/>
        </w:trPr>
        <w:tc>
          <w:tcPr>
            <w:tcW w:w="73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Reported as of March 31, 2025</w:t>
            </w:r>
          </w:p>
        </w:tc>
        <w:tc>
          <w:tcPr>
            <w:tcW w:w="2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spacing w:after="0"/>
              <w:rPr>
                <w:sz w:val="17"/>
                <w:szCs w:val="17"/>
                <w:color w:val="auto"/>
              </w:rPr>
            </w:pPr>
          </w:p>
        </w:tc>
        <w:tc>
          <w:tcPr>
            <w:tcW w:w="1600" w:type="dxa"/>
            <w:vAlign w:val="bottom"/>
            <w:tcBorders>
              <w:bottom w:val="single" w:sz="8" w:color="auto"/>
            </w:tcBorders>
            <w:shd w:val="clear" w:color="auto" w:fill="CCEEFF"/>
          </w:tcPr>
          <w:p>
            <w:pPr>
              <w:spacing w:after="0"/>
              <w:rPr>
                <w:sz w:val="17"/>
                <w:szCs w:val="17"/>
                <w:color w:val="auto"/>
              </w:rPr>
            </w:pPr>
          </w:p>
        </w:tc>
        <w:tc>
          <w:tcPr>
            <w:tcW w:w="60" w:type="dxa"/>
            <w:vAlign w:val="bottom"/>
            <w:tcBorders>
              <w:bottom w:val="single" w:sz="8" w:color="auto"/>
            </w:tcBorders>
            <w:shd w:val="clear" w:color="auto" w:fill="CCEEFF"/>
          </w:tcPr>
          <w:p>
            <w:pPr>
              <w:spacing w:after="0"/>
              <w:rPr>
                <w:sz w:val="17"/>
                <w:szCs w:val="17"/>
                <w:color w:val="auto"/>
              </w:rPr>
            </w:pPr>
          </w:p>
        </w:tc>
      </w:tr>
      <w:tr>
        <w:trPr>
          <w:trHeight w:val="251"/>
        </w:trPr>
        <w:tc>
          <w:tcPr>
            <w:tcW w:w="73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30"/>
        </w:trPr>
        <w:tc>
          <w:tcPr>
            <w:tcW w:w="7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Liabilities</w:t>
            </w:r>
          </w:p>
        </w:tc>
        <w:tc>
          <w:tcPr>
            <w:tcW w:w="860" w:type="dxa"/>
            <w:vAlign w:val="bottom"/>
            <w:gridSpan w:val="2"/>
            <w:shd w:val="clear" w:color="auto" w:fill="CCEEFF"/>
          </w:tcPr>
          <w:p>
            <w:pPr>
              <w:jc w:val="right"/>
              <w:ind w:right="650"/>
              <w:spacing w:after="0"/>
              <w:rPr>
                <w:sz w:val="20"/>
                <w:szCs w:val="20"/>
                <w:color w:val="auto"/>
              </w:rPr>
            </w:pPr>
            <w:r>
              <w:rPr>
                <w:rFonts w:ascii="Arial" w:cs="Arial" w:eastAsia="Arial" w:hAnsi="Arial"/>
                <w:sz w:val="18"/>
                <w:szCs w:val="18"/>
                <w:color w:val="auto"/>
                <w:w w:val="99"/>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2,054,304</w:t>
            </w:r>
          </w:p>
        </w:tc>
        <w:tc>
          <w:tcPr>
            <w:tcW w:w="60" w:type="dxa"/>
            <w:vAlign w:val="bottom"/>
            <w:shd w:val="clear" w:color="auto" w:fill="CCEEFF"/>
          </w:tcPr>
          <w:p>
            <w:pPr>
              <w:spacing w:after="0"/>
              <w:rPr>
                <w:sz w:val="19"/>
                <w:szCs w:val="19"/>
                <w:color w:val="auto"/>
              </w:rPr>
            </w:pPr>
          </w:p>
        </w:tc>
      </w:tr>
      <w:tr>
        <w:trPr>
          <w:trHeight w:val="230"/>
        </w:trPr>
        <w:tc>
          <w:tcPr>
            <w:tcW w:w="73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Non-Current Liabilities</w:t>
            </w:r>
          </w:p>
        </w:tc>
        <w:tc>
          <w:tcPr>
            <w:tcW w:w="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2,797,292</w:t>
            </w:r>
          </w:p>
        </w:tc>
        <w:tc>
          <w:tcPr>
            <w:tcW w:w="60" w:type="dxa"/>
            <w:vAlign w:val="bottom"/>
            <w:tcBorders>
              <w:bottom w:val="single" w:sz="8" w:color="auto"/>
            </w:tcBorders>
          </w:tcPr>
          <w:p>
            <w:pPr>
              <w:spacing w:after="0"/>
              <w:rPr>
                <w:sz w:val="19"/>
                <w:szCs w:val="19"/>
                <w:color w:val="auto"/>
              </w:rPr>
            </w:pPr>
          </w:p>
        </w:tc>
      </w:tr>
      <w:tr>
        <w:trPr>
          <w:trHeight w:val="248"/>
        </w:trPr>
        <w:tc>
          <w:tcPr>
            <w:tcW w:w="73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w:t>
            </w:r>
          </w:p>
        </w:tc>
        <w:tc>
          <w:tcPr>
            <w:tcW w:w="860" w:type="dxa"/>
            <w:vAlign w:val="bottom"/>
            <w:tcBorders>
              <w:bottom w:val="single" w:sz="8" w:color="auto"/>
            </w:tcBorders>
            <w:gridSpan w:val="2"/>
            <w:shd w:val="clear" w:color="auto" w:fill="CCEEFF"/>
          </w:tcPr>
          <w:p>
            <w:pPr>
              <w:jc w:val="right"/>
              <w:ind w:right="650"/>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4,851,596</w:t>
            </w:r>
          </w:p>
        </w:tc>
        <w:tc>
          <w:tcPr>
            <w:tcW w:w="60" w:type="dxa"/>
            <w:vAlign w:val="bottom"/>
            <w:tcBorders>
              <w:bottom w:val="single" w:sz="8" w:color="auto"/>
            </w:tcBorders>
            <w:shd w:val="clear" w:color="auto" w:fill="CCEEFF"/>
          </w:tcPr>
          <w:p>
            <w:pPr>
              <w:spacing w:after="0"/>
              <w:rPr>
                <w:sz w:val="21"/>
                <w:szCs w:val="21"/>
                <w:color w:val="auto"/>
              </w:rPr>
            </w:pPr>
          </w:p>
        </w:tc>
      </w:tr>
      <w:tr>
        <w:trPr>
          <w:trHeight w:val="20"/>
        </w:trPr>
        <w:tc>
          <w:tcPr>
            <w:tcW w:w="73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23" w:name="page24"/>
    <w:bookmarkEnd w:id="23"/>
    <w:p>
      <w:pPr>
        <w:jc w:val="center"/>
        <w:spacing w:after="0"/>
        <w:rPr>
          <w:sz w:val="20"/>
          <w:szCs w:val="20"/>
          <w:color w:val="auto"/>
        </w:rPr>
      </w:pPr>
      <w:r>
        <w:rPr>
          <w:rFonts w:ascii="Arial" w:cs="Arial" w:eastAsia="Arial" w:hAnsi="Arial"/>
          <w:sz w:val="18"/>
          <w:szCs w:val="18"/>
          <w:b w:val="1"/>
          <w:bCs w:val="1"/>
          <w:u w:val="single" w:color="auto"/>
          <w:color w:val="auto"/>
        </w:rPr>
        <w:t>GENTEX CORPORATION AND SUBSIDIARIES</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520" w:hanging="512"/>
        <w:spacing w:after="0"/>
        <w:tabs>
          <w:tab w:leader="none" w:pos="5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Acquisitions</w:t>
      </w:r>
    </w:p>
    <w:p>
      <w:pPr>
        <w:spacing w:after="0" w:line="252" w:lineRule="exact"/>
        <w:rPr>
          <w:sz w:val="20"/>
          <w:szCs w:val="20"/>
          <w:color w:val="auto"/>
        </w:rPr>
      </w:pPr>
    </w:p>
    <w:p>
      <w:pPr>
        <w:jc w:val="both"/>
        <w:ind w:left="660"/>
        <w:spacing w:after="0" w:line="262" w:lineRule="auto"/>
        <w:rPr>
          <w:sz w:val="20"/>
          <w:szCs w:val="20"/>
          <w:color w:val="auto"/>
        </w:rPr>
      </w:pPr>
      <w:r>
        <w:rPr>
          <w:rFonts w:ascii="Arial" w:cs="Arial" w:eastAsia="Arial" w:hAnsi="Arial"/>
          <w:sz w:val="18"/>
          <w:szCs w:val="18"/>
          <w:color w:val="auto"/>
        </w:rPr>
        <w:t>Subsequent to March 31, 2025, on April 1, 2025, the Company completed its previously announced merger of VOXX pursuant to that certain Agreement and Plan of Merger dated as of December 17, 2024 (the "Merger Agreement"). Pursuant to the terms and conditions set forth in the Merger Agreement, the Company acquired all of the issued and outstanding shares of VOXX common stock not already owned by the Company for a purchase price of $7.50 per share.</w:t>
      </w:r>
    </w:p>
    <w:p>
      <w:pPr>
        <w:spacing w:after="0" w:line="203" w:lineRule="exact"/>
        <w:rPr>
          <w:sz w:val="20"/>
          <w:szCs w:val="20"/>
          <w:color w:val="auto"/>
        </w:rPr>
      </w:pPr>
    </w:p>
    <w:p>
      <w:pPr>
        <w:jc w:val="both"/>
        <w:ind w:left="660"/>
        <w:spacing w:after="0" w:line="257" w:lineRule="auto"/>
        <w:rPr>
          <w:sz w:val="20"/>
          <w:szCs w:val="20"/>
          <w:color w:val="auto"/>
        </w:rPr>
      </w:pPr>
      <w:r>
        <w:rPr>
          <w:rFonts w:ascii="Arial" w:cs="Arial" w:eastAsia="Arial" w:hAnsi="Arial"/>
          <w:sz w:val="18"/>
          <w:szCs w:val="18"/>
          <w:color w:val="auto"/>
        </w:rPr>
        <w:t>Due to the proximity of the closing date of the VOXX merger with the date of filing of this Quarterly Report on Form 10-Q, the initial accounting for the transaction is not yet completed. Significant, relevant information needed to complete the initial accounting, including the identification and measurement of the fair value of the assets and liabilities of VOXX, is pending. As a result, it is not practicable to disclose the preliminary allocation of the purchase price to assets acquired and liabilities assumed, or to provide other related disclosures. The accounting impact of this merger and the operating results of VOXX will be included in the consolidated financial statements beginning in the Company's second quarter of 2025.</w:t>
      </w:r>
    </w:p>
    <w:p>
      <w:pPr>
        <w:spacing w:after="0" w:line="209" w:lineRule="exact"/>
        <w:rPr>
          <w:sz w:val="20"/>
          <w:szCs w:val="20"/>
          <w:color w:val="auto"/>
        </w:rPr>
      </w:pPr>
    </w:p>
    <w:p>
      <w:pPr>
        <w:jc w:val="both"/>
        <w:ind w:left="660"/>
        <w:spacing w:after="0" w:line="244" w:lineRule="auto"/>
        <w:rPr>
          <w:sz w:val="20"/>
          <w:szCs w:val="20"/>
          <w:color w:val="auto"/>
        </w:rPr>
      </w:pPr>
      <w:r>
        <w:rPr>
          <w:rFonts w:ascii="Arial" w:cs="Arial" w:eastAsia="Arial" w:hAnsi="Arial"/>
          <w:sz w:val="18"/>
          <w:szCs w:val="18"/>
          <w:color w:val="auto"/>
        </w:rPr>
        <w:t>VOXX's current business is comprised of products for the automotive OEM and aftermarket, as well as the consumer electronics industry. The merger also includes EyeLock LLC ("EyeLock®"), a subsidiary of VOXX holding iris biometric technology, and the Premium Audio Company, which provides premium audio solutions through world-renowned brands such as Klipsch</w:t>
      </w:r>
      <w:r>
        <w:rPr>
          <w:rFonts w:ascii="Arial" w:cs="Arial" w:eastAsia="Arial" w:hAnsi="Arial"/>
          <w:sz w:val="23"/>
          <w:szCs w:val="23"/>
          <w:color w:val="auto"/>
          <w:vertAlign w:val="superscript"/>
        </w:rPr>
        <w:t>®</w:t>
      </w:r>
      <w:r>
        <w:rPr>
          <w:rFonts w:ascii="Arial" w:cs="Arial" w:eastAsia="Arial" w:hAnsi="Arial"/>
          <w:sz w:val="18"/>
          <w:szCs w:val="18"/>
          <w:color w:val="auto"/>
        </w:rPr>
        <w:t>, Onkyo</w:t>
      </w:r>
      <w:r>
        <w:rPr>
          <w:rFonts w:ascii="Arial" w:cs="Arial" w:eastAsia="Arial" w:hAnsi="Arial"/>
          <w:sz w:val="23"/>
          <w:szCs w:val="23"/>
          <w:color w:val="auto"/>
          <w:vertAlign w:val="superscript"/>
        </w:rPr>
        <w:t>®</w:t>
      </w:r>
      <w:r>
        <w:rPr>
          <w:rFonts w:ascii="Arial" w:cs="Arial" w:eastAsia="Arial" w:hAnsi="Arial"/>
          <w:sz w:val="18"/>
          <w:szCs w:val="18"/>
          <w:color w:val="auto"/>
        </w:rPr>
        <w:t>, and Integra</w:t>
      </w:r>
      <w:r>
        <w:rPr>
          <w:rFonts w:ascii="Arial" w:cs="Arial" w:eastAsia="Arial" w:hAnsi="Arial"/>
          <w:sz w:val="23"/>
          <w:szCs w:val="23"/>
          <w:color w:val="auto"/>
          <w:vertAlign w:val="superscript"/>
        </w:rPr>
        <w:t>®</w:t>
      </w:r>
      <w:r>
        <w:rPr>
          <w:rFonts w:ascii="Arial" w:cs="Arial" w:eastAsia="Arial" w:hAnsi="Arial"/>
          <w:sz w:val="18"/>
          <w:szCs w:val="18"/>
          <w:color w:val="auto"/>
        </w:rPr>
        <w:t>.</w:t>
      </w:r>
    </w:p>
    <w:p>
      <w:pPr>
        <w:spacing w:after="0" w:line="148" w:lineRule="exact"/>
        <w:rPr>
          <w:sz w:val="20"/>
          <w:szCs w:val="20"/>
          <w:color w:val="auto"/>
        </w:rPr>
      </w:pPr>
    </w:p>
    <w:p>
      <w:pPr>
        <w:jc w:val="both"/>
        <w:ind w:left="660"/>
        <w:spacing w:after="0" w:line="268" w:lineRule="auto"/>
        <w:rPr>
          <w:sz w:val="20"/>
          <w:szCs w:val="20"/>
          <w:color w:val="auto"/>
        </w:rPr>
      </w:pPr>
      <w:r>
        <w:rPr>
          <w:rFonts w:ascii="Arial" w:cs="Arial" w:eastAsia="Arial" w:hAnsi="Arial"/>
          <w:sz w:val="18"/>
          <w:szCs w:val="18"/>
          <w:color w:val="auto"/>
        </w:rPr>
        <w:t>During the three months ended March 31, 2025, the Company incurred $0.9 million in acquisition costs related to the VOXX merger, which has been expensed as incurred in the "Selling, general &amp; administrative" section of its Unaudited Condensed Consolidated Statement of Income.</w:t>
      </w:r>
    </w:p>
    <w:p>
      <w:pPr>
        <w:spacing w:after="0" w:line="198" w:lineRule="exact"/>
        <w:rPr>
          <w:sz w:val="20"/>
          <w:szCs w:val="20"/>
          <w:color w:val="auto"/>
        </w:rPr>
      </w:pPr>
    </w:p>
    <w:p>
      <w:pPr>
        <w:jc w:val="both"/>
        <w:ind w:left="660"/>
        <w:spacing w:after="0" w:line="255" w:lineRule="auto"/>
        <w:rPr>
          <w:sz w:val="20"/>
          <w:szCs w:val="20"/>
          <w:color w:val="auto"/>
        </w:rPr>
      </w:pPr>
      <w:r>
        <w:rPr>
          <w:rFonts w:ascii="Arial" w:cs="Arial" w:eastAsia="Arial" w:hAnsi="Arial"/>
          <w:sz w:val="18"/>
          <w:szCs w:val="18"/>
          <w:color w:val="auto"/>
        </w:rPr>
        <w:t xml:space="preserve">In November 2024, the Company acquired GalvanEyes LLC, ("GalvanEyes") which is the managing partner and 50% owner of the BioCenturion joint venture with Eyelock®. The Company paid $2.9 million in cash, as well as an earnout over the next fifteen calendar years, not to exceed $15 million in the aggregate, for which the acquisition date fair value is estimated at $1.5 million. The earnout is based on adjusted earnings before interest and taxes. The Company has accounted for the acquisition under the provisions of FASB ASC Topic 805, </w:t>
      </w:r>
      <w:r>
        <w:rPr>
          <w:rFonts w:ascii="Arial" w:cs="Arial" w:eastAsia="Arial" w:hAnsi="Arial"/>
          <w:sz w:val="18"/>
          <w:szCs w:val="18"/>
          <w:i w:val="1"/>
          <w:iCs w:val="1"/>
          <w:color w:val="auto"/>
        </w:rPr>
        <w:t>Business Combinations</w:t>
      </w:r>
      <w:r>
        <w:rPr>
          <w:rFonts w:ascii="Arial" w:cs="Arial" w:eastAsia="Arial" w:hAnsi="Arial"/>
          <w:sz w:val="18"/>
          <w:szCs w:val="18"/>
          <w:color w:val="auto"/>
        </w:rPr>
        <w:t>. The Company is still in the process of verifying data and finalizing information related to the valuation and recording of identifiable intangible assets, net working capital, contingent liabilities, noncontrolling interest, and the resulting effects on the amount of recorded goodwill. The Company expects to finalize these matters within the measurement period, which is currently expected to remain open through the third quarter of 2025. The Company has consolidated GalvanEyes, and the joint venture BioCenturion, in the Company's Consolidated Balance Sheets as of March 31, 2025</w:t>
      </w:r>
    </w:p>
    <w:p>
      <w:pPr>
        <w:spacing w:after="0" w:line="5" w:lineRule="exact"/>
        <w:rPr>
          <w:sz w:val="20"/>
          <w:szCs w:val="20"/>
          <w:color w:val="auto"/>
        </w:rPr>
      </w:pPr>
    </w:p>
    <w:p>
      <w:pPr>
        <w:jc w:val="both"/>
        <w:ind w:left="660"/>
        <w:spacing w:after="0" w:line="262" w:lineRule="auto"/>
        <w:rPr>
          <w:sz w:val="20"/>
          <w:szCs w:val="20"/>
          <w:color w:val="auto"/>
        </w:rPr>
      </w:pPr>
      <w:r>
        <w:rPr>
          <w:rFonts w:ascii="Arial" w:cs="Arial" w:eastAsia="Arial" w:hAnsi="Arial"/>
          <w:sz w:val="18"/>
          <w:szCs w:val="18"/>
          <w:color w:val="auto"/>
        </w:rPr>
        <w:t xml:space="preserve">and December 31, 2024 in accordance with ASC 810, </w:t>
      </w:r>
      <w:r>
        <w:rPr>
          <w:rFonts w:ascii="Arial" w:cs="Arial" w:eastAsia="Arial" w:hAnsi="Arial"/>
          <w:sz w:val="18"/>
          <w:szCs w:val="18"/>
          <w:i w:val="1"/>
          <w:iCs w:val="1"/>
          <w:color w:val="auto"/>
        </w:rPr>
        <w:t>Consolidation.</w:t>
      </w:r>
      <w:r>
        <w:rPr>
          <w:rFonts w:ascii="Arial" w:cs="Arial" w:eastAsia="Arial" w:hAnsi="Arial"/>
          <w:sz w:val="18"/>
          <w:szCs w:val="18"/>
          <w:color w:val="auto"/>
        </w:rPr>
        <w:t xml:space="preserve"> At March 31, 2025 and December 31, 2024, the Company had $4.6 million and $4.1 million, respectively, in noncontrolling interest related to BioCenturion. Approximately $0.9 million of revenue and $1.1 million of net loss of the business of GalvanEyes and BioCenturion is included in the Company's Unaudited Condensed Consolidated Statements of Income and Comprehensive Income for the three months ended March 31, 2025.</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00" w:lineRule="exact"/>
        <w:rPr>
          <w:sz w:val="20"/>
          <w:szCs w:val="20"/>
          <w:color w:val="auto"/>
        </w:rPr>
      </w:pPr>
    </w:p>
    <w:p>
      <w:pPr>
        <w:spacing w:after="0" w:line="390" w:lineRule="exact"/>
        <w:rPr>
          <w:sz w:val="20"/>
          <w:szCs w:val="20"/>
          <w:color w:val="auto"/>
        </w:rPr>
      </w:pPr>
    </w:p>
    <w:p>
      <w:pPr>
        <w:ind w:left="660"/>
        <w:spacing w:after="0"/>
        <w:rPr>
          <w:sz w:val="20"/>
          <w:szCs w:val="20"/>
          <w:color w:val="auto"/>
        </w:rPr>
      </w:pPr>
      <w:r>
        <w:rPr>
          <w:rFonts w:ascii="Arial" w:cs="Arial" w:eastAsia="Arial" w:hAnsi="Arial"/>
          <w:sz w:val="18"/>
          <w:szCs w:val="18"/>
          <w:b w:val="1"/>
          <w:bCs w:val="1"/>
          <w:u w:val="single" w:color="auto"/>
          <w:color w:val="auto"/>
        </w:rPr>
        <w:t>FIRST QUARTER 2025 VERSUS FIRST QUARTER 2024</w:t>
      </w:r>
    </w:p>
    <w:p>
      <w:pPr>
        <w:spacing w:after="0" w:line="144" w:lineRule="exact"/>
        <w:rPr>
          <w:sz w:val="20"/>
          <w:szCs w:val="20"/>
          <w:color w:val="auto"/>
        </w:rPr>
      </w:pPr>
    </w:p>
    <w:p>
      <w:pPr>
        <w:ind w:left="660"/>
        <w:spacing w:after="0"/>
        <w:rPr>
          <w:sz w:val="20"/>
          <w:szCs w:val="20"/>
          <w:color w:val="auto"/>
        </w:rPr>
      </w:pPr>
      <w:r>
        <w:rPr>
          <w:rFonts w:ascii="Arial" w:cs="Arial" w:eastAsia="Arial" w:hAnsi="Arial"/>
          <w:sz w:val="18"/>
          <w:szCs w:val="18"/>
          <w:i w:val="1"/>
          <w:iCs w:val="1"/>
          <w:u w:val="single" w:color="auto"/>
          <w:color w:val="auto"/>
        </w:rPr>
        <w:t>Net Sales.</w:t>
      </w:r>
      <w:r>
        <w:rPr>
          <w:rFonts w:ascii="Arial" w:cs="Arial" w:eastAsia="Arial" w:hAnsi="Arial"/>
          <w:sz w:val="18"/>
          <w:szCs w:val="18"/>
          <w:i w:val="1"/>
          <w:iCs w:val="1"/>
          <w:color w:val="auto"/>
        </w:rPr>
        <w:t xml:space="preserve"> </w:t>
      </w:r>
      <w:r>
        <w:rPr>
          <w:rFonts w:ascii="Arial" w:cs="Arial" w:eastAsia="Arial" w:hAnsi="Arial"/>
          <w:sz w:val="18"/>
          <w:szCs w:val="18"/>
          <w:color w:val="auto"/>
        </w:rPr>
        <w:t>Net sales for the first quarter of 2025 decreased by $13.5 million or 2%, when compared with the first quarter of 2024.</w:t>
      </w:r>
    </w:p>
    <w:p>
      <w:pPr>
        <w:spacing w:after="0" w:line="158" w:lineRule="exact"/>
        <w:rPr>
          <w:sz w:val="20"/>
          <w:szCs w:val="20"/>
          <w:color w:val="auto"/>
        </w:rPr>
      </w:pPr>
    </w:p>
    <w:p>
      <w:pPr>
        <w:jc w:val="both"/>
        <w:ind w:left="660"/>
        <w:spacing w:after="0" w:line="282" w:lineRule="auto"/>
        <w:rPr>
          <w:sz w:val="20"/>
          <w:szCs w:val="20"/>
          <w:color w:val="auto"/>
        </w:rPr>
      </w:pPr>
      <w:r>
        <w:rPr>
          <w:rFonts w:ascii="Arial" w:cs="Arial" w:eastAsia="Arial" w:hAnsi="Arial"/>
          <w:sz w:val="17"/>
          <w:szCs w:val="17"/>
          <w:color w:val="auto"/>
        </w:rPr>
        <w:t>Automotive net sales for the first quarter of 2025 were $563.9 million, a 2% decrease when compared with automotive net sales of $577.6 million in the first quarter of 2024. The 7% decrease in automotive mirror unit shipments in the first quarter of 2025 to 11.5 million units, compared with 12.5 million units in the first quarter of 2024, was driven by a 5% quarter over quarter decrease in interior auto-dimming mirror unit shipments, and an 11% quarter over quarter decrease in exterior auto-dimming mirror unit shipments.</w:t>
      </w:r>
    </w:p>
    <w:p>
      <w:pPr>
        <w:spacing w:after="0" w:line="188" w:lineRule="exact"/>
        <w:rPr>
          <w:sz w:val="20"/>
          <w:szCs w:val="20"/>
          <w:color w:val="auto"/>
        </w:rPr>
      </w:pPr>
    </w:p>
    <w:p>
      <w:pPr>
        <w:ind w:left="660" w:right="380"/>
        <w:spacing w:after="0" w:line="287" w:lineRule="auto"/>
        <w:rPr>
          <w:sz w:val="20"/>
          <w:szCs w:val="20"/>
          <w:color w:val="auto"/>
        </w:rPr>
      </w:pPr>
      <w:r>
        <w:rPr>
          <w:rFonts w:ascii="Arial" w:cs="Arial" w:eastAsia="Arial" w:hAnsi="Arial"/>
          <w:sz w:val="18"/>
          <w:szCs w:val="18"/>
          <w:color w:val="auto"/>
        </w:rPr>
        <w:t xml:space="preserve">The below table represents the Company's auto-dimming mirror unit shipments for the three months ended March 31, 2025, and 2024 </w:t>
      </w:r>
      <w:r>
        <w:rPr>
          <w:rFonts w:ascii="Arial" w:cs="Arial" w:eastAsia="Arial" w:hAnsi="Arial"/>
          <w:sz w:val="18"/>
          <w:szCs w:val="18"/>
          <w:i w:val="1"/>
          <w:iCs w:val="1"/>
          <w:color w:val="auto"/>
        </w:rPr>
        <w:t>(in thousands):</w:t>
      </w:r>
    </w:p>
    <w:p>
      <w:pPr>
        <w:spacing w:after="0" w:line="136" w:lineRule="exact"/>
        <w:rPr>
          <w:sz w:val="20"/>
          <w:szCs w:val="20"/>
          <w:color w:val="auto"/>
        </w:rPr>
      </w:pPr>
    </w:p>
    <w:tbl>
      <w:tblPr>
        <w:tblLayout w:type="fixed"/>
        <w:tblInd w:w="660" w:type="dxa"/>
        <w:tblCellMar>
          <w:top w:w="0" w:type="dxa"/>
          <w:left w:w="0" w:type="dxa"/>
          <w:bottom w:w="0" w:type="dxa"/>
          <w:right w:w="0" w:type="dxa"/>
        </w:tblCellMar>
      </w:tblPr>
      <w:tr>
        <w:trPr>
          <w:trHeight w:val="197"/>
        </w:trPr>
        <w:tc>
          <w:tcPr>
            <w:tcW w:w="6460" w:type="dxa"/>
            <w:vAlign w:val="bottom"/>
          </w:tcPr>
          <w:p>
            <w:pPr>
              <w:spacing w:after="0"/>
              <w:rPr>
                <w:sz w:val="17"/>
                <w:szCs w:val="17"/>
                <w:color w:val="auto"/>
              </w:rPr>
            </w:pPr>
          </w:p>
        </w:tc>
        <w:tc>
          <w:tcPr>
            <w:tcW w:w="3360" w:type="dxa"/>
            <w:vAlign w:val="bottom"/>
            <w:tcBorders>
              <w:bottom w:val="single" w:sz="8" w:color="auto"/>
            </w:tcBorders>
            <w:gridSpan w:val="5"/>
          </w:tcPr>
          <w:p>
            <w:pPr>
              <w:ind w:left="560"/>
              <w:spacing w:after="0"/>
              <w:rPr>
                <w:sz w:val="20"/>
                <w:szCs w:val="20"/>
                <w:color w:val="auto"/>
              </w:rPr>
            </w:pPr>
            <w:r>
              <w:rPr>
                <w:rFonts w:ascii="Arial" w:cs="Arial" w:eastAsia="Arial" w:hAnsi="Arial"/>
                <w:sz w:val="14"/>
                <w:szCs w:val="14"/>
                <w:b w:val="1"/>
                <w:bCs w:val="1"/>
                <w:color w:val="auto"/>
              </w:rPr>
              <w:t>Three Months Ended March 31,</w:t>
            </w:r>
          </w:p>
        </w:tc>
      </w:tr>
      <w:tr>
        <w:trPr>
          <w:trHeight w:val="196"/>
        </w:trPr>
        <w:tc>
          <w:tcPr>
            <w:tcW w:w="6460" w:type="dxa"/>
            <w:vAlign w:val="bottom"/>
            <w:tcBorders>
              <w:bottom w:val="single" w:sz="8" w:color="CCEEFF"/>
            </w:tcBorders>
          </w:tcPr>
          <w:p>
            <w:pPr>
              <w:spacing w:after="0"/>
              <w:rPr>
                <w:sz w:val="17"/>
                <w:szCs w:val="17"/>
                <w:color w:val="auto"/>
              </w:rPr>
            </w:pPr>
          </w:p>
        </w:tc>
        <w:tc>
          <w:tcPr>
            <w:tcW w:w="102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bottom w:val="single" w:sz="8" w:color="CCEEFF"/>
            </w:tcBorders>
          </w:tcPr>
          <w:p>
            <w:pPr>
              <w:spacing w:after="0"/>
              <w:rPr>
                <w:sz w:val="17"/>
                <w:szCs w:val="17"/>
                <w:color w:val="auto"/>
              </w:rPr>
            </w:pPr>
          </w:p>
        </w:tc>
        <w:tc>
          <w:tcPr>
            <w:tcW w:w="102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bottom w:val="single" w:sz="8" w:color="CCEEFF"/>
            </w:tcBorders>
          </w:tcPr>
          <w:p>
            <w:pPr>
              <w:spacing w:after="0"/>
              <w:rPr>
                <w:sz w:val="17"/>
                <w:szCs w:val="17"/>
                <w:color w:val="auto"/>
              </w:rPr>
            </w:pPr>
          </w:p>
        </w:tc>
        <w:tc>
          <w:tcPr>
            <w:tcW w:w="112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rPr>
              <w:t>% Change</w:t>
            </w:r>
          </w:p>
        </w:tc>
      </w:tr>
      <w:tr>
        <w:trPr>
          <w:trHeight w:val="224"/>
        </w:trPr>
        <w:tc>
          <w:tcPr>
            <w:tcW w:w="6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North American Interior Mirrors</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2,249</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2,262</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center"/>
              <w:ind w:right="12"/>
              <w:spacing w:after="0"/>
              <w:rPr>
                <w:sz w:val="20"/>
                <w:szCs w:val="20"/>
                <w:color w:val="auto"/>
              </w:rPr>
            </w:pPr>
            <w:r>
              <w:rPr>
                <w:rFonts w:ascii="Arial" w:cs="Arial" w:eastAsia="Arial" w:hAnsi="Arial"/>
                <w:sz w:val="18"/>
                <w:szCs w:val="18"/>
                <w:color w:val="auto"/>
                <w:w w:val="99"/>
              </w:rPr>
              <w:t>(1)%</w:t>
            </w:r>
          </w:p>
        </w:tc>
      </w:tr>
      <w:tr>
        <w:trPr>
          <w:trHeight w:val="229"/>
        </w:trPr>
        <w:tc>
          <w:tcPr>
            <w:tcW w:w="64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North American Exterior Mirrors</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1,370</w:t>
            </w:r>
          </w:p>
        </w:tc>
        <w:tc>
          <w:tcPr>
            <w:tcW w:w="100" w:type="dxa"/>
            <w:vAlign w:val="bottom"/>
            <w:tcBorders>
              <w:bottom w:val="single" w:sz="8" w:color="CCEEFF"/>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1,621</w:t>
            </w:r>
          </w:p>
        </w:tc>
        <w:tc>
          <w:tcPr>
            <w:tcW w:w="100" w:type="dxa"/>
            <w:vAlign w:val="bottom"/>
            <w:tcBorders>
              <w:bottom w:val="single" w:sz="8" w:color="CCEEFF"/>
            </w:tcBorders>
          </w:tcPr>
          <w:p>
            <w:pPr>
              <w:spacing w:after="0"/>
              <w:rPr>
                <w:sz w:val="19"/>
                <w:szCs w:val="19"/>
                <w:color w:val="auto"/>
              </w:rPr>
            </w:pPr>
          </w:p>
        </w:tc>
        <w:tc>
          <w:tcPr>
            <w:tcW w:w="1120" w:type="dxa"/>
            <w:vAlign w:val="bottom"/>
            <w:tcBorders>
              <w:bottom w:val="single" w:sz="8" w:color="auto"/>
            </w:tcBorders>
          </w:tcPr>
          <w:p>
            <w:pPr>
              <w:jc w:val="center"/>
              <w:ind w:right="32"/>
              <w:spacing w:after="0"/>
              <w:rPr>
                <w:sz w:val="20"/>
                <w:szCs w:val="20"/>
                <w:color w:val="auto"/>
              </w:rPr>
            </w:pPr>
            <w:r>
              <w:rPr>
                <w:rFonts w:ascii="Arial" w:cs="Arial" w:eastAsia="Arial" w:hAnsi="Arial"/>
                <w:sz w:val="18"/>
                <w:szCs w:val="18"/>
                <w:color w:val="auto"/>
                <w:w w:val="99"/>
              </w:rPr>
              <w:t>(15)%</w:t>
            </w:r>
          </w:p>
        </w:tc>
      </w:tr>
      <w:tr>
        <w:trPr>
          <w:trHeight w:val="223"/>
        </w:trPr>
        <w:tc>
          <w:tcPr>
            <w:tcW w:w="6460" w:type="dxa"/>
            <w:vAlign w:val="bottom"/>
            <w:shd w:val="clear" w:color="auto" w:fill="CCEEFF"/>
          </w:tcPr>
          <w:p>
            <w:pPr>
              <w:jc w:val="right"/>
              <w:ind w:right="3490"/>
              <w:spacing w:after="0"/>
              <w:rPr>
                <w:sz w:val="20"/>
                <w:szCs w:val="20"/>
                <w:color w:val="auto"/>
              </w:rPr>
            </w:pPr>
            <w:r>
              <w:rPr>
                <w:rFonts w:ascii="Arial" w:cs="Arial" w:eastAsia="Arial" w:hAnsi="Arial"/>
                <w:sz w:val="18"/>
                <w:szCs w:val="18"/>
                <w:color w:val="auto"/>
              </w:rPr>
              <w:t>Total North American Mirror Units</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3,619</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3,883</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center"/>
              <w:ind w:right="12"/>
              <w:spacing w:after="0"/>
              <w:rPr>
                <w:sz w:val="20"/>
                <w:szCs w:val="20"/>
                <w:color w:val="auto"/>
              </w:rPr>
            </w:pPr>
            <w:r>
              <w:rPr>
                <w:rFonts w:ascii="Arial" w:cs="Arial" w:eastAsia="Arial" w:hAnsi="Arial"/>
                <w:sz w:val="18"/>
                <w:szCs w:val="18"/>
                <w:color w:val="auto"/>
                <w:w w:val="99"/>
              </w:rPr>
              <w:t>(7)%</w:t>
            </w:r>
          </w:p>
        </w:tc>
      </w:tr>
      <w:tr>
        <w:trPr>
          <w:trHeight w:val="270"/>
        </w:trPr>
        <w:tc>
          <w:tcPr>
            <w:tcW w:w="646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20" w:type="dxa"/>
            <w:vAlign w:val="bottom"/>
          </w:tcPr>
          <w:p>
            <w:pPr>
              <w:spacing w:after="0"/>
              <w:rPr>
                <w:sz w:val="23"/>
                <w:szCs w:val="23"/>
                <w:color w:val="auto"/>
              </w:rPr>
            </w:pPr>
          </w:p>
        </w:tc>
      </w:tr>
      <w:tr>
        <w:trPr>
          <w:trHeight w:val="229"/>
        </w:trPr>
        <w:tc>
          <w:tcPr>
            <w:tcW w:w="6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International Interior Mirrors</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5,140</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5,554</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center"/>
              <w:ind w:right="12"/>
              <w:spacing w:after="0"/>
              <w:rPr>
                <w:sz w:val="20"/>
                <w:szCs w:val="20"/>
                <w:color w:val="auto"/>
              </w:rPr>
            </w:pPr>
            <w:r>
              <w:rPr>
                <w:rFonts w:ascii="Arial" w:cs="Arial" w:eastAsia="Arial" w:hAnsi="Arial"/>
                <w:sz w:val="18"/>
                <w:szCs w:val="18"/>
                <w:color w:val="auto"/>
                <w:w w:val="99"/>
              </w:rPr>
              <w:t>(7)%</w:t>
            </w:r>
          </w:p>
        </w:tc>
      </w:tr>
      <w:tr>
        <w:trPr>
          <w:trHeight w:val="229"/>
        </w:trPr>
        <w:tc>
          <w:tcPr>
            <w:tcW w:w="64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International Exterior Mirrors</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2,783</w:t>
            </w:r>
          </w:p>
        </w:tc>
        <w:tc>
          <w:tcPr>
            <w:tcW w:w="100" w:type="dxa"/>
            <w:vAlign w:val="bottom"/>
            <w:tcBorders>
              <w:bottom w:val="single" w:sz="8" w:color="CCEEFF"/>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3,034</w:t>
            </w:r>
          </w:p>
        </w:tc>
        <w:tc>
          <w:tcPr>
            <w:tcW w:w="100" w:type="dxa"/>
            <w:vAlign w:val="bottom"/>
            <w:tcBorders>
              <w:bottom w:val="single" w:sz="8" w:color="CCEEFF"/>
            </w:tcBorders>
          </w:tcPr>
          <w:p>
            <w:pPr>
              <w:spacing w:after="0"/>
              <w:rPr>
                <w:sz w:val="19"/>
                <w:szCs w:val="19"/>
                <w:color w:val="auto"/>
              </w:rPr>
            </w:pPr>
          </w:p>
        </w:tc>
        <w:tc>
          <w:tcPr>
            <w:tcW w:w="1120" w:type="dxa"/>
            <w:vAlign w:val="bottom"/>
            <w:tcBorders>
              <w:bottom w:val="single" w:sz="8" w:color="auto"/>
            </w:tcBorders>
          </w:tcPr>
          <w:p>
            <w:pPr>
              <w:jc w:val="center"/>
              <w:ind w:right="12"/>
              <w:spacing w:after="0"/>
              <w:rPr>
                <w:sz w:val="20"/>
                <w:szCs w:val="20"/>
                <w:color w:val="auto"/>
              </w:rPr>
            </w:pPr>
            <w:r>
              <w:rPr>
                <w:rFonts w:ascii="Arial" w:cs="Arial" w:eastAsia="Arial" w:hAnsi="Arial"/>
                <w:sz w:val="18"/>
                <w:szCs w:val="18"/>
                <w:color w:val="auto"/>
                <w:w w:val="99"/>
              </w:rPr>
              <w:t>(8)%</w:t>
            </w:r>
          </w:p>
        </w:tc>
      </w:tr>
      <w:tr>
        <w:trPr>
          <w:trHeight w:val="223"/>
        </w:trPr>
        <w:tc>
          <w:tcPr>
            <w:tcW w:w="64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Total International Mirror Units</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7,923</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8,588</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center"/>
              <w:ind w:right="12"/>
              <w:spacing w:after="0"/>
              <w:rPr>
                <w:sz w:val="20"/>
                <w:szCs w:val="20"/>
                <w:color w:val="auto"/>
              </w:rPr>
            </w:pPr>
            <w:r>
              <w:rPr>
                <w:rFonts w:ascii="Arial" w:cs="Arial" w:eastAsia="Arial" w:hAnsi="Arial"/>
                <w:sz w:val="18"/>
                <w:szCs w:val="18"/>
                <w:color w:val="auto"/>
                <w:w w:val="99"/>
              </w:rPr>
              <w:t>(8)%</w:t>
            </w:r>
          </w:p>
        </w:tc>
      </w:tr>
      <w:tr>
        <w:trPr>
          <w:trHeight w:val="270"/>
        </w:trPr>
        <w:tc>
          <w:tcPr>
            <w:tcW w:w="646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20" w:type="dxa"/>
            <w:vAlign w:val="bottom"/>
          </w:tcPr>
          <w:p>
            <w:pPr>
              <w:spacing w:after="0"/>
              <w:rPr>
                <w:sz w:val="23"/>
                <w:szCs w:val="23"/>
                <w:color w:val="auto"/>
              </w:rPr>
            </w:pPr>
          </w:p>
        </w:tc>
      </w:tr>
      <w:tr>
        <w:trPr>
          <w:trHeight w:val="229"/>
        </w:trPr>
        <w:tc>
          <w:tcPr>
            <w:tcW w:w="6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Interior Mirrors</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7,389</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7,816</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center"/>
              <w:ind w:right="12"/>
              <w:spacing w:after="0"/>
              <w:rPr>
                <w:sz w:val="20"/>
                <w:szCs w:val="20"/>
                <w:color w:val="auto"/>
              </w:rPr>
            </w:pPr>
            <w:r>
              <w:rPr>
                <w:rFonts w:ascii="Arial" w:cs="Arial" w:eastAsia="Arial" w:hAnsi="Arial"/>
                <w:sz w:val="18"/>
                <w:szCs w:val="18"/>
                <w:color w:val="auto"/>
                <w:w w:val="99"/>
              </w:rPr>
              <w:t>(5)%</w:t>
            </w:r>
          </w:p>
        </w:tc>
      </w:tr>
      <w:tr>
        <w:trPr>
          <w:trHeight w:val="230"/>
        </w:trPr>
        <w:tc>
          <w:tcPr>
            <w:tcW w:w="64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Exterior Mirrors</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4,153</w:t>
            </w:r>
          </w:p>
        </w:tc>
        <w:tc>
          <w:tcPr>
            <w:tcW w:w="100" w:type="dxa"/>
            <w:vAlign w:val="bottom"/>
            <w:tcBorders>
              <w:bottom w:val="single" w:sz="8" w:color="CCEEFF"/>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4,655</w:t>
            </w:r>
          </w:p>
        </w:tc>
        <w:tc>
          <w:tcPr>
            <w:tcW w:w="100" w:type="dxa"/>
            <w:vAlign w:val="bottom"/>
            <w:tcBorders>
              <w:bottom w:val="single" w:sz="8" w:color="CCEEFF"/>
            </w:tcBorders>
          </w:tcPr>
          <w:p>
            <w:pPr>
              <w:spacing w:after="0"/>
              <w:rPr>
                <w:sz w:val="19"/>
                <w:szCs w:val="19"/>
                <w:color w:val="auto"/>
              </w:rPr>
            </w:pPr>
          </w:p>
        </w:tc>
        <w:tc>
          <w:tcPr>
            <w:tcW w:w="1120" w:type="dxa"/>
            <w:vAlign w:val="bottom"/>
            <w:tcBorders>
              <w:bottom w:val="single" w:sz="8" w:color="auto"/>
            </w:tcBorders>
          </w:tcPr>
          <w:p>
            <w:pPr>
              <w:jc w:val="center"/>
              <w:ind w:right="12"/>
              <w:spacing w:after="0"/>
              <w:rPr>
                <w:sz w:val="20"/>
                <w:szCs w:val="20"/>
                <w:color w:val="auto"/>
              </w:rPr>
            </w:pPr>
            <w:r>
              <w:rPr>
                <w:rFonts w:ascii="Arial" w:cs="Arial" w:eastAsia="Arial" w:hAnsi="Arial"/>
                <w:sz w:val="18"/>
                <w:szCs w:val="18"/>
                <w:color w:val="auto"/>
                <w:w w:val="95"/>
              </w:rPr>
              <w:t>(11)%</w:t>
            </w:r>
          </w:p>
        </w:tc>
      </w:tr>
      <w:tr>
        <w:trPr>
          <w:trHeight w:val="248"/>
        </w:trPr>
        <w:tc>
          <w:tcPr>
            <w:tcW w:w="6460" w:type="dxa"/>
            <w:vAlign w:val="bottom"/>
            <w:tcBorders>
              <w:bottom w:val="single" w:sz="8" w:color="CCEEFF"/>
            </w:tcBorders>
            <w:shd w:val="clear" w:color="auto" w:fill="CCEEFF"/>
          </w:tcPr>
          <w:p>
            <w:pPr>
              <w:jc w:val="right"/>
              <w:ind w:right="3490"/>
              <w:spacing w:after="0"/>
              <w:rPr>
                <w:sz w:val="20"/>
                <w:szCs w:val="20"/>
                <w:color w:val="auto"/>
              </w:rPr>
            </w:pPr>
            <w:r>
              <w:rPr>
                <w:rFonts w:ascii="Arial" w:cs="Arial" w:eastAsia="Arial" w:hAnsi="Arial"/>
                <w:sz w:val="18"/>
                <w:szCs w:val="18"/>
                <w:color w:val="auto"/>
              </w:rPr>
              <w:t>Total Auto-Dimming Mirror Units</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11,542</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12,471</w:t>
            </w: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center"/>
              <w:ind w:right="12"/>
              <w:spacing w:after="0"/>
              <w:rPr>
                <w:sz w:val="20"/>
                <w:szCs w:val="20"/>
                <w:color w:val="auto"/>
              </w:rPr>
            </w:pPr>
            <w:r>
              <w:rPr>
                <w:rFonts w:ascii="Arial" w:cs="Arial" w:eastAsia="Arial" w:hAnsi="Arial"/>
                <w:sz w:val="18"/>
                <w:szCs w:val="18"/>
                <w:color w:val="auto"/>
                <w:w w:val="99"/>
              </w:rPr>
              <w:t>(7)%</w:t>
            </w:r>
          </w:p>
        </w:tc>
      </w:tr>
      <w:tr>
        <w:trPr>
          <w:trHeight w:val="20"/>
        </w:trPr>
        <w:tc>
          <w:tcPr>
            <w:tcW w:w="646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226" w:lineRule="exact"/>
        <w:rPr>
          <w:sz w:val="20"/>
          <w:szCs w:val="20"/>
          <w:color w:val="auto"/>
        </w:rPr>
      </w:pPr>
    </w:p>
    <w:p>
      <w:pPr>
        <w:ind w:left="980"/>
        <w:spacing w:after="0"/>
        <w:rPr>
          <w:sz w:val="20"/>
          <w:szCs w:val="20"/>
          <w:color w:val="auto"/>
        </w:rPr>
      </w:pPr>
      <w:r>
        <w:rPr>
          <w:rFonts w:ascii="Arial" w:cs="Arial" w:eastAsia="Arial" w:hAnsi="Arial"/>
          <w:sz w:val="18"/>
          <w:szCs w:val="18"/>
          <w:i w:val="1"/>
          <w:iCs w:val="1"/>
          <w:color w:val="auto"/>
        </w:rPr>
        <w:t>Note: Percent change and amounts may not total due to rounding.</w:t>
      </w:r>
    </w:p>
    <w:p>
      <w:pPr>
        <w:spacing w:after="0" w:line="250" w:lineRule="exact"/>
        <w:rPr>
          <w:sz w:val="20"/>
          <w:szCs w:val="20"/>
          <w:color w:val="auto"/>
        </w:rPr>
      </w:pPr>
    </w:p>
    <w:p>
      <w:pPr>
        <w:jc w:val="both"/>
        <w:ind w:left="660"/>
        <w:spacing w:after="0" w:line="261" w:lineRule="auto"/>
        <w:rPr>
          <w:sz w:val="20"/>
          <w:szCs w:val="20"/>
          <w:color w:val="auto"/>
        </w:rPr>
      </w:pPr>
      <w:r>
        <w:rPr>
          <w:rFonts w:ascii="Arial" w:cs="Arial" w:eastAsia="Arial" w:hAnsi="Arial"/>
          <w:sz w:val="18"/>
          <w:szCs w:val="18"/>
          <w:color w:val="auto"/>
        </w:rPr>
        <w:t>Other net sales were $12.9 million in the first quarter of 2025, compared to $ 12.6 million in the first quarter of 2024, an increase of 2%. Other net sales for the first quarter of 2025 included biometric product sales of $0.9 million generated from the Company's GalvanEyes subsidiary (acquired in the fourth quarter of 2024), which owned 50% of BioCenturion in the first quarter of 2025, as well as $0.4 million in sales of medical devices from the previously acquired eSight Go product line, which as previously announced, began shipments during the third quarter of 2024. Fire protection sales were $6.7 million in the first quarter of 2025, compared to $6.8 million in the same quarter of last year. Dimmable aircraft sales decreased during the first quarter of 2025 to $4.9 million, compared to $5.8 million in the same quarter of last year.</w:t>
      </w:r>
    </w:p>
    <w:p>
      <w:pPr>
        <w:spacing w:after="0" w:line="206" w:lineRule="exact"/>
        <w:rPr>
          <w:sz w:val="20"/>
          <w:szCs w:val="20"/>
          <w:color w:val="auto"/>
        </w:rPr>
      </w:pPr>
    </w:p>
    <w:p>
      <w:pPr>
        <w:jc w:val="both"/>
        <w:ind w:left="660"/>
        <w:spacing w:after="0" w:line="259" w:lineRule="auto"/>
        <w:rPr>
          <w:sz w:val="20"/>
          <w:szCs w:val="20"/>
          <w:color w:val="auto"/>
        </w:rPr>
      </w:pPr>
      <w:r>
        <w:rPr>
          <w:rFonts w:ascii="Arial" w:cs="Arial" w:eastAsia="Arial" w:hAnsi="Arial"/>
          <w:sz w:val="18"/>
          <w:szCs w:val="18"/>
          <w:i w:val="1"/>
          <w:iCs w:val="1"/>
          <w:u w:val="single" w:color="auto"/>
          <w:color w:val="auto"/>
        </w:rPr>
        <w:t>Cost of Goods Sold.</w:t>
      </w:r>
      <w:r>
        <w:rPr>
          <w:rFonts w:ascii="Arial" w:cs="Arial" w:eastAsia="Arial" w:hAnsi="Arial"/>
          <w:sz w:val="18"/>
          <w:szCs w:val="18"/>
          <w:i w:val="1"/>
          <w:iCs w:val="1"/>
          <w:color w:val="auto"/>
        </w:rPr>
        <w:t xml:space="preserve"> </w:t>
      </w:r>
      <w:r>
        <w:rPr>
          <w:rFonts w:ascii="Arial" w:cs="Arial" w:eastAsia="Arial" w:hAnsi="Arial"/>
          <w:sz w:val="18"/>
          <w:szCs w:val="18"/>
          <w:color w:val="auto"/>
        </w:rPr>
        <w:t>As a percentage of net sales, cost of goods sold increased to 66.8% for the first quarter of 2025, versus 65.7%</w:t>
      </w:r>
      <w:r>
        <w:rPr>
          <w:rFonts w:ascii="Arial" w:cs="Arial" w:eastAsia="Arial" w:hAnsi="Arial"/>
          <w:sz w:val="18"/>
          <w:szCs w:val="18"/>
          <w:i w:val="1"/>
          <w:iCs w:val="1"/>
          <w:color w:val="auto"/>
        </w:rPr>
        <w:t xml:space="preserve"> </w:t>
      </w:r>
      <w:r>
        <w:rPr>
          <w:rFonts w:ascii="Arial" w:cs="Arial" w:eastAsia="Arial" w:hAnsi="Arial"/>
          <w:sz w:val="18"/>
          <w:szCs w:val="18"/>
          <w:color w:val="auto"/>
        </w:rPr>
        <w:t>in the same quarter last year. The quarter over quarter decrease in the gross profit margin primarily resulted from lower net sales levels, new tariff costs that became effective in the first quarter of 2025, and unfavorable product mix. Purchasing and overhead cost increases, which include tariff costs, had a negative impact on gross margin on a quarter over quarter basis of approximately 210 basis points.</w:t>
      </w:r>
    </w:p>
    <w:p>
      <w:pPr>
        <w:spacing w:after="0" w:line="112" w:lineRule="exact"/>
        <w:rPr>
          <w:sz w:val="20"/>
          <w:szCs w:val="20"/>
          <w:color w:val="auto"/>
        </w:rPr>
      </w:pPr>
    </w:p>
    <w:p>
      <w:pPr>
        <w:jc w:val="both"/>
        <w:ind w:left="660"/>
        <w:spacing w:after="0" w:line="262" w:lineRule="auto"/>
        <w:rPr>
          <w:sz w:val="20"/>
          <w:szCs w:val="20"/>
          <w:color w:val="auto"/>
        </w:rPr>
      </w:pPr>
      <w:r>
        <w:rPr>
          <w:rFonts w:ascii="Arial" w:cs="Arial" w:eastAsia="Arial" w:hAnsi="Arial"/>
          <w:sz w:val="18"/>
          <w:szCs w:val="18"/>
          <w:i w:val="1"/>
          <w:iCs w:val="1"/>
          <w:u w:val="single" w:color="auto"/>
          <w:color w:val="auto"/>
        </w:rPr>
        <w:t>Operating Expenses</w:t>
      </w:r>
      <w:r>
        <w:rPr>
          <w:rFonts w:ascii="Arial" w:cs="Arial" w:eastAsia="Arial" w:hAnsi="Arial"/>
          <w:sz w:val="18"/>
          <w:szCs w:val="18"/>
          <w:u w:val="single" w:color="auto"/>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Total operating expenses were $ 78.7 million in the first quarter of 2025, an increase of 8% quarter over quarter</w:t>
      </w:r>
      <w:r>
        <w:rPr>
          <w:rFonts w:ascii="Arial" w:cs="Arial" w:eastAsia="Arial" w:hAnsi="Arial"/>
          <w:sz w:val="18"/>
          <w:szCs w:val="18"/>
          <w:i w:val="1"/>
          <w:iCs w:val="1"/>
          <w:color w:val="auto"/>
        </w:rPr>
        <w:t xml:space="preserve"> </w:t>
      </w:r>
      <w:r>
        <w:rPr>
          <w:rFonts w:ascii="Arial" w:cs="Arial" w:eastAsia="Arial" w:hAnsi="Arial"/>
          <w:sz w:val="18"/>
          <w:szCs w:val="18"/>
          <w:color w:val="auto"/>
        </w:rPr>
        <w:t>or $5.9 million, compared to $72.9 million in the first quarter of 2024. Total operating expenses for the first quarter of 2025 were impacted by severance expense of $2.9 million, as no comparable severance charges were incurred by the Company in the first quarter of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4" w:right="339" w:bottom="1440" w:gutter="0" w:footer="0" w:header="0"/>
        </w:sectPr>
      </w:pPr>
    </w:p>
    <w:bookmarkStart w:id="25" w:name="page26"/>
    <w:bookmarkEnd w:id="25"/>
    <w:p>
      <w:pPr>
        <w:jc w:val="both"/>
        <w:ind w:left="660" w:right="20"/>
        <w:spacing w:after="0" w:line="260" w:lineRule="auto"/>
        <w:rPr>
          <w:sz w:val="20"/>
          <w:szCs w:val="20"/>
          <w:color w:val="auto"/>
        </w:rPr>
      </w:pPr>
      <w:r>
        <w:rPr>
          <w:rFonts w:ascii="Arial" w:cs="Arial" w:eastAsia="Arial" w:hAnsi="Arial"/>
          <w:sz w:val="18"/>
          <w:szCs w:val="18"/>
          <w:color w:val="auto"/>
        </w:rPr>
        <w:t>Engineering, research and development expenses for the first quarter of 2025 increased by $3.7 million, when compared with the first quarter of 2024, primarily due to staffing and engineering related professional fees.</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FAAC16"/>
        </w:rPr>
        <w:t>.</w:t>
      </w:r>
    </w:p>
    <w:p>
      <w:pPr>
        <w:spacing w:after="0" w:line="9" w:lineRule="exact"/>
        <w:rPr>
          <w:sz w:val="20"/>
          <w:szCs w:val="20"/>
          <w:color w:val="auto"/>
        </w:rPr>
      </w:pPr>
    </w:p>
    <w:p>
      <w:pPr>
        <w:jc w:val="both"/>
        <w:ind w:left="660"/>
        <w:spacing w:after="0" w:line="258" w:lineRule="auto"/>
        <w:rPr>
          <w:sz w:val="20"/>
          <w:szCs w:val="20"/>
          <w:color w:val="auto"/>
        </w:rPr>
      </w:pPr>
      <w:r>
        <w:rPr>
          <w:rFonts w:ascii="Arial" w:cs="Arial" w:eastAsia="Arial" w:hAnsi="Arial"/>
          <w:sz w:val="18"/>
          <w:szCs w:val="18"/>
          <w:color w:val="auto"/>
        </w:rPr>
        <w:t>Selling, general and administrative ("S, G &amp; A") expenses decreased by 3% or $0.8 million for the first quarter of 2025, compared to the first quarter of 2024, primarily due to decreased staffing. S, G &amp; A expenses were approximately 5% of net sales in both of the first quarters of 2025 and 2024.</w:t>
      </w:r>
    </w:p>
    <w:p>
      <w:pPr>
        <w:spacing w:after="0" w:line="205" w:lineRule="exact"/>
        <w:rPr>
          <w:sz w:val="20"/>
          <w:szCs w:val="20"/>
          <w:color w:val="auto"/>
        </w:rPr>
      </w:pPr>
    </w:p>
    <w:p>
      <w:pPr>
        <w:jc w:val="both"/>
        <w:ind w:left="660" w:right="20"/>
        <w:spacing w:after="0" w:line="287" w:lineRule="auto"/>
        <w:rPr>
          <w:sz w:val="20"/>
          <w:szCs w:val="20"/>
          <w:color w:val="auto"/>
        </w:rPr>
      </w:pPr>
      <w:r>
        <w:rPr>
          <w:rFonts w:ascii="Arial" w:cs="Arial" w:eastAsia="Arial" w:hAnsi="Arial"/>
          <w:sz w:val="18"/>
          <w:szCs w:val="18"/>
          <w:i w:val="1"/>
          <w:iCs w:val="1"/>
          <w:u w:val="single" w:color="auto"/>
          <w:color w:val="auto"/>
        </w:rPr>
        <w:t>Total Other Income.</w:t>
      </w:r>
      <w:r>
        <w:rPr>
          <w:rFonts w:ascii="Arial" w:cs="Arial" w:eastAsia="Arial" w:hAnsi="Arial"/>
          <w:sz w:val="18"/>
          <w:szCs w:val="18"/>
          <w:i w:val="1"/>
          <w:iCs w:val="1"/>
          <w:color w:val="auto"/>
        </w:rPr>
        <w:t xml:space="preserve"> </w:t>
      </w:r>
      <w:r>
        <w:rPr>
          <w:rFonts w:ascii="Arial" w:cs="Arial" w:eastAsia="Arial" w:hAnsi="Arial"/>
          <w:sz w:val="18"/>
          <w:szCs w:val="18"/>
          <w:color w:val="auto"/>
        </w:rPr>
        <w:t>Total other income for the first quarter of 2025 increased by $2.3 million, when compared with the first quarter of</w:t>
      </w:r>
      <w:r>
        <w:rPr>
          <w:rFonts w:ascii="Arial" w:cs="Arial" w:eastAsia="Arial" w:hAnsi="Arial"/>
          <w:sz w:val="18"/>
          <w:szCs w:val="18"/>
          <w:i w:val="1"/>
          <w:iCs w:val="1"/>
          <w:color w:val="auto"/>
        </w:rPr>
        <w:t xml:space="preserve"> </w:t>
      </w:r>
      <w:r>
        <w:rPr>
          <w:rFonts w:ascii="Arial" w:cs="Arial" w:eastAsia="Arial" w:hAnsi="Arial"/>
          <w:sz w:val="18"/>
          <w:szCs w:val="18"/>
          <w:color w:val="auto"/>
        </w:rPr>
        <w:t>2024, driven by increased investment income for the first quarter of 2025, offset by reduced losses on other investments.</w:t>
      </w:r>
    </w:p>
    <w:p>
      <w:pPr>
        <w:spacing w:after="0" w:line="112" w:lineRule="exact"/>
        <w:rPr>
          <w:sz w:val="20"/>
          <w:szCs w:val="20"/>
          <w:color w:val="auto"/>
        </w:rPr>
      </w:pPr>
    </w:p>
    <w:p>
      <w:pPr>
        <w:jc w:val="both"/>
        <w:ind w:left="660"/>
        <w:spacing w:after="0" w:line="247" w:lineRule="auto"/>
        <w:rPr>
          <w:sz w:val="20"/>
          <w:szCs w:val="20"/>
          <w:color w:val="auto"/>
        </w:rPr>
      </w:pPr>
      <w:r>
        <w:rPr>
          <w:rFonts w:ascii="Arial" w:cs="Arial" w:eastAsia="Arial" w:hAnsi="Arial"/>
          <w:sz w:val="18"/>
          <w:szCs w:val="18"/>
          <w:i w:val="1"/>
          <w:iCs w:val="1"/>
          <w:u w:val="single" w:color="auto"/>
          <w:color w:val="auto"/>
        </w:rPr>
        <w:t>Provision for Income Taxes.</w:t>
      </w:r>
      <w:r>
        <w:rPr>
          <w:rFonts w:ascii="Arial" w:cs="Arial" w:eastAsia="Arial" w:hAnsi="Arial"/>
          <w:sz w:val="18"/>
          <w:szCs w:val="18"/>
          <w:i w:val="1"/>
          <w:iCs w:val="1"/>
          <w:color w:val="auto"/>
        </w:rPr>
        <w:t xml:space="preserve"> </w:t>
      </w:r>
      <w:r>
        <w:rPr>
          <w:rFonts w:ascii="Arial" w:cs="Arial" w:eastAsia="Arial" w:hAnsi="Arial"/>
          <w:sz w:val="18"/>
          <w:szCs w:val="18"/>
          <w:color w:val="auto"/>
        </w:rPr>
        <w:t>The effective tax rate was 16.5% for, and an income tax expense of $ 18.8 million was recorded in, the</w:t>
      </w:r>
      <w:r>
        <w:rPr>
          <w:rFonts w:ascii="Arial" w:cs="Arial" w:eastAsia="Arial" w:hAnsi="Arial"/>
          <w:sz w:val="18"/>
          <w:szCs w:val="18"/>
          <w:i w:val="1"/>
          <w:iCs w:val="1"/>
          <w:color w:val="auto"/>
        </w:rPr>
        <w:t xml:space="preserve"> </w:t>
      </w:r>
      <w:r>
        <w:rPr>
          <w:rFonts w:ascii="Arial" w:cs="Arial" w:eastAsia="Arial" w:hAnsi="Arial"/>
          <w:sz w:val="18"/>
          <w:szCs w:val="18"/>
          <w:color w:val="auto"/>
        </w:rPr>
        <w:t>first quarter of 2025, compared to an effective tax rate of 15.2% for, and an income tax expense of $ 19.4 million recorded in, the same quarter of 2024. The quarter over quarter change in the effective tax rate was driven by lower tax benefits on stock-based compensation compared to the first quarter of 2024.</w:t>
      </w:r>
    </w:p>
    <w:p>
      <w:pPr>
        <w:spacing w:after="0" w:line="106" w:lineRule="exact"/>
        <w:rPr>
          <w:sz w:val="20"/>
          <w:szCs w:val="20"/>
          <w:color w:val="auto"/>
        </w:rPr>
      </w:pPr>
    </w:p>
    <w:p>
      <w:pPr>
        <w:jc w:val="both"/>
        <w:ind w:left="660"/>
        <w:spacing w:after="0" w:line="268" w:lineRule="auto"/>
        <w:rPr>
          <w:sz w:val="20"/>
          <w:szCs w:val="20"/>
          <w:color w:val="auto"/>
        </w:rPr>
      </w:pPr>
      <w:r>
        <w:rPr>
          <w:rFonts w:ascii="Arial" w:cs="Arial" w:eastAsia="Arial" w:hAnsi="Arial"/>
          <w:sz w:val="18"/>
          <w:szCs w:val="18"/>
          <w:i w:val="1"/>
          <w:iCs w:val="1"/>
          <w:u w:val="single" w:color="auto"/>
          <w:color w:val="auto"/>
        </w:rPr>
        <w:t>Net Income.</w:t>
      </w:r>
      <w:r>
        <w:rPr>
          <w:rFonts w:ascii="Arial" w:cs="Arial" w:eastAsia="Arial" w:hAnsi="Arial"/>
          <w:sz w:val="18"/>
          <w:szCs w:val="18"/>
          <w:i w:val="1"/>
          <w:iCs w:val="1"/>
          <w:color w:val="auto"/>
        </w:rPr>
        <w:t xml:space="preserve"> </w:t>
      </w:r>
      <w:r>
        <w:rPr>
          <w:rFonts w:ascii="Arial" w:cs="Arial" w:eastAsia="Arial" w:hAnsi="Arial"/>
          <w:sz w:val="18"/>
          <w:szCs w:val="18"/>
          <w:color w:val="auto"/>
        </w:rPr>
        <w:t>Net income for the first quarter of 2025 was $ 94.9 million, down from a net income of $108.2 million in the first quarter of</w:t>
      </w:r>
      <w:r>
        <w:rPr>
          <w:rFonts w:ascii="Arial" w:cs="Arial" w:eastAsia="Arial" w:hAnsi="Arial"/>
          <w:sz w:val="18"/>
          <w:szCs w:val="18"/>
          <w:i w:val="1"/>
          <w:iCs w:val="1"/>
          <w:color w:val="auto"/>
        </w:rPr>
        <w:t xml:space="preserve"> </w:t>
      </w:r>
      <w:r>
        <w:rPr>
          <w:rFonts w:ascii="Arial" w:cs="Arial" w:eastAsia="Arial" w:hAnsi="Arial"/>
          <w:sz w:val="18"/>
          <w:szCs w:val="18"/>
          <w:color w:val="auto"/>
        </w:rPr>
        <w:t>2024. The decrease in net income for the first quarter of 2025 was driven by lower net sales and income from operations quarter over quarter.</w:t>
      </w:r>
    </w:p>
    <w:p>
      <w:pPr>
        <w:spacing w:after="0" w:line="117" w:lineRule="exact"/>
        <w:rPr>
          <w:sz w:val="20"/>
          <w:szCs w:val="20"/>
          <w:color w:val="auto"/>
        </w:rPr>
      </w:pPr>
    </w:p>
    <w:p>
      <w:pPr>
        <w:jc w:val="both"/>
        <w:ind w:left="660"/>
        <w:spacing w:after="0" w:line="287" w:lineRule="auto"/>
        <w:rPr>
          <w:sz w:val="20"/>
          <w:szCs w:val="20"/>
          <w:color w:val="auto"/>
        </w:rPr>
      </w:pPr>
      <w:r>
        <w:rPr>
          <w:rFonts w:ascii="Arial" w:cs="Arial" w:eastAsia="Arial" w:hAnsi="Arial"/>
          <w:sz w:val="18"/>
          <w:szCs w:val="18"/>
          <w:i w:val="1"/>
          <w:iCs w:val="1"/>
          <w:u w:val="single" w:color="auto"/>
          <w:color w:val="auto"/>
        </w:rPr>
        <w:t>Earnings Per Share.</w:t>
      </w:r>
      <w:r>
        <w:rPr>
          <w:rFonts w:ascii="Arial" w:cs="Arial" w:eastAsia="Arial" w:hAnsi="Arial"/>
          <w:sz w:val="18"/>
          <w:szCs w:val="18"/>
          <w:i w:val="1"/>
          <w:iCs w:val="1"/>
          <w:color w:val="auto"/>
        </w:rPr>
        <w:t xml:space="preserve"> </w:t>
      </w:r>
      <w:r>
        <w:rPr>
          <w:rFonts w:ascii="Arial" w:cs="Arial" w:eastAsia="Arial" w:hAnsi="Arial"/>
          <w:sz w:val="18"/>
          <w:szCs w:val="18"/>
          <w:color w:val="auto"/>
        </w:rPr>
        <w:t>The Company had earnings per diluted share for the first quarter of 2025 of $0.42, which compared to earnings</w:t>
      </w:r>
      <w:r>
        <w:rPr>
          <w:rFonts w:ascii="Arial" w:cs="Arial" w:eastAsia="Arial" w:hAnsi="Arial"/>
          <w:sz w:val="18"/>
          <w:szCs w:val="18"/>
          <w:i w:val="1"/>
          <w:iCs w:val="1"/>
          <w:color w:val="auto"/>
        </w:rPr>
        <w:t xml:space="preserve"> </w:t>
      </w:r>
      <w:r>
        <w:rPr>
          <w:rFonts w:ascii="Arial" w:cs="Arial" w:eastAsia="Arial" w:hAnsi="Arial"/>
          <w:sz w:val="18"/>
          <w:szCs w:val="18"/>
          <w:color w:val="auto"/>
        </w:rPr>
        <w:t>per diluted share of $0.47 for the first quarter of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u w:val="single" w:color="auto"/>
          <w:color w:val="auto"/>
        </w:rPr>
        <w:t>FINANCIAL CONDITION:</w:t>
      </w:r>
    </w:p>
    <w:p>
      <w:pPr>
        <w:spacing w:after="0" w:line="144"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Company's cash and cash equivalents as of March 31, 2025 were $286.6 million, an increase of $53.2 million, compared to $233.3 million as of December 31, 2024. The increase was primarily due to cash flows from operations and proceeds from the sale of investments, which was partially offset by share repurchases, capital expenditures, dividend payments, and investment purchases during the three months ended March 31, 2025.</w:t>
      </w:r>
    </w:p>
    <w:p>
      <w:pPr>
        <w:spacing w:after="0" w:line="109"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Short-term investments as of March 31, 2025 were $20.5 million, down from $22.3 million as of December 31, 2024, and long-term investments were $300.6 million as of March 31, 2025, down from $339.6 million as of December 31, 2024.</w:t>
      </w:r>
    </w:p>
    <w:p>
      <w:pPr>
        <w:spacing w:after="0" w:line="8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Accounts receivable as of March 31, 2025 increased approximately $35.3 million compared to December 31, 2024, primarily due to the sequential increase in sales, as well as the timing of customer payments during the three months ended March 31, 2025.</w:t>
      </w:r>
    </w:p>
    <w:p>
      <w:pPr>
        <w:spacing w:after="0" w:line="72"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Inventories as of March 31, 2025 were $408.9 million, compared to $436.5 million as of December 31, 2024, primarily due to decreases in raw materials and finished goods.</w:t>
      </w:r>
    </w:p>
    <w:p>
      <w:pPr>
        <w:spacing w:after="0" w:line="180"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Accounts payable as of March 31, 2025 decreased approximately $5.4 million to $162.9 million, compared to December 31, 2024, primarily driven by timing of payments within the quarter.</w:t>
      </w:r>
    </w:p>
    <w:p>
      <w:pPr>
        <w:spacing w:after="0" w:line="8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Accrued liabilities as of March 31, 2025 increased approximately $19.4 million compared to December 31, 2024, primarily due to increases in accrued salaries and wages and accrued royalties payable.</w:t>
      </w:r>
    </w:p>
    <w:p>
      <w:pPr>
        <w:spacing w:after="0" w:line="8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Cash flow from operating activities for the three months ended March 31, 2025 increased $18.6 million to $148.5 million, compared with $129.9 million during the same three-month period last year, primarily due to changes in working capital.</w:t>
      </w:r>
    </w:p>
    <w:p>
      <w:pPr>
        <w:spacing w:after="0" w:line="7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Capital expenditures for the three months ended March 31, 2025 were approximately $36.7 million, compared with approximately $31.9 million for the same quarter last year. The increase was primarily due to timing of payments and an increase in expenditures related to building and facility construction projects beginning during the second half of 2024, as further described below.</w:t>
      </w:r>
    </w:p>
    <w:p>
      <w:pPr>
        <w:spacing w:after="0" w:line="10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 believes its existing and planned facilities are currently suitable, adequate, and have the capacity required for current and near-term planned business. Nevertheless, the Company continues to evaluate longer term facility needs. During the fourth quarter of 2024, the Company completed construction on two building expansions. The Company expanded its current distribution center by an additional 300,000 square feet, at a total cost of approximately $ 40 million. The Company also expanded one of its manufacturing facilities by an additional 60,000 square feet, with a total cost of approximately $20 million. Both of these expansion projects were funded with cash and cash equivalents on hand. The Company also entered into a multi-year lease for 32,000 square feet of manufacturing space at a location approximately 20 miles from its main campus that began operations during the second quarter of 2023.</w:t>
      </w:r>
    </w:p>
    <w:p>
      <w:pPr>
        <w:spacing w:after="0" w:line="117"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During 2023, the Company began the design and initial build phase of the previously announced Gentex Discovery Preschool, an on-site daycare and preschool designed to provide Company employees with convenient, cost-effective access to quality childcare. As previously disclosed, construction began in the third quarter of 2024, with an expected completion date in 2025. The total cost of the building project is expected to be $15 - $20 million, which will also be funded with cash and cash equivalents on hand.</w:t>
      </w:r>
    </w:p>
    <w:p>
      <w:pPr>
        <w:spacing w:after="0" w:line="9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Company estimates that it currently has building capacity to manufacture approximately 42 - 45 million interior mirror units annually and approximately 19 - 22 million exterior mirror units annually, based on current product mix. The Company also evaluates equipment capacity on an ongoing basis and adds equipment as needed.</w:t>
      </w:r>
    </w:p>
    <w:p>
      <w:pPr>
        <w:spacing w:after="0" w:line="10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Management considers the current working capital and long-term investments, in addition to internally generated cash flow, its Credit Agreement, and credit worthiness, to be sufficient to cover anticipated cash needs for the foreseeable future considering its contractual obligations and commitments.</w:t>
      </w:r>
    </w:p>
    <w:p>
      <w:pPr>
        <w:spacing w:after="0" w:line="200" w:lineRule="exact"/>
        <w:rPr>
          <w:sz w:val="20"/>
          <w:szCs w:val="20"/>
          <w:color w:val="auto"/>
        </w:rPr>
      </w:pPr>
    </w:p>
    <w:p>
      <w:pPr>
        <w:spacing w:after="0" w:line="34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-426085</wp:posOffset>
            </wp:positionH>
            <wp:positionV relativeFrom="paragraph">
              <wp:posOffset>73660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80"/>
          </w:cols>
          <w:pgMar w:left="980" w:top="1187"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color w:val="auto"/>
        </w:rPr>
        <w:t>The following is a summary of working capital and long-term investments: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6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700" w:type="dxa"/>
            <w:vAlign w:val="bottom"/>
            <w:gridSpan w:val="2"/>
          </w:tcPr>
          <w:p>
            <w:pPr>
              <w:ind w:left="140"/>
              <w:spacing w:after="0"/>
              <w:rPr>
                <w:sz w:val="20"/>
                <w:szCs w:val="20"/>
                <w:color w:val="auto"/>
              </w:rPr>
            </w:pPr>
            <w:r>
              <w:rPr>
                <w:rFonts w:ascii="Arial" w:cs="Arial" w:eastAsia="Arial" w:hAnsi="Arial"/>
                <w:sz w:val="14"/>
                <w:szCs w:val="14"/>
                <w:b w:val="1"/>
                <w:bCs w:val="1"/>
                <w:color w:val="auto"/>
              </w:rPr>
              <w:t>March 31, 2025</w:t>
            </w:r>
          </w:p>
        </w:tc>
        <w:tc>
          <w:tcPr>
            <w:tcW w:w="180" w:type="dxa"/>
            <w:vAlign w:val="bottom"/>
          </w:tcPr>
          <w:p>
            <w:pPr>
              <w:spacing w:after="0"/>
              <w:rPr>
                <w:sz w:val="17"/>
                <w:szCs w:val="17"/>
                <w:color w:val="auto"/>
              </w:rPr>
            </w:pPr>
          </w:p>
        </w:tc>
        <w:tc>
          <w:tcPr>
            <w:tcW w:w="1540" w:type="dxa"/>
            <w:vAlign w:val="bottom"/>
          </w:tcPr>
          <w:p>
            <w:pPr>
              <w:jc w:val="right"/>
              <w:ind w:right="115"/>
              <w:spacing w:after="0"/>
              <w:rPr>
                <w:sz w:val="20"/>
                <w:szCs w:val="20"/>
                <w:color w:val="auto"/>
              </w:rPr>
            </w:pPr>
            <w:r>
              <w:rPr>
                <w:rFonts w:ascii="Arial" w:cs="Arial" w:eastAsia="Arial" w:hAnsi="Arial"/>
                <w:sz w:val="14"/>
                <w:szCs w:val="14"/>
                <w:b w:val="1"/>
                <w:bCs w:val="1"/>
                <w:color w:val="auto"/>
              </w:rPr>
              <w:t>December 31, 2024</w:t>
            </w:r>
          </w:p>
        </w:tc>
      </w:tr>
      <w:tr>
        <w:trPr>
          <w:trHeight w:val="224"/>
        </w:trPr>
        <w:tc>
          <w:tcPr>
            <w:tcW w:w="61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Working Capital</w:t>
            </w: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822,037,255</w:t>
            </w:r>
          </w:p>
        </w:tc>
        <w:tc>
          <w:tcPr>
            <w:tcW w:w="16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784,635,494</w:t>
            </w:r>
          </w:p>
        </w:tc>
      </w:tr>
      <w:tr>
        <w:trPr>
          <w:trHeight w:val="230"/>
        </w:trPr>
        <w:tc>
          <w:tcPr>
            <w:tcW w:w="61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Fixed Income Long-Term Investments</w:t>
            </w:r>
          </w:p>
        </w:tc>
        <w:tc>
          <w:tcPr>
            <w:tcW w:w="24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100,165,221</w:t>
            </w:r>
          </w:p>
        </w:tc>
        <w:tc>
          <w:tcPr>
            <w:tcW w:w="16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141,961,474</w:t>
            </w:r>
          </w:p>
        </w:tc>
      </w:tr>
      <w:tr>
        <w:trPr>
          <w:trHeight w:val="248"/>
        </w:trPr>
        <w:tc>
          <w:tcPr>
            <w:tcW w:w="6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922,202,476</w:t>
            </w:r>
          </w:p>
        </w:tc>
        <w:tc>
          <w:tcPr>
            <w:tcW w:w="1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926,596,968</w:t>
            </w:r>
          </w:p>
        </w:tc>
      </w:tr>
      <w:tr>
        <w:trPr>
          <w:trHeight w:val="20"/>
        </w:trPr>
        <w:tc>
          <w:tcPr>
            <w:tcW w:w="6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r>
    </w:tbl>
    <w:p>
      <w:pPr>
        <w:spacing w:after="0" w:line="30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The Company has a previously announced share repurchase plan under which the Board of Directors has authorized the repurchase of shares of the Company's common stock, which remains a part of the broader publicly disclosed capital allocation strategy. Future share repurchases may vary from time to time and will take into account macroeconomic events, market trends, and other factors the Company deems appropriate (including, but not limited to, the market price of the stock, anti-dilutive effect of repurchases, and available cash). During the three months ended March 31, 2025, the Company repurchased 3,100,351 shares. The Company has 6,349,047 shares remaining under the plan as of March 31, 2025, as is further detailed in </w:t>
      </w:r>
      <w:r>
        <w:rPr>
          <w:rFonts w:ascii="Arial" w:cs="Arial" w:eastAsia="Arial" w:hAnsi="Arial"/>
          <w:sz w:val="18"/>
          <w:szCs w:val="18"/>
          <w:u w:val="single" w:color="auto"/>
          <w:color w:val="auto"/>
        </w:rPr>
        <w:t>Part II, Item 2</w:t>
      </w:r>
      <w:r>
        <w:rPr>
          <w:rFonts w:ascii="Arial" w:cs="Arial" w:eastAsia="Arial" w:hAnsi="Arial"/>
          <w:sz w:val="18"/>
          <w:szCs w:val="18"/>
          <w:color w:val="auto"/>
        </w:rPr>
        <w:t xml:space="preserve"> of this Form 10-Q.</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BUSINESS UPDATE</w:t>
      </w:r>
    </w:p>
    <w:p>
      <w:pPr>
        <w:spacing w:after="0" w:line="27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For the first quarter of 2025, the Company reported net sales of $576.8 million, compared to net sales of $590.2 million in the first quarter of 2024, a 2% decrease quarter over quarter. For the first quarter of 2025, global light vehicle production in North America, Europe, and Japan/Korea decreased approximately 5%, when compared to the first quarter of 2024.</w:t>
      </w:r>
    </w:p>
    <w:p>
      <w:pPr>
        <w:spacing w:after="0" w:line="196"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color w:val="auto"/>
        </w:rPr>
        <w:t>In the first quarter of 2025, the Company had 21 net new nameplate launches of interior and exterior auto-dimming mirrors and electronic features, with advanced feature launches representing 60% of the net launches in the quarter.</w:t>
      </w:r>
    </w:p>
    <w:p>
      <w:pPr>
        <w:spacing w:after="0" w:line="181"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Also during the first quarter of 2025, the Company proactively halted production and sales of product for the China market until customer agreements can be reached with respect to tariff costs as further explained below.</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PRODUCT UPDATE</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Mirror Systems</w:t>
      </w:r>
    </w:p>
    <w:p>
      <w:pPr>
        <w:spacing w:after="0" w:line="250"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In 2023, The People's Republic of China newly issued GB15084 and the related procedures, which allow for the Company's frameless inside mirrors to be used on vehicles in the China domestic market.</w:t>
      </w:r>
    </w:p>
    <w:p>
      <w:pPr>
        <w:spacing w:after="0" w:line="180"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United Nations Economic Commission (UN ECE) recently established a working group (Task Force Glare Protection) on the subject of glare in road traffic. The Task Force Glare Protection will investigate the burden and danger of road glare from vehicle headlamps and initiate necessary measures. The Company believes its auto-dimming mirror products can be a solution for necessary measures initiated by this UN ECE task force.</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Camera Systems</w:t>
      </w:r>
    </w:p>
    <w:p>
      <w:pPr>
        <w:spacing w:after="0" w:line="248" w:lineRule="exact"/>
        <w:rPr>
          <w:sz w:val="20"/>
          <w:szCs w:val="20"/>
          <w:color w:val="auto"/>
        </w:rPr>
      </w:pPr>
    </w:p>
    <w:p>
      <w:pPr>
        <w:jc w:val="both"/>
        <w:spacing w:after="0" w:line="228" w:lineRule="auto"/>
        <w:rPr>
          <w:sz w:val="20"/>
          <w:szCs w:val="20"/>
          <w:color w:val="auto"/>
        </w:rPr>
      </w:pPr>
      <w:r>
        <w:rPr>
          <w:rFonts w:ascii="Arial" w:cs="Arial" w:eastAsia="Arial" w:hAnsi="Arial"/>
          <w:sz w:val="18"/>
          <w:szCs w:val="18"/>
          <w:color w:val="auto"/>
        </w:rPr>
        <w:t>Full Display Mirror</w:t>
      </w:r>
      <w:r>
        <w:rPr>
          <w:rFonts w:ascii="Arial" w:cs="Arial" w:eastAsia="Arial" w:hAnsi="Arial"/>
          <w:sz w:val="23"/>
          <w:szCs w:val="23"/>
          <w:color w:val="auto"/>
          <w:vertAlign w:val="superscript"/>
        </w:rPr>
        <w:t>®</w:t>
      </w:r>
      <w:r>
        <w:rPr>
          <w:rFonts w:ascii="Arial" w:cs="Arial" w:eastAsia="Arial" w:hAnsi="Arial"/>
          <w:sz w:val="18"/>
          <w:szCs w:val="18"/>
          <w:color w:val="auto"/>
        </w:rPr>
        <w:t xml:space="preserve"> began production in 2015. Current automotive design trends are yielding vehicles with small rear windows that are often further obstructed by headrests, passengers, and roof support pillars, which can significantly hinder the mirror’s rearward view. The Company's Full Display Mirror</w:t>
      </w:r>
      <w:r>
        <w:rPr>
          <w:rFonts w:ascii="Arial" w:cs="Arial" w:eastAsia="Arial" w:hAnsi="Arial"/>
          <w:sz w:val="23"/>
          <w:szCs w:val="23"/>
          <w:color w:val="auto"/>
          <w:vertAlign w:val="superscript"/>
        </w:rPr>
        <w:t>®</w:t>
      </w:r>
      <w:r>
        <w:rPr>
          <w:rFonts w:ascii="Arial" w:cs="Arial" w:eastAsia="Arial" w:hAnsi="Arial"/>
          <w:sz w:val="18"/>
          <w:szCs w:val="18"/>
          <w:color w:val="auto"/>
        </w:rPr>
        <w:t xml:space="preserve"> is an intelligent rear vision system that uses a custom, internally or externally mounted video camera and mirror-integrated video display to optimize a vehicle driver’s rearward view. This rear vision system consists of a hybrid Full Display Mirror</w:t>
      </w:r>
      <w:r>
        <w:rPr>
          <w:rFonts w:ascii="Arial" w:cs="Arial" w:eastAsia="Arial" w:hAnsi="Arial"/>
          <w:sz w:val="23"/>
          <w:szCs w:val="23"/>
          <w:color w:val="auto"/>
          <w:vertAlign w:val="superscript"/>
        </w:rPr>
        <w:t>®</w:t>
      </w:r>
      <w:r>
        <w:rPr>
          <w:rFonts w:ascii="Arial" w:cs="Arial" w:eastAsia="Arial" w:hAnsi="Arial"/>
          <w:sz w:val="18"/>
          <w:szCs w:val="18"/>
          <w:color w:val="auto"/>
        </w:rPr>
        <w:t xml:space="preserve"> that offers bi-modal functionality. In mirror mode, the product functions as an auto -dimming rearview mirror which means that during nighttime driving, digital light sensors talk to one another via a microprocessor to automatically darken the mirror when glare is detected. With the flip of a switch, the mirror enters display mode, and a clear, bright display appears through the mirror’s reflective surface, providing a wide, unobstructed rearward view. The bi-modality of the Full Display Mirror</w:t>
      </w:r>
      <w:r>
        <w:rPr>
          <w:rFonts w:ascii="Arial" w:cs="Arial" w:eastAsia="Arial" w:hAnsi="Arial"/>
          <w:sz w:val="23"/>
          <w:szCs w:val="23"/>
          <w:color w:val="auto"/>
          <w:vertAlign w:val="superscript"/>
        </w:rPr>
        <w:t>®</w:t>
      </w:r>
      <w:r>
        <w:rPr>
          <w:rFonts w:ascii="Arial" w:cs="Arial" w:eastAsia="Arial" w:hAnsi="Arial"/>
          <w:sz w:val="18"/>
          <w:szCs w:val="18"/>
          <w:color w:val="auto"/>
        </w:rPr>
        <w:t xml:space="preserve"> is essential, because in the event of any failure of the camera or display, the product is able to function as a mirror, which meets long-standing safety requirements in the automotive industry. In addition, the driver has</w:t>
      </w:r>
    </w:p>
    <w:p>
      <w:pPr>
        <w:spacing w:after="0" w:line="200" w:lineRule="exact"/>
        <w:rPr>
          <w:sz w:val="20"/>
          <w:szCs w:val="20"/>
          <w:color w:val="auto"/>
        </w:rPr>
      </w:pPr>
    </w:p>
    <w:p>
      <w:pPr>
        <w:spacing w:after="0" w:line="37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-426085</wp:posOffset>
            </wp:positionH>
            <wp:positionV relativeFrom="paragraph">
              <wp:posOffset>73660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80"/>
          </w:cols>
          <w:pgMar w:left="980" w:top="1079" w:right="339" w:bottom="1440" w:gutter="0" w:footer="0" w:header="0"/>
        </w:sectPr>
      </w:pPr>
    </w:p>
    <w:bookmarkStart w:id="28" w:name="page29"/>
    <w:bookmarkEnd w:id="28"/>
    <w:p>
      <w:pPr>
        <w:jc w:val="both"/>
        <w:spacing w:after="0" w:line="287" w:lineRule="auto"/>
        <w:rPr>
          <w:sz w:val="20"/>
          <w:szCs w:val="20"/>
          <w:color w:val="auto"/>
        </w:rPr>
      </w:pPr>
      <w:r>
        <w:rPr>
          <w:rFonts w:ascii="Arial" w:cs="Arial" w:eastAsia="Arial" w:hAnsi="Arial"/>
          <w:sz w:val="18"/>
          <w:szCs w:val="18"/>
          <w:color w:val="auto"/>
        </w:rPr>
        <w:t>the ability to switch between modes to accommodate usage preferences for various weather conditions, lighting conditions, and driving tasks.</w:t>
      </w:r>
    </w:p>
    <w:p>
      <w:pPr>
        <w:spacing w:after="0" w:line="178" w:lineRule="exact"/>
        <w:rPr>
          <w:sz w:val="20"/>
          <w:szCs w:val="20"/>
          <w:color w:val="auto"/>
        </w:rPr>
      </w:pPr>
    </w:p>
    <w:p>
      <w:pPr>
        <w:jc w:val="both"/>
        <w:spacing w:after="0" w:line="245" w:lineRule="auto"/>
        <w:rPr>
          <w:sz w:val="20"/>
          <w:szCs w:val="20"/>
          <w:color w:val="auto"/>
        </w:rPr>
      </w:pPr>
      <w:r>
        <w:rPr>
          <w:rFonts w:ascii="Arial" w:cs="Arial" w:eastAsia="Arial" w:hAnsi="Arial"/>
          <w:sz w:val="18"/>
          <w:szCs w:val="18"/>
          <w:color w:val="auto"/>
        </w:rPr>
        <w:t>As of the first quarter of 2025, the Company is shipping production Full Display Mirrors</w:t>
      </w:r>
      <w:r>
        <w:rPr>
          <w:rFonts w:ascii="Arial" w:cs="Arial" w:eastAsia="Arial" w:hAnsi="Arial"/>
          <w:sz w:val="23"/>
          <w:szCs w:val="23"/>
          <w:color w:val="auto"/>
          <w:vertAlign w:val="superscript"/>
        </w:rPr>
        <w:t>®</w:t>
      </w:r>
      <w:r>
        <w:rPr>
          <w:rFonts w:ascii="Arial" w:cs="Arial" w:eastAsia="Arial" w:hAnsi="Arial"/>
          <w:sz w:val="18"/>
          <w:szCs w:val="18"/>
          <w:color w:val="auto"/>
        </w:rPr>
        <w:t xml:space="preserve"> to eighteen different automaker customers and 148 vehicle nameplates. For more information regarding the full display mirror please go to https://www.fulldisplaymirror.com/. The Company remains confident that ongoing discussions with other customers may cause such customers to consider more fully adding the Full Display Mirror</w:t>
      </w:r>
      <w:r>
        <w:rPr>
          <w:rFonts w:ascii="Arial" w:cs="Arial" w:eastAsia="Arial" w:hAnsi="Arial"/>
          <w:sz w:val="23"/>
          <w:szCs w:val="23"/>
          <w:color w:val="auto"/>
          <w:vertAlign w:val="superscript"/>
        </w:rPr>
        <w:t>®</w:t>
      </w:r>
      <w:r>
        <w:rPr>
          <w:rFonts w:ascii="Arial" w:cs="Arial" w:eastAsia="Arial" w:hAnsi="Arial"/>
          <w:sz w:val="18"/>
          <w:szCs w:val="18"/>
          <w:color w:val="auto"/>
        </w:rPr>
        <w:t xml:space="preserve"> into their product roadmap for future vehicles.</w:t>
      </w:r>
    </w:p>
    <w:p>
      <w:pPr>
        <w:spacing w:after="0" w:line="144"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To enhance capability and usability of the Company's Full Display Mirror</w:t>
      </w:r>
      <w:r>
        <w:rPr>
          <w:rFonts w:ascii="Arial" w:cs="Arial" w:eastAsia="Arial" w:hAnsi="Arial"/>
          <w:sz w:val="23"/>
          <w:szCs w:val="23"/>
          <w:color w:val="auto"/>
          <w:vertAlign w:val="superscript"/>
        </w:rPr>
        <w:t>®</w:t>
      </w:r>
      <w:r>
        <w:rPr>
          <w:rFonts w:ascii="Arial" w:cs="Arial" w:eastAsia="Arial" w:hAnsi="Arial"/>
          <w:sz w:val="18"/>
          <w:szCs w:val="18"/>
          <w:color w:val="auto"/>
        </w:rPr>
        <w:t>, the Company previously introduced its three-camera rear vision system that streams rear video in multiple composite views to its Full Display Mirror</w:t>
      </w:r>
      <w:r>
        <w:rPr>
          <w:rFonts w:ascii="Arial" w:cs="Arial" w:eastAsia="Arial" w:hAnsi="Arial"/>
          <w:sz w:val="23"/>
          <w:szCs w:val="23"/>
          <w:color w:val="auto"/>
          <w:vertAlign w:val="superscript"/>
        </w:rPr>
        <w:t>®</w:t>
      </w:r>
      <w:r>
        <w:rPr>
          <w:rFonts w:ascii="Arial" w:cs="Arial" w:eastAsia="Arial" w:hAnsi="Arial"/>
          <w:sz w:val="18"/>
          <w:szCs w:val="18"/>
          <w:color w:val="auto"/>
        </w:rPr>
        <w:t>. The Company believes it is the industry’s first practical and comprehensive rear vision solution designed to meet automaker, driver, safety, and regulatory requirements. The Company's rear vision system, known generally as a camera monitoring system ("CMS"), uses three cameras to provide a comprehensive view of the sides and rear of the vehicle. The side-view cameras are discretely housed in downsized, automatic-dimming exterior mirrors. Their video feeds are combined with that of a roof-mounted or rear window based camera and stitched together into multiple composite views, which are streamed to the driver using the Full Display Mirror</w:t>
      </w:r>
      <w:r>
        <w:rPr>
          <w:rFonts w:ascii="Arial" w:cs="Arial" w:eastAsia="Arial" w:hAnsi="Arial"/>
          <w:sz w:val="23"/>
          <w:szCs w:val="23"/>
          <w:color w:val="auto"/>
          <w:vertAlign w:val="superscript"/>
        </w:rPr>
        <w:t>®</w:t>
      </w:r>
      <w:r>
        <w:rPr>
          <w:rFonts w:ascii="Arial" w:cs="Arial" w:eastAsia="Arial" w:hAnsi="Arial"/>
          <w:sz w:val="18"/>
          <w:szCs w:val="18"/>
          <w:color w:val="auto"/>
        </w:rPr>
        <w:t>. The system’s modular nature lets the automaker customize functionality while offering it as an affordable, optional feature thereby enhancing safety by allowing the system to fail safe. During any failures due to weather conditions or otherwise that disrupt the digital view, drivers can still safely use the interior and exterior mirrors. The system also supports user preference by permitting drivers to use standard mirror views, camera views, or both. The system can also be tuned to meet the various regulatory field-of-view requirements around the world by using different types of flat and curved glass, combined with simple alterations to the video viewing modes. Downsized exterior mirrors provide automakers with significant weight savings and fuel efficiency improvements. To further enhance safety, the Company's CMS solution can also work in conjunction with a vehicle’s side blind zone warning system. When a trailing vehicle enters a side blind zone, a warning indicator illuminates in both the interior and exterior mirrors, while the corresponding side-view video feed appears in the display until the vehicle passes.</w:t>
      </w:r>
    </w:p>
    <w:p>
      <w:pPr>
        <w:spacing w:after="0" w:line="13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July 2016, a revision to UN-ECE Regulation 46 was published with an effective date of June 18, 2016, which allows for camera monitoring systems to replace mirrors in Japan and European countries. Since January 2017, camera monitoring systems are also permitted as an alternative to replace mirrors in the Korea market. As noted, China released an updated version of its GB15084, effective in 2023, which allows for camera monitoring systems, frameless mirrors and aspheric (free form) glass surfaces. Notwithstanding the foregoing, the Company continues to believe rearview mirrors provide a robust, simple and cost-effective means to view the surrounding areas of a vehicle and remain a primary safety function for rear vision today. Cameras, when used as the primary rear vision delivery mechanism, have some inherent limitations, such as: electrical failure; cameras being blocked or obstructed; depth perception challenges; and viewing angles of the camera. Nonetheless, the Company continues designing and manufacturing not only rearview mirrors, but CMOS imagers and video displays as well. The Company believes that combining video displays with mirrors may well provide a more robust product by addressing all driving conditions in a single solution that can be controlled by the driver. The Company has also previously announced that it continues development in the areas of imager performance, camera dynamic range, lens design, image processing from the camera to the display, and camera lens cleaning. The Company acknowledges that as such technology evolves over time, such as cameras replacing mirrors and/or autonomous driving, there is increased competition.</w:t>
      </w:r>
    </w:p>
    <w:p>
      <w:pPr>
        <w:spacing w:after="0" w:line="104"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The Company began shipping Full Display Mirror</w:t>
      </w:r>
      <w:r>
        <w:rPr>
          <w:rFonts w:ascii="Arial" w:cs="Arial" w:eastAsia="Arial" w:hAnsi="Arial"/>
          <w:sz w:val="23"/>
          <w:szCs w:val="23"/>
          <w:color w:val="auto"/>
          <w:vertAlign w:val="superscript"/>
        </w:rPr>
        <w:t>®</w:t>
      </w:r>
      <w:r>
        <w:rPr>
          <w:rFonts w:ascii="Arial" w:cs="Arial" w:eastAsia="Arial" w:hAnsi="Arial"/>
          <w:sz w:val="18"/>
          <w:szCs w:val="18"/>
          <w:color w:val="auto"/>
        </w:rPr>
        <w:t xml:space="preserve"> with Digital Video Recording ("DVR") capability in 2020. This mirror and system launched in the Japan market and combines the superior functionality of the Full Display Mirror</w:t>
      </w:r>
      <w:r>
        <w:rPr>
          <w:rFonts w:ascii="Arial" w:cs="Arial" w:eastAsia="Arial" w:hAnsi="Arial"/>
          <w:sz w:val="23"/>
          <w:szCs w:val="23"/>
          <w:color w:val="auto"/>
          <w:vertAlign w:val="superscript"/>
        </w:rPr>
        <w:t>®</w:t>
      </w:r>
      <w:r>
        <w:rPr>
          <w:rFonts w:ascii="Arial" w:cs="Arial" w:eastAsia="Arial" w:hAnsi="Arial"/>
          <w:sz w:val="18"/>
          <w:szCs w:val="18"/>
          <w:color w:val="auto"/>
        </w:rPr>
        <w:t xml:space="preserve"> with the added capability to record video from the rearward facing and forward-facing cameras simultaneously. The data is stored to an SD storage card as requested by the customer. This integrated solution provides consumers with the features they want, while allowing the OEM to control the integration and execution in the vehicle. In the first quarter of 2025, the Company launched the Gentex ReVu app, which allows a user to connect to the mirror and download the images or recordings from the DVR to the app on the user's phone. Shipments to customers of this Full Display Mirror</w:t>
      </w:r>
      <w:r>
        <w:rPr>
          <w:rFonts w:ascii="Arial" w:cs="Arial" w:eastAsia="Arial" w:hAnsi="Arial"/>
          <w:sz w:val="23"/>
          <w:szCs w:val="23"/>
          <w:color w:val="auto"/>
          <w:vertAlign w:val="superscript"/>
        </w:rPr>
        <w:t>®</w:t>
      </w:r>
      <w:r>
        <w:rPr>
          <w:rFonts w:ascii="Arial" w:cs="Arial" w:eastAsia="Arial" w:hAnsi="Arial"/>
          <w:sz w:val="18"/>
          <w:szCs w:val="18"/>
          <w:color w:val="auto"/>
        </w:rPr>
        <w:t xml:space="preserve"> with DVR to be used with the app are underway.</w:t>
      </w:r>
    </w:p>
    <w:p>
      <w:pPr>
        <w:spacing w:after="0" w:line="200" w:lineRule="exact"/>
        <w:rPr>
          <w:sz w:val="20"/>
          <w:szCs w:val="20"/>
          <w:color w:val="auto"/>
        </w:rPr>
      </w:pPr>
    </w:p>
    <w:p>
      <w:pPr>
        <w:spacing w:after="0" w:line="29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-426085</wp:posOffset>
            </wp:positionH>
            <wp:positionV relativeFrom="paragraph">
              <wp:posOffset>73660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80"/>
          </w:cols>
          <w:pgMar w:left="980" w:top="931" w:right="339" w:bottom="1440" w:gutter="0" w:footer="0" w:header="0"/>
        </w:sectPr>
      </w:pPr>
    </w:p>
    <w:bookmarkStart w:id="29" w:name="page30"/>
    <w:bookmarkEnd w:id="29"/>
    <w:p>
      <w:pPr>
        <w:jc w:val="both"/>
        <w:spacing w:after="0" w:line="231" w:lineRule="auto"/>
        <w:rPr>
          <w:sz w:val="20"/>
          <w:szCs w:val="20"/>
          <w:color w:val="auto"/>
        </w:rPr>
      </w:pPr>
      <w:r>
        <w:rPr>
          <w:rFonts w:ascii="Arial" w:cs="Arial" w:eastAsia="Arial" w:hAnsi="Arial"/>
          <w:sz w:val="18"/>
          <w:szCs w:val="18"/>
          <w:color w:val="auto"/>
        </w:rPr>
        <w:t>The Company's HomeLink</w:t>
      </w:r>
      <w:r>
        <w:rPr>
          <w:rFonts w:ascii="Arial" w:cs="Arial" w:eastAsia="Arial" w:hAnsi="Arial"/>
          <w:sz w:val="23"/>
          <w:szCs w:val="23"/>
          <w:color w:val="auto"/>
          <w:vertAlign w:val="superscript"/>
        </w:rPr>
        <w:t>®</w:t>
      </w:r>
      <w:r>
        <w:rPr>
          <w:rFonts w:ascii="Arial" w:cs="Arial" w:eastAsia="Arial" w:hAnsi="Arial"/>
          <w:sz w:val="18"/>
          <w:szCs w:val="18"/>
          <w:color w:val="auto"/>
        </w:rPr>
        <w:t xml:space="preserve"> products are the auto industry's most widely used and trusted car-to-home communication system, with an estimated 50 million units on the road. The system consists of two or three in-vehicle buttons that can be programmed to operate garage doors, security gates, home lighting, and other radio-frequency-controlled devices. In 2017, the Company demonstrated the next generation of HomeLink</w:t>
      </w:r>
      <w:r>
        <w:rPr>
          <w:rFonts w:ascii="Arial" w:cs="Arial" w:eastAsia="Arial" w:hAnsi="Arial"/>
          <w:sz w:val="23"/>
          <w:szCs w:val="23"/>
          <w:color w:val="auto"/>
          <w:vertAlign w:val="superscript"/>
        </w:rPr>
        <w:t>®</w:t>
      </w:r>
      <w:r>
        <w:rPr>
          <w:rFonts w:ascii="Arial" w:cs="Arial" w:eastAsia="Arial" w:hAnsi="Arial"/>
          <w:sz w:val="18"/>
          <w:szCs w:val="18"/>
          <w:color w:val="auto"/>
        </w:rPr>
        <w:t>, commonly referred to as HomeLink app, which uses both RF and wireless cloud-based connectivity to deliver complete vehicle-to-home automation. With the HomeLink app, a HomeLink</w:t>
      </w:r>
      <w:r>
        <w:rPr>
          <w:rFonts w:ascii="Arial" w:cs="Arial" w:eastAsia="Arial" w:hAnsi="Arial"/>
          <w:sz w:val="23"/>
          <w:szCs w:val="23"/>
          <w:color w:val="auto"/>
          <w:vertAlign w:val="superscript"/>
        </w:rPr>
        <w:t>®</w:t>
      </w:r>
      <w:r>
        <w:rPr>
          <w:rFonts w:ascii="Arial" w:cs="Arial" w:eastAsia="Arial" w:hAnsi="Arial"/>
          <w:sz w:val="18"/>
          <w:szCs w:val="18"/>
          <w:color w:val="auto"/>
        </w:rPr>
        <w:t xml:space="preserve"> button press communicates with the HomeLink app on the user’s smartphone. The app contains predefined, user-programmed actions, from single device operations to entire home automation scenes. The app, in turn, communicates to the home’s smart hub over the cloud activating the appropriate devices, including security systems, door locks, thermostats, lighting, and other home automation devices, providing comprehensive vehicle-to-home automation. The ability to prepare the home for arrival or departure can occur with one button press. For automakers, this functionality allows them to offer customizable, yet proven solutions without the engineering efforts or security concerns associated with integrating third party software into the vehicle’s computer network. The Company also continues work on providing HomeLink</w:t>
      </w:r>
      <w:r>
        <w:rPr>
          <w:rFonts w:ascii="Arial" w:cs="Arial" w:eastAsia="Arial" w:hAnsi="Arial"/>
          <w:sz w:val="23"/>
          <w:szCs w:val="23"/>
          <w:color w:val="auto"/>
          <w:vertAlign w:val="superscript"/>
        </w:rPr>
        <w:t>®</w:t>
      </w:r>
      <w:r>
        <w:rPr>
          <w:rFonts w:ascii="Arial" w:cs="Arial" w:eastAsia="Arial" w:hAnsi="Arial"/>
          <w:sz w:val="18"/>
          <w:szCs w:val="18"/>
          <w:color w:val="auto"/>
        </w:rPr>
        <w:t xml:space="preserve"> applications for alternative automobile and vehicle types which include, but are not limited to, motorcycles, mopeds, snowmobiles, tractors, combines, lawn mowers, loaders, bulldozers, road-graders, backhoes, and golf carts. In 2021, the Company announced Volkswagen as the first automaker to offer Bluetooth</w:t>
      </w:r>
      <w:r>
        <w:rPr>
          <w:rFonts w:ascii="Arial" w:cs="Arial" w:eastAsia="Arial" w:hAnsi="Arial"/>
          <w:sz w:val="23"/>
          <w:szCs w:val="23"/>
          <w:color w:val="auto"/>
          <w:vertAlign w:val="superscript"/>
        </w:rPr>
        <w:t>®</w:t>
      </w:r>
      <w:r>
        <w:rPr>
          <w:rFonts w:ascii="Arial" w:cs="Arial" w:eastAsia="Arial" w:hAnsi="Arial"/>
          <w:sz w:val="18"/>
          <w:szCs w:val="18"/>
          <w:color w:val="auto"/>
        </w:rPr>
        <w:t xml:space="preserve"> enabled mirror for home automation that works in conjunction with the HomeLink app</w:t>
      </w:r>
      <w:r>
        <w:rPr>
          <w:rFonts w:ascii="Arial" w:cs="Arial" w:eastAsia="Arial" w:hAnsi="Arial"/>
          <w:sz w:val="23"/>
          <w:szCs w:val="23"/>
          <w:color w:val="auto"/>
          <w:vertAlign w:val="superscript"/>
        </w:rPr>
        <w:t>®</w:t>
      </w:r>
      <w:r>
        <w:rPr>
          <w:rFonts w:ascii="Arial" w:cs="Arial" w:eastAsia="Arial" w:hAnsi="Arial"/>
          <w:sz w:val="18"/>
          <w:szCs w:val="18"/>
          <w:color w:val="auto"/>
        </w:rPr>
        <w:t>.</w:t>
      </w:r>
    </w:p>
    <w:p>
      <w:pPr>
        <w:spacing w:after="0" w:line="165"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In 2016, the Company announced a partnership with TransCore to provide automobile manufacturers with a vehicle-integrated tolling solution that enables motorists to drive on nearly all U.S. toll roads without a traditional toll tag on the windshield. Currently more than 75 percent of new car registrations are in states with toll roads with over 50 million drivers accessing these roads each year. The interior mirror is the optimal location for a vehicle-integrated toll transponder, and it eliminates the need to affix multiple toll tags to the windshield and helps automakers seamlessly integrate toll collection into the car. Since the Integrated Toll Module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or ITM</w:t>
      </w:r>
      <w:r>
        <w:rPr>
          <w:rFonts w:ascii="Arial" w:cs="Arial" w:eastAsia="Arial" w:hAnsi="Arial"/>
          <w:sz w:val="23"/>
          <w:szCs w:val="23"/>
          <w:color w:val="auto"/>
          <w:vertAlign w:val="superscript"/>
        </w:rPr>
        <w:t>®</w:t>
      </w:r>
      <w:r>
        <w:rPr>
          <w:rFonts w:ascii="Arial" w:cs="Arial" w:eastAsia="Arial" w:hAnsi="Arial"/>
          <w:sz w:val="18"/>
          <w:szCs w:val="18"/>
          <w:color w:val="auto"/>
        </w:rPr>
        <w:t xml:space="preserve"> enables travel across almost all United States toll roads, and others in North America, motorists would no longer need multiple toll tags for different regions of the country or to manage multiple toll accounts. The Company's vehicle-integrated solution simplifies and expedites local, regional, and national travel. ITM</w:t>
      </w:r>
      <w:r>
        <w:rPr>
          <w:rFonts w:ascii="Arial" w:cs="Arial" w:eastAsia="Arial" w:hAnsi="Arial"/>
          <w:sz w:val="23"/>
          <w:szCs w:val="23"/>
          <w:color w:val="auto"/>
          <w:vertAlign w:val="superscript"/>
        </w:rPr>
        <w:t>®</w:t>
      </w:r>
      <w:r>
        <w:rPr>
          <w:rFonts w:ascii="Arial" w:cs="Arial" w:eastAsia="Arial" w:hAnsi="Arial"/>
          <w:sz w:val="18"/>
          <w:szCs w:val="18"/>
          <w:color w:val="auto"/>
        </w:rPr>
        <w:t xml:space="preserve"> provides transportation agencies with an interoperability solution without costly infrastructure changes to the thousands of miles of toll lanes throughout North America. The Company believes that this product can still represent another growth opportunity over the next several years.</w:t>
      </w:r>
    </w:p>
    <w:p>
      <w:pPr>
        <w:spacing w:after="0" w:line="225" w:lineRule="exact"/>
        <w:rPr>
          <w:sz w:val="20"/>
          <w:szCs w:val="20"/>
          <w:color w:val="auto"/>
        </w:rPr>
      </w:pPr>
    </w:p>
    <w:p>
      <w:pPr>
        <w:jc w:val="both"/>
        <w:spacing w:after="0" w:line="219" w:lineRule="auto"/>
        <w:rPr>
          <w:sz w:val="20"/>
          <w:szCs w:val="20"/>
          <w:color w:val="auto"/>
        </w:rPr>
      </w:pPr>
      <w:r>
        <w:rPr>
          <w:rFonts w:ascii="Arial" w:cs="Arial" w:eastAsia="Arial" w:hAnsi="Arial"/>
          <w:sz w:val="18"/>
          <w:szCs w:val="18"/>
          <w:color w:val="auto"/>
        </w:rPr>
        <w:t>The Company previously announced its first OEM award of ITM</w:t>
      </w:r>
      <w:r>
        <w:rPr>
          <w:rFonts w:ascii="Arial" w:cs="Arial" w:eastAsia="Arial" w:hAnsi="Arial"/>
          <w:sz w:val="23"/>
          <w:szCs w:val="23"/>
          <w:color w:val="auto"/>
          <w:vertAlign w:val="superscript"/>
        </w:rPr>
        <w:t>®</w:t>
      </w:r>
      <w:r>
        <w:rPr>
          <w:rFonts w:ascii="Arial" w:cs="Arial" w:eastAsia="Arial" w:hAnsi="Arial"/>
          <w:sz w:val="18"/>
          <w:szCs w:val="18"/>
          <w:color w:val="auto"/>
        </w:rPr>
        <w:t xml:space="preserve"> with Audi. Currently, the Company is shipping ITM</w:t>
      </w:r>
      <w:r>
        <w:rPr>
          <w:rFonts w:ascii="Arial" w:cs="Arial" w:eastAsia="Arial" w:hAnsi="Arial"/>
          <w:sz w:val="23"/>
          <w:szCs w:val="23"/>
          <w:color w:val="auto"/>
          <w:vertAlign w:val="superscript"/>
        </w:rPr>
        <w:t>®</w:t>
      </w:r>
      <w:r>
        <w:rPr>
          <w:rFonts w:ascii="Arial" w:cs="Arial" w:eastAsia="Arial" w:hAnsi="Arial"/>
          <w:sz w:val="18"/>
          <w:szCs w:val="18"/>
          <w:color w:val="auto"/>
        </w:rPr>
        <w:t xml:space="preserve"> on 11 Audi platforms, which are: the A4, A5, A6, A7, A8, Q5, Q5 Sportback, Q7, Q8, e-tron, and the e-tron Sportback. The Company expects further ITM</w:t>
      </w:r>
      <w:r>
        <w:rPr>
          <w:rFonts w:ascii="Arial" w:cs="Arial" w:eastAsia="Arial" w:hAnsi="Arial"/>
          <w:sz w:val="23"/>
          <w:szCs w:val="23"/>
          <w:color w:val="auto"/>
          <w:vertAlign w:val="superscript"/>
        </w:rPr>
        <w:t>®</w:t>
      </w:r>
      <w:r>
        <w:rPr>
          <w:rFonts w:ascii="Arial" w:cs="Arial" w:eastAsia="Arial" w:hAnsi="Arial"/>
          <w:sz w:val="18"/>
          <w:szCs w:val="18"/>
          <w:color w:val="auto"/>
        </w:rPr>
        <w:t xml:space="preserve"> nameplate launches with Audi during 2025. The Company is also shipping ITM</w:t>
      </w:r>
      <w:r>
        <w:rPr>
          <w:rFonts w:ascii="Arial" w:cs="Arial" w:eastAsia="Arial" w:hAnsi="Arial"/>
          <w:sz w:val="23"/>
          <w:szCs w:val="23"/>
          <w:color w:val="auto"/>
          <w:vertAlign w:val="superscript"/>
        </w:rPr>
        <w:t>®</w:t>
      </w:r>
      <w:r>
        <w:rPr>
          <w:rFonts w:ascii="Arial" w:cs="Arial" w:eastAsia="Arial" w:hAnsi="Arial"/>
          <w:sz w:val="18"/>
          <w:szCs w:val="18"/>
          <w:color w:val="auto"/>
        </w:rPr>
        <w:t xml:space="preserve"> to a second OEM customer, Mercedes, for the EQS model. In 2020, the Company was honored with an Automotive News PACE Award for its ITM</w:t>
      </w:r>
      <w:r>
        <w:rPr>
          <w:rFonts w:ascii="Arial" w:cs="Arial" w:eastAsia="Arial" w:hAnsi="Arial"/>
          <w:sz w:val="23"/>
          <w:szCs w:val="23"/>
          <w:color w:val="auto"/>
          <w:vertAlign w:val="superscript"/>
        </w:rPr>
        <w:t>®</w:t>
      </w:r>
      <w:r>
        <w:rPr>
          <w:rFonts w:ascii="Arial" w:cs="Arial" w:eastAsia="Arial" w:hAnsi="Arial"/>
          <w:sz w:val="18"/>
          <w:szCs w:val="18"/>
          <w:color w:val="auto"/>
        </w:rPr>
        <w:t xml:space="preserve"> product, which recognizes automotive suppliers for superior innovation, technological advancement, and business performance.</w:t>
      </w:r>
    </w:p>
    <w:p>
      <w:pPr>
        <w:spacing w:after="0" w:line="224" w:lineRule="exact"/>
        <w:rPr>
          <w:sz w:val="20"/>
          <w:szCs w:val="20"/>
          <w:color w:val="auto"/>
        </w:rPr>
      </w:pPr>
    </w:p>
    <w:p>
      <w:pPr>
        <w:jc w:val="both"/>
        <w:spacing w:after="0" w:line="229" w:lineRule="auto"/>
        <w:rPr>
          <w:sz w:val="20"/>
          <w:szCs w:val="20"/>
          <w:color w:val="auto"/>
        </w:rPr>
      </w:pPr>
      <w:r>
        <w:rPr>
          <w:rFonts w:ascii="Arial" w:cs="Arial" w:eastAsia="Arial" w:hAnsi="Arial"/>
          <w:sz w:val="18"/>
          <w:szCs w:val="18"/>
          <w:color w:val="auto"/>
        </w:rPr>
        <w:t>Further, the Company has previously announced an embedded biometric solution for vehicles that leverages iris scanning technology to create a secure environment in the vehicle. There are many use cases for authentication, which range from vehicle security to start functionality to personalization of mirrors, music, seat location, and temperature, to the ability to control transactions not only for the ITM</w:t>
      </w:r>
      <w:r>
        <w:rPr>
          <w:rFonts w:ascii="Arial" w:cs="Arial" w:eastAsia="Arial" w:hAnsi="Arial"/>
          <w:sz w:val="23"/>
          <w:szCs w:val="23"/>
          <w:color w:val="auto"/>
          <w:vertAlign w:val="superscript"/>
        </w:rPr>
        <w:t>®</w:t>
      </w:r>
      <w:r>
        <w:rPr>
          <w:rFonts w:ascii="Arial" w:cs="Arial" w:eastAsia="Arial" w:hAnsi="Arial"/>
          <w:sz w:val="18"/>
          <w:szCs w:val="18"/>
          <w:color w:val="auto"/>
        </w:rPr>
        <w:t xml:space="preserve"> system, but also the ride sharing car of the future. The Company believes iris recognition is among the most secure forms of biometric identification, with a false acceptance rate as low as one in 10 million, far superior to facial, voice, and other current biometric systems. The Company's future plans include integrating biometric authentication with HomeLink</w:t>
      </w:r>
      <w:r>
        <w:rPr>
          <w:rFonts w:ascii="Arial" w:cs="Arial" w:eastAsia="Arial" w:hAnsi="Arial"/>
          <w:sz w:val="23"/>
          <w:szCs w:val="23"/>
          <w:color w:val="auto"/>
          <w:vertAlign w:val="superscript"/>
        </w:rPr>
        <w:t>®</w:t>
      </w:r>
      <w:r>
        <w:rPr>
          <w:rFonts w:ascii="Arial" w:cs="Arial" w:eastAsia="Arial" w:hAnsi="Arial"/>
          <w:sz w:val="18"/>
          <w:szCs w:val="18"/>
          <w:color w:val="auto"/>
        </w:rPr>
        <w:t xml:space="preserve"> and HomeLink</w:t>
      </w:r>
      <w:r>
        <w:rPr>
          <w:rFonts w:ascii="Arial" w:cs="Arial" w:eastAsia="Arial" w:hAnsi="Arial"/>
          <w:sz w:val="23"/>
          <w:szCs w:val="23"/>
          <w:color w:val="auto"/>
          <w:vertAlign w:val="superscript"/>
        </w:rPr>
        <w:t>®</w:t>
      </w:r>
      <w:r>
        <w:rPr>
          <w:rFonts w:ascii="Arial" w:cs="Arial" w:eastAsia="Arial" w:hAnsi="Arial"/>
          <w:sz w:val="18"/>
          <w:szCs w:val="18"/>
          <w:color w:val="auto"/>
        </w:rPr>
        <w:t xml:space="preserve"> app. The biometric system will allow HomeLink</w:t>
      </w:r>
      <w:r>
        <w:rPr>
          <w:rFonts w:ascii="Arial" w:cs="Arial" w:eastAsia="Arial" w:hAnsi="Arial"/>
          <w:sz w:val="23"/>
          <w:szCs w:val="23"/>
          <w:color w:val="auto"/>
          <w:vertAlign w:val="superscript"/>
        </w:rPr>
        <w:t>®</w:t>
      </w:r>
      <w:r>
        <w:rPr>
          <w:rFonts w:ascii="Arial" w:cs="Arial" w:eastAsia="Arial" w:hAnsi="Arial"/>
          <w:sz w:val="18"/>
          <w:szCs w:val="18"/>
          <w:color w:val="auto"/>
        </w:rPr>
        <w:t xml:space="preserve"> to provide added security and convenience for multiple drivers by activating the unique home automation presets of different authorized users.</w:t>
      </w:r>
    </w:p>
    <w:p>
      <w:pPr>
        <w:spacing w:after="0" w:line="226"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In 2021, the Company announced a partnership, in the ordinary course of business, with Simplenight to provide drivers and vehicle occupants with access to enhanced mobile capability for booking personalized entertainment and lifestyle experiences in addition to everyday purchases. Simplenight delivers a customizable and robust platform that enables brands to globally offer real-time book-ability across multiple categories such as dining, accommodations, attractions, events, gas, parking, shopping and more. The platform is unique in that it is designed to seamlessly integrate into automaker infotainment and navigation systems, as well as mobile applications and voice assistants. Simplenight can be integrated into the Company's current and future connected vehicle technologies, including HomeLink</w:t>
      </w:r>
      <w:r>
        <w:rPr>
          <w:rFonts w:ascii="Arial" w:cs="Arial" w:eastAsia="Arial" w:hAnsi="Arial"/>
          <w:sz w:val="23"/>
          <w:szCs w:val="23"/>
          <w:color w:val="auto"/>
          <w:vertAlign w:val="superscript"/>
        </w:rPr>
        <w:t>®</w:t>
      </w:r>
      <w:r>
        <w:rPr>
          <w:rFonts w:ascii="Arial" w:cs="Arial" w:eastAsia="Arial" w:hAnsi="Arial"/>
          <w:sz w:val="18"/>
          <w:szCs w:val="18"/>
          <w:color w:val="auto"/>
        </w:rPr>
        <w:t>, which, again, is the</w:t>
      </w:r>
    </w:p>
    <w:p>
      <w:pPr>
        <w:spacing w:after="0" w:line="200" w:lineRule="exact"/>
        <w:rPr>
          <w:sz w:val="20"/>
          <w:szCs w:val="20"/>
          <w:color w:val="auto"/>
        </w:rPr>
      </w:pPr>
    </w:p>
    <w:p>
      <w:pPr>
        <w:spacing w:after="0" w:line="28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-426085</wp:posOffset>
            </wp:positionH>
            <wp:positionV relativeFrom="paragraph">
              <wp:posOffset>73660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80"/>
          </w:cols>
          <w:pgMar w:left="980" w:top="1077" w:right="339" w:bottom="1440" w:gutter="0" w:footer="0" w:header="0"/>
        </w:sectPr>
      </w:pPr>
    </w:p>
    <w:bookmarkStart w:id="30" w:name="page31"/>
    <w:bookmarkEnd w:id="30"/>
    <w:p>
      <w:pPr>
        <w:jc w:val="both"/>
        <w:spacing w:after="0" w:line="224" w:lineRule="auto"/>
        <w:rPr>
          <w:sz w:val="20"/>
          <w:szCs w:val="20"/>
          <w:color w:val="auto"/>
        </w:rPr>
      </w:pPr>
      <w:r>
        <w:rPr>
          <w:rFonts w:ascii="Arial" w:cs="Arial" w:eastAsia="Arial" w:hAnsi="Arial"/>
          <w:sz w:val="18"/>
          <w:szCs w:val="18"/>
          <w:color w:val="auto"/>
        </w:rPr>
        <w:t>automotive industry’s leading car-to-home automation system. HomeLink</w:t>
      </w:r>
      <w:r>
        <w:rPr>
          <w:rFonts w:ascii="Arial" w:cs="Arial" w:eastAsia="Arial" w:hAnsi="Arial"/>
          <w:sz w:val="23"/>
          <w:szCs w:val="23"/>
          <w:color w:val="auto"/>
          <w:vertAlign w:val="superscript"/>
        </w:rPr>
        <w:t>®</w:t>
      </w:r>
      <w:r>
        <w:rPr>
          <w:rFonts w:ascii="Arial" w:cs="Arial" w:eastAsia="Arial" w:hAnsi="Arial"/>
          <w:sz w:val="18"/>
          <w:szCs w:val="18"/>
          <w:color w:val="auto"/>
        </w:rPr>
        <w:t xml:space="preserve"> consists of vehicle-integrated buttons that can be programmed to operate a myriad of home automation devices. Integration of Simplenight into the Company's HomeLink</w:t>
      </w:r>
      <w:r>
        <w:rPr>
          <w:rFonts w:ascii="Arial" w:cs="Arial" w:eastAsia="Arial" w:hAnsi="Arial"/>
          <w:sz w:val="23"/>
          <w:szCs w:val="23"/>
          <w:color w:val="auto"/>
          <w:vertAlign w:val="superscript"/>
        </w:rPr>
        <w:t>®</w:t>
      </w:r>
      <w:r>
        <w:rPr>
          <w:rFonts w:ascii="Arial" w:cs="Arial" w:eastAsia="Arial" w:hAnsi="Arial"/>
          <w:sz w:val="18"/>
          <w:szCs w:val="18"/>
          <w:color w:val="auto"/>
        </w:rPr>
        <w:t xml:space="preserve"> app is underway and will allow users to program their HomeLink</w:t>
      </w:r>
      <w:r>
        <w:rPr>
          <w:rFonts w:ascii="Arial" w:cs="Arial" w:eastAsia="Arial" w:hAnsi="Arial"/>
          <w:sz w:val="23"/>
          <w:szCs w:val="23"/>
          <w:color w:val="auto"/>
          <w:vertAlign w:val="superscript"/>
        </w:rPr>
        <w:t>®</w:t>
      </w:r>
      <w:r>
        <w:rPr>
          <w:rFonts w:ascii="Arial" w:cs="Arial" w:eastAsia="Arial" w:hAnsi="Arial"/>
          <w:sz w:val="18"/>
          <w:szCs w:val="18"/>
          <w:color w:val="auto"/>
        </w:rPr>
        <w:t xml:space="preserve"> buttons and control cloud-based devices from their vehicles.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Dimmable Devices</w:t>
      </w:r>
    </w:p>
    <w:p>
      <w:pPr>
        <w:spacing w:after="0" w:line="25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previously announced that it is providing variably dimmable windows for the Boeing 787 Dreamliner series of aircraft. The Company continues to work with other aircraft manufacturers that have an interest in this technology regarding potential additional programs. In 2019, the Company announced that its latest generation of dimmable aircraft windows will be offered as optional content on the new Boeing 777X. In 2019, the first production shipments of variably dimmable windows were made to Boeing for the 777X program. As also previously announced, Airbus is now offering, as optional content, the Company's dimmable aircraft windows on its aircraft, with production having begun in 2021.</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Medical</w:t>
      </w:r>
    </w:p>
    <w:p>
      <w:pPr>
        <w:spacing w:after="0" w:line="25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2020, the Company unveiled an innovative lighting technology for medical applications that was co-developed with Mayo Clinic. This new lighting concept represents the collaboration of a global, high-technology electronics company with a world leader in health care. The Company's new intelligent lighting system combines ambient room lighting with camera-controlled, adaptive task lighting to optimize illumination for surgical and patient-care environments. The system was developed over an 18-month period of collaboration between Company engineers and Mayo Clinic surgeons, scientists, and operating room staff. The teams researched, designed, and rapidly iterated multiple prototypes in order to develop unique features intended to address major gaps in current surgical lighting solutions. In 2024, the Company continued to further develop and work on the intelligent medical lighting system in order to assess system performance and work toward obtaining any necessary approvals.</w:t>
      </w:r>
    </w:p>
    <w:p>
      <w:pPr>
        <w:spacing w:after="0" w:line="21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November 2023, in the ordinary course of business, the Company acquired certain technology assets from eSight. The technology acquired provides the most advanced and versatile low-vision smart glasses available for those with visual impairments and is compatible with more than 20 eye conditions including Macular Degeneration, Diabetic Retinopathy, and Stargardt disease. eSight4 is a Class 1 Medical Device that is registered with the FDA, registered with EUDAMED, and inspected by Health Canada. During the third quarter of 2024, the Company recorded its first official sales of medical devices from shipments of the e-Sight Go product.</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Biometric Products</w:t>
      </w:r>
    </w:p>
    <w:p>
      <w:pPr>
        <w:spacing w:after="0" w:line="25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November 2024, the Company acquired GalvanEyes, LLC, which is the managing partner and 50% owner of the BioCenturion joint venture with Eyelock, a subsidiary of VOXX. BioCenturion specializes in creating and deploying authentication solutions to help clients secure their worlds, optimize their workloads, and organize their data through customized biometric solutions. BioCenturion's significant IP portfolio, including more than 100 patents granted, patents pending, and proprietary technology enables a high-speed, convenient, touchless, contactless, frictionless, and secure authentication of individuals across different business verticals.</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OTHER</w:t>
      </w:r>
    </w:p>
    <w:p>
      <w:pPr>
        <w:spacing w:after="0" w:line="252"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Automotive revenues represent approximately 97% - 99% of the Company's total revenue, consisting of interior and exterior electrochromic automatic-dimming rearview mirrors and automotive electronics.</w:t>
      </w:r>
    </w:p>
    <w:p>
      <w:pPr>
        <w:spacing w:after="0" w:line="180"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Company has been, is being, and will continue to be impacted by tariffs, trade regulatory actions, and changes in international trade policies as further explained below.</w:t>
      </w:r>
    </w:p>
    <w:p>
      <w:pPr>
        <w:spacing w:after="0" w:line="180"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Company continues to experience pricing pressure from automotive customers and competitors, in addition to tariff increases, raw material cost increases, labor cost increases, and logistics cost increases, which will continue to cause downward pressure on its sales and profit margins. The Company works continuously to offset these supply chain issues and inflationary pressures with engineering and purchasing</w:t>
      </w:r>
    </w:p>
    <w:p>
      <w:pPr>
        <w:spacing w:after="0" w:line="200" w:lineRule="exact"/>
        <w:rPr>
          <w:sz w:val="20"/>
          <w:szCs w:val="20"/>
          <w:color w:val="auto"/>
        </w:rPr>
      </w:pPr>
    </w:p>
    <w:p>
      <w:pPr>
        <w:spacing w:after="0" w:line="35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-426085</wp:posOffset>
            </wp:positionH>
            <wp:positionV relativeFrom="paragraph">
              <wp:posOffset>73660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80"/>
          </w:cols>
          <w:pgMar w:left="980" w:top="928" w:right="339" w:bottom="1440" w:gutter="0" w:footer="0" w:header="0"/>
        </w:sectPr>
      </w:pPr>
    </w:p>
    <w:bookmarkStart w:id="31" w:name="page32"/>
    <w:bookmarkEnd w:id="31"/>
    <w:p>
      <w:pPr>
        <w:jc w:val="both"/>
        <w:ind w:right="20"/>
        <w:spacing w:after="0" w:line="287" w:lineRule="auto"/>
        <w:rPr>
          <w:sz w:val="20"/>
          <w:szCs w:val="20"/>
          <w:color w:val="auto"/>
        </w:rPr>
      </w:pPr>
      <w:r>
        <w:rPr>
          <w:rFonts w:ascii="Arial" w:cs="Arial" w:eastAsia="Arial" w:hAnsi="Arial"/>
          <w:sz w:val="18"/>
          <w:szCs w:val="18"/>
          <w:color w:val="auto"/>
        </w:rPr>
        <w:t>cost reductions, productivity improvements, increases in unit sales volume, and negotiations with customers to reduce the impact of the inflationary pressures, but there is no assurance the Company will be able to do so in the future.</w:t>
      </w:r>
    </w:p>
    <w:p>
      <w:pPr>
        <w:spacing w:after="0" w:line="180"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Because the Company sells its products throughout the world, and automotive manufacturing is highly dependent on economic conditions, the Company can be affected by uncertain economic conditions that can reduce demand for its products, including the current inflationary environment. The Company has been likewise affected by industry-wide parts shortages and global supply constraints and labor shortages.</w:t>
      </w:r>
    </w:p>
    <w:p>
      <w:pPr>
        <w:spacing w:after="0" w:line="203" w:lineRule="exact"/>
        <w:rPr>
          <w:sz w:val="20"/>
          <w:szCs w:val="20"/>
          <w:color w:val="auto"/>
        </w:rPr>
      </w:pPr>
    </w:p>
    <w:p>
      <w:pPr>
        <w:jc w:val="both"/>
        <w:ind w:right="20"/>
        <w:spacing w:after="0" w:line="262" w:lineRule="auto"/>
        <w:rPr>
          <w:sz w:val="20"/>
          <w:szCs w:val="20"/>
          <w:color w:val="auto"/>
        </w:rPr>
      </w:pPr>
      <w:r>
        <w:rPr>
          <w:rFonts w:ascii="Arial" w:cs="Arial" w:eastAsia="Arial" w:hAnsi="Arial"/>
          <w:sz w:val="18"/>
          <w:szCs w:val="18"/>
          <w:color w:val="auto"/>
        </w:rPr>
        <w:t>The Company believes that its patents and trade secrets provide it with a competitive advantage in dimmable devices, electronics, and other features that it offers for the automotive, aerospace, and medical industry. Claims of patent infringement can be costly and time-consuming to address. To that end, the Company obtains intellectual property rights in the ordinary course of business to strengthen its intellectual property portfolio and to minimize the risk of infringement.</w:t>
      </w:r>
    </w:p>
    <w:p>
      <w:pPr>
        <w:spacing w:after="0" w:line="203"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Company does not have any significant off-balance sheet arrangements or commitments that have not been recorded in its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-426085</wp:posOffset>
            </wp:positionH>
            <wp:positionV relativeFrom="paragraph">
              <wp:posOffset>73660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80"/>
          </w:cols>
          <w:pgMar w:left="980" w:top="931"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u w:val="single" w:color="auto"/>
          <w:color w:val="auto"/>
        </w:rPr>
        <w:t>OUTLOOK</w:t>
      </w:r>
    </w:p>
    <w:p>
      <w:pPr>
        <w:spacing w:after="0" w:line="239" w:lineRule="exact"/>
        <w:rPr>
          <w:sz w:val="20"/>
          <w:szCs w:val="20"/>
          <w:color w:val="auto"/>
        </w:rPr>
      </w:pPr>
    </w:p>
    <w:p>
      <w:pPr>
        <w:jc w:val="both"/>
        <w:spacing w:after="0" w:line="245" w:lineRule="auto"/>
        <w:rPr>
          <w:sz w:val="20"/>
          <w:szCs w:val="20"/>
          <w:color w:val="auto"/>
        </w:rPr>
      </w:pPr>
      <w:r>
        <w:rPr>
          <w:rFonts w:ascii="Arial" w:cs="Arial" w:eastAsia="Arial" w:hAnsi="Arial"/>
          <w:sz w:val="18"/>
          <w:szCs w:val="18"/>
          <w:color w:val="auto"/>
        </w:rPr>
        <w:t>The Company’s current forecasts for light vehicle production for the second quarter of 2025, and full years 2025 and 2026, are based on the mid-April 2025 S&amp;P Global Mobility forecast for light vehicle production in North America, Europe, Japan/Korea, and China.</w:t>
      </w:r>
    </w:p>
    <w:p>
      <w:pPr>
        <w:jc w:val="both"/>
        <w:spacing w:after="0" w:line="226" w:lineRule="auto"/>
        <w:rPr>
          <w:sz w:val="20"/>
          <w:szCs w:val="20"/>
          <w:color w:val="auto"/>
        </w:rPr>
      </w:pPr>
      <w:r>
        <w:rPr>
          <w:rFonts w:ascii="Arial" w:cs="Arial" w:eastAsia="Arial" w:hAnsi="Arial"/>
          <w:sz w:val="18"/>
          <w:szCs w:val="18"/>
          <w:color w:val="auto"/>
        </w:rPr>
        <w:t>As a result of the current and expected tariff escalation in the China market, the Company has pro-actively halted production of interior and exterior mirrors destined for customers in the China market. Subsequently, many of the Company's customers based in</w:t>
      </w:r>
    </w:p>
    <w:p>
      <w:pPr>
        <w:spacing w:after="0" w:line="2"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China have canceled or paused orders, while the Company works with these customers to better understand their ability and willingness to pay elevated prices resulting from new tariff rates. Second quarter of 2025, and calendar years 2025 and 2026, forecasted light vehicle production volumes are shown below:</w:t>
      </w:r>
    </w:p>
    <w:p>
      <w:pPr>
        <w:spacing w:after="0" w:line="256" w:lineRule="exact"/>
        <w:rPr>
          <w:sz w:val="20"/>
          <w:szCs w:val="20"/>
          <w:color w:val="auto"/>
        </w:rPr>
      </w:pPr>
    </w:p>
    <w:p>
      <w:pPr>
        <w:ind w:left="540"/>
        <w:spacing w:after="0"/>
        <w:rPr>
          <w:sz w:val="20"/>
          <w:szCs w:val="20"/>
          <w:color w:val="auto"/>
        </w:rPr>
      </w:pPr>
      <w:r>
        <w:rPr>
          <w:rFonts w:ascii="Arial" w:cs="Arial" w:eastAsia="Arial" w:hAnsi="Arial"/>
          <w:sz w:val="20"/>
          <w:szCs w:val="20"/>
          <w:b w:val="1"/>
          <w:bCs w:val="1"/>
          <w:color w:val="auto"/>
        </w:rPr>
        <w:t>Light Vehicle Production (per S&amp;P Global Mobility mid-April light vehicle production forecast)</w:t>
      </w:r>
    </w:p>
    <w:p>
      <w:pPr>
        <w:spacing w:after="0" w:line="43" w:lineRule="exact"/>
        <w:rPr>
          <w:sz w:val="20"/>
          <w:szCs w:val="20"/>
          <w:color w:val="auto"/>
        </w:rPr>
      </w:pPr>
    </w:p>
    <w:p>
      <w:pPr>
        <w:ind w:left="20"/>
        <w:spacing w:after="0"/>
        <w:rPr>
          <w:sz w:val="20"/>
          <w:szCs w:val="20"/>
          <w:color w:val="auto"/>
        </w:rPr>
      </w:pPr>
      <w:r>
        <w:rPr>
          <w:rFonts w:ascii="Arial" w:cs="Arial" w:eastAsia="Arial" w:hAnsi="Arial"/>
          <w:sz w:val="18"/>
          <w:szCs w:val="18"/>
          <w:color w:val="auto"/>
        </w:rPr>
        <w:t>(in Millions)</w:t>
      </w:r>
    </w:p>
    <w:tbl>
      <w:tblPr>
        <w:tblLayout w:type="fixed"/>
        <w:tblInd w:w="0" w:type="dxa"/>
        <w:tblCellMar>
          <w:top w:w="0" w:type="dxa"/>
          <w:left w:w="0" w:type="dxa"/>
          <w:bottom w:w="0" w:type="dxa"/>
          <w:right w:w="0" w:type="dxa"/>
        </w:tblCellMar>
      </w:tblPr>
      <w:tr>
        <w:trPr>
          <w:trHeight w:val="178"/>
        </w:trPr>
        <w:tc>
          <w:tcPr>
            <w:tcW w:w="1940" w:type="dxa"/>
            <w:vAlign w:val="bottom"/>
            <w:vMerge w:val="restart"/>
          </w:tcPr>
          <w:p>
            <w:pPr>
              <w:ind w:left="20"/>
              <w:spacing w:after="0"/>
              <w:rPr>
                <w:sz w:val="20"/>
                <w:szCs w:val="20"/>
                <w:color w:val="auto"/>
              </w:rPr>
            </w:pPr>
            <w:r>
              <w:rPr>
                <w:rFonts w:ascii="Arial" w:cs="Arial" w:eastAsia="Arial" w:hAnsi="Arial"/>
                <w:sz w:val="16"/>
                <w:szCs w:val="16"/>
                <w:color w:val="auto"/>
              </w:rPr>
              <w:t>Region</w:t>
            </w:r>
          </w:p>
        </w:tc>
        <w:tc>
          <w:tcPr>
            <w:tcW w:w="76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Q2 2025</w:t>
            </w:r>
          </w:p>
        </w:tc>
        <w:tc>
          <w:tcPr>
            <w:tcW w:w="76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Q2 2024</w:t>
            </w:r>
          </w:p>
        </w:tc>
        <w:tc>
          <w:tcPr>
            <w:tcW w:w="1080" w:type="dxa"/>
            <w:vAlign w:val="bottom"/>
            <w:gridSpan w:val="2"/>
            <w:vMerge w:val="restart"/>
          </w:tcPr>
          <w:p>
            <w:pPr>
              <w:ind w:left="80"/>
              <w:spacing w:after="0"/>
              <w:rPr>
                <w:sz w:val="20"/>
                <w:szCs w:val="20"/>
                <w:color w:val="auto"/>
              </w:rPr>
            </w:pPr>
            <w:r>
              <w:rPr>
                <w:rFonts w:ascii="Arial" w:cs="Arial" w:eastAsia="Arial" w:hAnsi="Arial"/>
                <w:sz w:val="16"/>
                <w:szCs w:val="16"/>
                <w:b w:val="1"/>
                <w:bCs w:val="1"/>
                <w:color w:val="auto"/>
              </w:rPr>
              <w:t>% Change</w:t>
            </w:r>
          </w:p>
        </w:tc>
        <w:tc>
          <w:tcPr>
            <w:tcW w:w="940" w:type="dxa"/>
            <w:vAlign w:val="bottom"/>
          </w:tcPr>
          <w:p>
            <w:pPr>
              <w:jc w:val="right"/>
              <w:ind w:right="53"/>
              <w:spacing w:after="0" w:line="178" w:lineRule="exact"/>
              <w:rPr>
                <w:sz w:val="20"/>
                <w:szCs w:val="20"/>
                <w:color w:val="auto"/>
              </w:rPr>
            </w:pPr>
            <w:r>
              <w:rPr>
                <w:rFonts w:ascii="Arial" w:cs="Arial" w:eastAsia="Arial" w:hAnsi="Arial"/>
                <w:sz w:val="16"/>
                <w:szCs w:val="16"/>
                <w:b w:val="1"/>
                <w:bCs w:val="1"/>
                <w:color w:val="auto"/>
              </w:rPr>
              <w:t>Calendar</w:t>
            </w:r>
          </w:p>
        </w:tc>
        <w:tc>
          <w:tcPr>
            <w:tcW w:w="920" w:type="dxa"/>
            <w:vAlign w:val="bottom"/>
          </w:tcPr>
          <w:p>
            <w:pPr>
              <w:jc w:val="right"/>
              <w:ind w:right="33"/>
              <w:spacing w:after="0" w:line="178" w:lineRule="exact"/>
              <w:rPr>
                <w:sz w:val="20"/>
                <w:szCs w:val="20"/>
                <w:color w:val="auto"/>
              </w:rPr>
            </w:pPr>
            <w:r>
              <w:rPr>
                <w:rFonts w:ascii="Arial" w:cs="Arial" w:eastAsia="Arial" w:hAnsi="Arial"/>
                <w:sz w:val="16"/>
                <w:szCs w:val="16"/>
                <w:b w:val="1"/>
                <w:bCs w:val="1"/>
                <w:color w:val="auto"/>
              </w:rPr>
              <w:t>Calendar</w:t>
            </w:r>
          </w:p>
        </w:tc>
        <w:tc>
          <w:tcPr>
            <w:tcW w:w="1060" w:type="dxa"/>
            <w:vAlign w:val="bottom"/>
            <w:gridSpan w:val="2"/>
          </w:tcPr>
          <w:p>
            <w:pPr>
              <w:jc w:val="center"/>
              <w:ind w:right="140"/>
              <w:spacing w:after="0" w:line="178" w:lineRule="exact"/>
              <w:rPr>
                <w:sz w:val="20"/>
                <w:szCs w:val="20"/>
                <w:color w:val="auto"/>
              </w:rPr>
            </w:pPr>
            <w:r>
              <w:rPr>
                <w:rFonts w:ascii="Arial" w:cs="Arial" w:eastAsia="Arial" w:hAnsi="Arial"/>
                <w:sz w:val="16"/>
                <w:szCs w:val="16"/>
                <w:b w:val="1"/>
                <w:bCs w:val="1"/>
                <w:color w:val="auto"/>
                <w:w w:val="99"/>
              </w:rPr>
              <w:t>Calendar</w:t>
            </w:r>
          </w:p>
        </w:tc>
        <w:tc>
          <w:tcPr>
            <w:tcW w:w="1220" w:type="dxa"/>
            <w:vAlign w:val="bottom"/>
          </w:tcPr>
          <w:p>
            <w:pPr>
              <w:jc w:val="right"/>
              <w:ind w:right="33"/>
              <w:spacing w:after="0" w:line="178" w:lineRule="exact"/>
              <w:rPr>
                <w:sz w:val="20"/>
                <w:szCs w:val="20"/>
                <w:color w:val="auto"/>
              </w:rPr>
            </w:pPr>
            <w:r>
              <w:rPr>
                <w:rFonts w:ascii="Arial" w:cs="Arial" w:eastAsia="Arial" w:hAnsi="Arial"/>
                <w:sz w:val="16"/>
                <w:szCs w:val="16"/>
                <w:b w:val="1"/>
                <w:bCs w:val="1"/>
                <w:color w:val="auto"/>
              </w:rPr>
              <w:t>2026 vs 2025</w:t>
            </w:r>
          </w:p>
        </w:tc>
        <w:tc>
          <w:tcPr>
            <w:tcW w:w="1220" w:type="dxa"/>
            <w:vAlign w:val="bottom"/>
          </w:tcPr>
          <w:p>
            <w:pPr>
              <w:jc w:val="right"/>
              <w:ind w:right="53"/>
              <w:spacing w:after="0" w:line="178" w:lineRule="exact"/>
              <w:rPr>
                <w:sz w:val="20"/>
                <w:szCs w:val="20"/>
                <w:color w:val="auto"/>
              </w:rPr>
            </w:pPr>
            <w:r>
              <w:rPr>
                <w:rFonts w:ascii="Arial" w:cs="Arial" w:eastAsia="Arial" w:hAnsi="Arial"/>
                <w:sz w:val="16"/>
                <w:szCs w:val="16"/>
                <w:b w:val="1"/>
                <w:bCs w:val="1"/>
                <w:color w:val="auto"/>
              </w:rPr>
              <w:t>2025 vs 2024</w:t>
            </w:r>
          </w:p>
        </w:tc>
        <w:tc>
          <w:tcPr>
            <w:tcW w:w="0" w:type="dxa"/>
            <w:vAlign w:val="bottom"/>
          </w:tcPr>
          <w:p>
            <w:pPr>
              <w:spacing w:after="0"/>
              <w:rPr>
                <w:sz w:val="1"/>
                <w:szCs w:val="1"/>
                <w:color w:val="auto"/>
              </w:rPr>
            </w:pPr>
          </w:p>
        </w:tc>
      </w:tr>
      <w:tr>
        <w:trPr>
          <w:trHeight w:val="236"/>
        </w:trPr>
        <w:tc>
          <w:tcPr>
            <w:tcW w:w="1940" w:type="dxa"/>
            <w:vAlign w:val="bottom"/>
            <w:vMerge w:val="continue"/>
          </w:tcPr>
          <w:p>
            <w:pPr>
              <w:spacing w:after="0"/>
              <w:rPr>
                <w:sz w:val="20"/>
                <w:szCs w:val="20"/>
                <w:color w:val="auto"/>
              </w:rPr>
            </w:pPr>
          </w:p>
        </w:tc>
        <w:tc>
          <w:tcPr>
            <w:tcW w:w="760" w:type="dxa"/>
            <w:vAlign w:val="bottom"/>
            <w:vMerge w:val="continue"/>
          </w:tcPr>
          <w:p>
            <w:pPr>
              <w:spacing w:after="0"/>
              <w:rPr>
                <w:sz w:val="20"/>
                <w:szCs w:val="20"/>
                <w:color w:val="auto"/>
              </w:rPr>
            </w:pPr>
          </w:p>
        </w:tc>
        <w:tc>
          <w:tcPr>
            <w:tcW w:w="760" w:type="dxa"/>
            <w:vAlign w:val="bottom"/>
            <w:vMerge w:val="continue"/>
          </w:tcPr>
          <w:p>
            <w:pPr>
              <w:spacing w:after="0"/>
              <w:rPr>
                <w:sz w:val="20"/>
                <w:szCs w:val="20"/>
                <w:color w:val="auto"/>
              </w:rPr>
            </w:pPr>
          </w:p>
        </w:tc>
        <w:tc>
          <w:tcPr>
            <w:tcW w:w="1080" w:type="dxa"/>
            <w:vAlign w:val="bottom"/>
            <w:gridSpan w:val="2"/>
            <w:vMerge w:val="continue"/>
          </w:tcPr>
          <w:p>
            <w:pPr>
              <w:spacing w:after="0"/>
              <w:rPr>
                <w:sz w:val="20"/>
                <w:szCs w:val="20"/>
                <w:color w:val="auto"/>
              </w:rPr>
            </w:pPr>
          </w:p>
        </w:tc>
        <w:tc>
          <w:tcPr>
            <w:tcW w:w="940" w:type="dxa"/>
            <w:vAlign w:val="bottom"/>
          </w:tcPr>
          <w:p>
            <w:pPr>
              <w:jc w:val="right"/>
              <w:ind w:right="13"/>
              <w:spacing w:after="0"/>
              <w:rPr>
                <w:sz w:val="20"/>
                <w:szCs w:val="20"/>
                <w:color w:val="auto"/>
              </w:rPr>
            </w:pPr>
            <w:r>
              <w:rPr>
                <w:rFonts w:ascii="Arial" w:cs="Arial" w:eastAsia="Arial" w:hAnsi="Arial"/>
                <w:sz w:val="16"/>
                <w:szCs w:val="16"/>
                <w:b w:val="1"/>
                <w:bCs w:val="1"/>
                <w:color w:val="auto"/>
              </w:rPr>
              <w:t>Year 2026</w:t>
            </w:r>
          </w:p>
        </w:tc>
        <w:tc>
          <w:tcPr>
            <w:tcW w:w="920" w:type="dxa"/>
            <w:vAlign w:val="bottom"/>
          </w:tcPr>
          <w:p>
            <w:pPr>
              <w:jc w:val="right"/>
              <w:ind w:right="13"/>
              <w:spacing w:after="0"/>
              <w:rPr>
                <w:sz w:val="20"/>
                <w:szCs w:val="20"/>
                <w:color w:val="auto"/>
              </w:rPr>
            </w:pPr>
            <w:r>
              <w:rPr>
                <w:rFonts w:ascii="Arial" w:cs="Arial" w:eastAsia="Arial" w:hAnsi="Arial"/>
                <w:sz w:val="16"/>
                <w:szCs w:val="16"/>
                <w:b w:val="1"/>
                <w:bCs w:val="1"/>
                <w:color w:val="auto"/>
              </w:rPr>
              <w:t>Year 2025</w:t>
            </w:r>
          </w:p>
        </w:tc>
        <w:tc>
          <w:tcPr>
            <w:tcW w:w="106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rPr>
              <w:t>Year 2024</w:t>
            </w:r>
          </w:p>
        </w:tc>
        <w:tc>
          <w:tcPr>
            <w:tcW w:w="1220" w:type="dxa"/>
            <w:vAlign w:val="bottom"/>
          </w:tcPr>
          <w:p>
            <w:pPr>
              <w:jc w:val="right"/>
              <w:ind w:right="133"/>
              <w:spacing w:after="0"/>
              <w:rPr>
                <w:sz w:val="20"/>
                <w:szCs w:val="20"/>
                <w:color w:val="auto"/>
              </w:rPr>
            </w:pPr>
            <w:r>
              <w:rPr>
                <w:rFonts w:ascii="Arial" w:cs="Arial" w:eastAsia="Arial" w:hAnsi="Arial"/>
                <w:sz w:val="16"/>
                <w:szCs w:val="16"/>
                <w:b w:val="1"/>
                <w:bCs w:val="1"/>
                <w:color w:val="auto"/>
              </w:rPr>
              <w:t>% Change</w:t>
            </w:r>
          </w:p>
        </w:tc>
        <w:tc>
          <w:tcPr>
            <w:tcW w:w="1220" w:type="dxa"/>
            <w:vAlign w:val="bottom"/>
          </w:tcPr>
          <w:p>
            <w:pPr>
              <w:jc w:val="right"/>
              <w:ind w:right="153"/>
              <w:spacing w:after="0"/>
              <w:rPr>
                <w:sz w:val="20"/>
                <w:szCs w:val="20"/>
                <w:color w:val="auto"/>
              </w:rPr>
            </w:pPr>
            <w:r>
              <w:rPr>
                <w:rFonts w:ascii="Arial" w:cs="Arial" w:eastAsia="Arial" w:hAnsi="Arial"/>
                <w:sz w:val="16"/>
                <w:szCs w:val="16"/>
                <w:b w:val="1"/>
                <w:bCs w:val="1"/>
                <w:color w:val="auto"/>
              </w:rPr>
              <w:t>% Change</w:t>
            </w:r>
          </w:p>
        </w:tc>
        <w:tc>
          <w:tcPr>
            <w:tcW w:w="0" w:type="dxa"/>
            <w:vAlign w:val="bottom"/>
          </w:tcPr>
          <w:p>
            <w:pPr>
              <w:spacing w:after="0"/>
              <w:rPr>
                <w:sz w:val="1"/>
                <w:szCs w:val="1"/>
                <w:color w:val="auto"/>
              </w:rPr>
            </w:pPr>
          </w:p>
        </w:tc>
      </w:tr>
      <w:tr>
        <w:trPr>
          <w:trHeight w:val="203"/>
        </w:trPr>
        <w:tc>
          <w:tcPr>
            <w:tcW w:w="1940" w:type="dxa"/>
            <w:vAlign w:val="bottom"/>
            <w:tcBorders>
              <w:top w:val="single" w:sz="8" w:color="auto"/>
            </w:tcBorders>
            <w:shd w:val="clear" w:color="auto" w:fill="CCEEFF"/>
          </w:tcPr>
          <w:p>
            <w:pPr>
              <w:ind w:left="20"/>
              <w:spacing w:after="0" w:line="203" w:lineRule="exact"/>
              <w:rPr>
                <w:sz w:val="20"/>
                <w:szCs w:val="20"/>
                <w:color w:val="auto"/>
              </w:rPr>
            </w:pPr>
            <w:r>
              <w:rPr>
                <w:rFonts w:ascii="Arial" w:cs="Arial" w:eastAsia="Arial" w:hAnsi="Arial"/>
                <w:sz w:val="18"/>
                <w:szCs w:val="18"/>
                <w:color w:val="auto"/>
              </w:rPr>
              <w:t>North America</w:t>
            </w:r>
          </w:p>
        </w:tc>
        <w:tc>
          <w:tcPr>
            <w:tcW w:w="7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3.67</w:t>
            </w:r>
          </w:p>
        </w:tc>
        <w:tc>
          <w:tcPr>
            <w:tcW w:w="7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4.10</w:t>
            </w:r>
          </w:p>
        </w:tc>
        <w:tc>
          <w:tcPr>
            <w:tcW w:w="9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(10)%</w:t>
            </w:r>
          </w:p>
        </w:tc>
        <w:tc>
          <w:tcPr>
            <w:tcW w:w="14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jc w:val="right"/>
              <w:ind w:right="13"/>
              <w:spacing w:after="0" w:line="203" w:lineRule="exact"/>
              <w:rPr>
                <w:sz w:val="20"/>
                <w:szCs w:val="20"/>
                <w:color w:val="auto"/>
              </w:rPr>
            </w:pPr>
            <w:r>
              <w:rPr>
                <w:rFonts w:ascii="Arial" w:cs="Arial" w:eastAsia="Arial" w:hAnsi="Arial"/>
                <w:sz w:val="18"/>
                <w:szCs w:val="18"/>
                <w:color w:val="auto"/>
              </w:rPr>
              <w:t>14.50</w:t>
            </w:r>
          </w:p>
        </w:tc>
        <w:tc>
          <w:tcPr>
            <w:tcW w:w="9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14.01</w:t>
            </w:r>
          </w:p>
        </w:tc>
        <w:tc>
          <w:tcPr>
            <w:tcW w:w="9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15.45</w:t>
            </w:r>
          </w:p>
        </w:tc>
        <w:tc>
          <w:tcPr>
            <w:tcW w:w="140" w:type="dxa"/>
            <w:vAlign w:val="bottom"/>
            <w:tcBorders>
              <w:top w:val="single" w:sz="8" w:color="CCEEFF"/>
            </w:tcBorders>
            <w:shd w:val="clear" w:color="auto" w:fill="CCEEFF"/>
          </w:tcPr>
          <w:p>
            <w:pPr>
              <w:spacing w:after="0"/>
              <w:rPr>
                <w:sz w:val="17"/>
                <w:szCs w:val="17"/>
                <w:color w:val="auto"/>
              </w:rPr>
            </w:pPr>
          </w:p>
        </w:tc>
        <w:tc>
          <w:tcPr>
            <w:tcW w:w="1220" w:type="dxa"/>
            <w:vAlign w:val="bottom"/>
            <w:tcBorders>
              <w:top w:val="single" w:sz="8" w:color="auto"/>
              <w:right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3 %</w:t>
            </w:r>
          </w:p>
        </w:tc>
        <w:tc>
          <w:tcPr>
            <w:tcW w:w="1220" w:type="dxa"/>
            <w:vAlign w:val="bottom"/>
            <w:tcBorders>
              <w:top w:val="single" w:sz="8" w:color="auto"/>
              <w:right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29"/>
        </w:trPr>
        <w:tc>
          <w:tcPr>
            <w:tcW w:w="1940" w:type="dxa"/>
            <w:vAlign w:val="bottom"/>
          </w:tcPr>
          <w:p>
            <w:pPr>
              <w:ind w:left="20"/>
              <w:spacing w:after="0"/>
              <w:rPr>
                <w:sz w:val="20"/>
                <w:szCs w:val="20"/>
                <w:color w:val="auto"/>
              </w:rPr>
            </w:pPr>
            <w:r>
              <w:rPr>
                <w:rFonts w:ascii="Arial" w:cs="Arial" w:eastAsia="Arial" w:hAnsi="Arial"/>
                <w:sz w:val="18"/>
                <w:szCs w:val="18"/>
                <w:color w:val="auto"/>
              </w:rPr>
              <w:t>Europe</w:t>
            </w:r>
          </w:p>
        </w:tc>
        <w:tc>
          <w:tcPr>
            <w:tcW w:w="760" w:type="dxa"/>
            <w:vAlign w:val="bottom"/>
          </w:tcPr>
          <w:p>
            <w:pPr>
              <w:jc w:val="right"/>
              <w:spacing w:after="0"/>
              <w:rPr>
                <w:sz w:val="20"/>
                <w:szCs w:val="20"/>
                <w:color w:val="auto"/>
              </w:rPr>
            </w:pPr>
            <w:r>
              <w:rPr>
                <w:rFonts w:ascii="Arial" w:cs="Arial" w:eastAsia="Arial" w:hAnsi="Arial"/>
                <w:sz w:val="18"/>
                <w:szCs w:val="18"/>
                <w:color w:val="auto"/>
              </w:rPr>
              <w:t>4.29</w:t>
            </w:r>
          </w:p>
        </w:tc>
        <w:tc>
          <w:tcPr>
            <w:tcW w:w="760" w:type="dxa"/>
            <w:vAlign w:val="bottom"/>
          </w:tcPr>
          <w:p>
            <w:pPr>
              <w:jc w:val="right"/>
              <w:spacing w:after="0"/>
              <w:rPr>
                <w:sz w:val="20"/>
                <w:szCs w:val="20"/>
                <w:color w:val="auto"/>
              </w:rPr>
            </w:pPr>
            <w:r>
              <w:rPr>
                <w:rFonts w:ascii="Arial" w:cs="Arial" w:eastAsia="Arial" w:hAnsi="Arial"/>
                <w:sz w:val="18"/>
                <w:szCs w:val="18"/>
                <w:color w:val="auto"/>
              </w:rPr>
              <w:t>4.49</w:t>
            </w:r>
          </w:p>
        </w:tc>
        <w:tc>
          <w:tcPr>
            <w:tcW w:w="940" w:type="dxa"/>
            <w:vAlign w:val="bottom"/>
          </w:tcPr>
          <w:p>
            <w:pPr>
              <w:jc w:val="right"/>
              <w:spacing w:after="0"/>
              <w:rPr>
                <w:sz w:val="20"/>
                <w:szCs w:val="20"/>
                <w:color w:val="auto"/>
              </w:rPr>
            </w:pPr>
            <w:r>
              <w:rPr>
                <w:rFonts w:ascii="Arial" w:cs="Arial" w:eastAsia="Arial" w:hAnsi="Arial"/>
                <w:sz w:val="18"/>
                <w:szCs w:val="18"/>
                <w:color w:val="auto"/>
              </w:rPr>
              <w:t>(4)%</w:t>
            </w:r>
          </w:p>
        </w:tc>
        <w:tc>
          <w:tcPr>
            <w:tcW w:w="140" w:type="dxa"/>
            <w:vAlign w:val="bottom"/>
          </w:tcPr>
          <w:p>
            <w:pPr>
              <w:spacing w:after="0"/>
              <w:rPr>
                <w:sz w:val="19"/>
                <w:szCs w:val="19"/>
                <w:color w:val="auto"/>
              </w:rPr>
            </w:pPr>
          </w:p>
        </w:tc>
        <w:tc>
          <w:tcPr>
            <w:tcW w:w="940" w:type="dxa"/>
            <w:vAlign w:val="bottom"/>
          </w:tcPr>
          <w:p>
            <w:pPr>
              <w:jc w:val="right"/>
              <w:ind w:right="13"/>
              <w:spacing w:after="0"/>
              <w:rPr>
                <w:sz w:val="20"/>
                <w:szCs w:val="20"/>
                <w:color w:val="auto"/>
              </w:rPr>
            </w:pPr>
            <w:r>
              <w:rPr>
                <w:rFonts w:ascii="Arial" w:cs="Arial" w:eastAsia="Arial" w:hAnsi="Arial"/>
                <w:sz w:val="18"/>
                <w:szCs w:val="18"/>
                <w:color w:val="auto"/>
              </w:rPr>
              <w:t>16.72</w:t>
            </w:r>
          </w:p>
        </w:tc>
        <w:tc>
          <w:tcPr>
            <w:tcW w:w="920" w:type="dxa"/>
            <w:vAlign w:val="bottom"/>
          </w:tcPr>
          <w:p>
            <w:pPr>
              <w:jc w:val="right"/>
              <w:spacing w:after="0"/>
              <w:rPr>
                <w:sz w:val="20"/>
                <w:szCs w:val="20"/>
                <w:color w:val="auto"/>
              </w:rPr>
            </w:pPr>
            <w:r>
              <w:rPr>
                <w:rFonts w:ascii="Arial" w:cs="Arial" w:eastAsia="Arial" w:hAnsi="Arial"/>
                <w:sz w:val="18"/>
                <w:szCs w:val="18"/>
                <w:color w:val="auto"/>
              </w:rPr>
              <w:t>16.64</w:t>
            </w:r>
          </w:p>
        </w:tc>
        <w:tc>
          <w:tcPr>
            <w:tcW w:w="920" w:type="dxa"/>
            <w:vAlign w:val="bottom"/>
          </w:tcPr>
          <w:p>
            <w:pPr>
              <w:jc w:val="right"/>
              <w:spacing w:after="0"/>
              <w:rPr>
                <w:sz w:val="20"/>
                <w:szCs w:val="20"/>
                <w:color w:val="auto"/>
              </w:rPr>
            </w:pPr>
            <w:r>
              <w:rPr>
                <w:rFonts w:ascii="Arial" w:cs="Arial" w:eastAsia="Arial" w:hAnsi="Arial"/>
                <w:sz w:val="18"/>
                <w:szCs w:val="18"/>
                <w:color w:val="auto"/>
              </w:rPr>
              <w:t>17.17</w:t>
            </w:r>
          </w:p>
        </w:tc>
        <w:tc>
          <w:tcPr>
            <w:tcW w:w="140" w:type="dxa"/>
            <w:vAlign w:val="bottom"/>
          </w:tcPr>
          <w:p>
            <w:pPr>
              <w:spacing w:after="0"/>
              <w:rPr>
                <w:sz w:val="19"/>
                <w:szCs w:val="19"/>
                <w:color w:val="auto"/>
              </w:rPr>
            </w:pPr>
          </w:p>
        </w:tc>
        <w:tc>
          <w:tcPr>
            <w:tcW w:w="122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 %</w:t>
            </w:r>
          </w:p>
        </w:tc>
        <w:tc>
          <w:tcPr>
            <w:tcW w:w="122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9"/>
        </w:trPr>
        <w:tc>
          <w:tcPr>
            <w:tcW w:w="1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Japan and Korea</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11.19</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11.76</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11.98</w:t>
            </w:r>
          </w:p>
        </w:tc>
        <w:tc>
          <w:tcPr>
            <w:tcW w:w="140" w:type="dxa"/>
            <w:vAlign w:val="bottom"/>
            <w:shd w:val="clear" w:color="auto" w:fill="CCEEFF"/>
          </w:tcPr>
          <w:p>
            <w:pPr>
              <w:spacing w:after="0"/>
              <w:rPr>
                <w:sz w:val="19"/>
                <w:szCs w:val="19"/>
                <w:color w:val="auto"/>
              </w:rPr>
            </w:pPr>
          </w:p>
        </w:tc>
        <w:tc>
          <w:tcPr>
            <w:tcW w:w="122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22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30"/>
        </w:trPr>
        <w:tc>
          <w:tcPr>
            <w:tcW w:w="19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China</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7.31</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6.99</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5 %</w:t>
            </w:r>
          </w:p>
        </w:tc>
        <w:tc>
          <w:tcPr>
            <w:tcW w:w="140" w:type="dxa"/>
            <w:vAlign w:val="bottom"/>
            <w:tcBorders>
              <w:bottom w:val="single" w:sz="8" w:color="CCEEFF"/>
            </w:tcBorders>
          </w:tcPr>
          <w:p>
            <w:pPr>
              <w:spacing w:after="0"/>
              <w:rPr>
                <w:sz w:val="19"/>
                <w:szCs w:val="19"/>
                <w:color w:val="auto"/>
              </w:rPr>
            </w:pPr>
          </w:p>
        </w:tc>
        <w:tc>
          <w:tcPr>
            <w:tcW w:w="9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30.61</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30.50</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30.09</w:t>
            </w:r>
          </w:p>
        </w:tc>
        <w:tc>
          <w:tcPr>
            <w:tcW w:w="140" w:type="dxa"/>
            <w:vAlign w:val="bottom"/>
            <w:tcBorders>
              <w:bottom w:val="single" w:sz="8" w:color="CCEEFF"/>
            </w:tcBorders>
          </w:tcPr>
          <w:p>
            <w:pPr>
              <w:spacing w:after="0"/>
              <w:rPr>
                <w:sz w:val="19"/>
                <w:szCs w:val="19"/>
                <w:color w:val="auto"/>
              </w:rPr>
            </w:pPr>
          </w:p>
        </w:tc>
        <w:tc>
          <w:tcPr>
            <w:tcW w:w="12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 %</w:t>
            </w:r>
          </w:p>
        </w:tc>
        <w:tc>
          <w:tcPr>
            <w:tcW w:w="12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1 %</w:t>
            </w:r>
          </w:p>
        </w:tc>
        <w:tc>
          <w:tcPr>
            <w:tcW w:w="0" w:type="dxa"/>
            <w:vAlign w:val="bottom"/>
          </w:tcPr>
          <w:p>
            <w:pPr>
              <w:spacing w:after="0"/>
              <w:rPr>
                <w:sz w:val="1"/>
                <w:szCs w:val="1"/>
                <w:color w:val="auto"/>
              </w:rPr>
            </w:pPr>
          </w:p>
        </w:tc>
      </w:tr>
      <w:tr>
        <w:trPr>
          <w:trHeight w:val="155"/>
        </w:trPr>
        <w:tc>
          <w:tcPr>
            <w:tcW w:w="1940" w:type="dxa"/>
            <w:vAlign w:val="bottom"/>
            <w:shd w:val="clear" w:color="auto" w:fill="CCEEFF"/>
          </w:tcPr>
          <w:p>
            <w:pPr>
              <w:ind w:left="20"/>
              <w:spacing w:after="0" w:line="156" w:lineRule="exact"/>
              <w:rPr>
                <w:sz w:val="20"/>
                <w:szCs w:val="20"/>
                <w:color w:val="auto"/>
              </w:rPr>
            </w:pPr>
            <w:r>
              <w:rPr>
                <w:rFonts w:ascii="Arial" w:cs="Arial" w:eastAsia="Arial" w:hAnsi="Arial"/>
                <w:sz w:val="18"/>
                <w:szCs w:val="18"/>
                <w:color w:val="auto"/>
              </w:rPr>
              <w:t>Total Light Vehicle</w:t>
            </w: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18.18</w:t>
            </w: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18.60</w:t>
            </w: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40" w:type="dxa"/>
            <w:vAlign w:val="bottom"/>
            <w:shd w:val="clear" w:color="auto" w:fill="CCEEFF"/>
          </w:tcPr>
          <w:p>
            <w:pPr>
              <w:spacing w:after="0"/>
              <w:rPr>
                <w:sz w:val="13"/>
                <w:szCs w:val="13"/>
                <w:color w:val="auto"/>
              </w:rPr>
            </w:pPr>
          </w:p>
        </w:tc>
        <w:tc>
          <w:tcPr>
            <w:tcW w:w="940" w:type="dxa"/>
            <w:vAlign w:val="bottom"/>
            <w:vMerge w:val="restart"/>
            <w:shd w:val="clear" w:color="auto" w:fill="CCEEFF"/>
          </w:tcPr>
          <w:p>
            <w:pPr>
              <w:jc w:val="right"/>
              <w:ind w:right="13"/>
              <w:spacing w:after="0"/>
              <w:rPr>
                <w:sz w:val="20"/>
                <w:szCs w:val="20"/>
                <w:color w:val="auto"/>
              </w:rPr>
            </w:pPr>
            <w:r>
              <w:rPr>
                <w:rFonts w:ascii="Arial" w:cs="Arial" w:eastAsia="Arial" w:hAnsi="Arial"/>
                <w:sz w:val="18"/>
                <w:szCs w:val="18"/>
                <w:color w:val="auto"/>
              </w:rPr>
              <w:t>73.02</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72.91</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74.69</w:t>
            </w:r>
          </w:p>
        </w:tc>
        <w:tc>
          <w:tcPr>
            <w:tcW w:w="140" w:type="dxa"/>
            <w:vAlign w:val="bottom"/>
            <w:shd w:val="clear" w:color="auto" w:fill="CCEEFF"/>
          </w:tcPr>
          <w:p>
            <w:pPr>
              <w:spacing w:after="0"/>
              <w:rPr>
                <w:sz w:val="13"/>
                <w:szCs w:val="13"/>
                <w:color w:val="auto"/>
              </w:rPr>
            </w:pPr>
          </w:p>
        </w:tc>
        <w:tc>
          <w:tcPr>
            <w:tcW w:w="1220" w:type="dxa"/>
            <w:vAlign w:val="bottom"/>
            <w:tcBorders>
              <w:right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1220" w:type="dxa"/>
            <w:vAlign w:val="bottom"/>
            <w:tcBorders>
              <w:right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36"/>
        </w:trPr>
        <w:tc>
          <w:tcPr>
            <w:tcW w:w="1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Production</w:t>
            </w:r>
          </w:p>
        </w:tc>
        <w:tc>
          <w:tcPr>
            <w:tcW w:w="760" w:type="dxa"/>
            <w:vAlign w:val="bottom"/>
            <w:tcBorders>
              <w:bottom w:val="single" w:sz="8" w:color="auto"/>
            </w:tcBorders>
            <w:vMerge w:val="continue"/>
            <w:shd w:val="clear" w:color="auto" w:fill="CCEEFF"/>
          </w:tcPr>
          <w:p>
            <w:pPr>
              <w:spacing w:after="0"/>
              <w:rPr>
                <w:sz w:val="20"/>
                <w:szCs w:val="20"/>
                <w:color w:val="auto"/>
              </w:rPr>
            </w:pPr>
          </w:p>
        </w:tc>
        <w:tc>
          <w:tcPr>
            <w:tcW w:w="760" w:type="dxa"/>
            <w:vAlign w:val="bottom"/>
            <w:tcBorders>
              <w:bottom w:val="single" w:sz="8" w:color="auto"/>
            </w:tcBorders>
            <w:vMerge w:val="continue"/>
            <w:shd w:val="clear" w:color="auto" w:fill="CCEEFF"/>
          </w:tcPr>
          <w:p>
            <w:pPr>
              <w:spacing w:after="0"/>
              <w:rPr>
                <w:sz w:val="20"/>
                <w:szCs w:val="20"/>
                <w:color w:val="auto"/>
              </w:rPr>
            </w:pPr>
          </w:p>
        </w:tc>
        <w:tc>
          <w:tcPr>
            <w:tcW w:w="940" w:type="dxa"/>
            <w:vAlign w:val="bottom"/>
            <w:tcBorders>
              <w:bottom w:val="single" w:sz="8" w:color="auto"/>
            </w:tcBorders>
            <w:vMerge w:val="continue"/>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auto"/>
            </w:tcBorders>
            <w:vMerge w:val="continue"/>
            <w:shd w:val="clear" w:color="auto" w:fill="CCEEFF"/>
          </w:tcPr>
          <w:p>
            <w:pPr>
              <w:spacing w:after="0"/>
              <w:rPr>
                <w:sz w:val="20"/>
                <w:szCs w:val="20"/>
                <w:color w:val="auto"/>
              </w:rPr>
            </w:pPr>
          </w:p>
        </w:tc>
        <w:tc>
          <w:tcPr>
            <w:tcW w:w="920" w:type="dxa"/>
            <w:vAlign w:val="bottom"/>
            <w:tcBorders>
              <w:bottom w:val="single" w:sz="8" w:color="auto"/>
            </w:tcBorders>
            <w:vMerge w:val="continue"/>
            <w:shd w:val="clear" w:color="auto" w:fill="CCEEFF"/>
          </w:tcPr>
          <w:p>
            <w:pPr>
              <w:spacing w:after="0"/>
              <w:rPr>
                <w:sz w:val="20"/>
                <w:szCs w:val="20"/>
                <w:color w:val="auto"/>
              </w:rPr>
            </w:pPr>
          </w:p>
        </w:tc>
        <w:tc>
          <w:tcPr>
            <w:tcW w:w="920" w:type="dxa"/>
            <w:vAlign w:val="bottom"/>
            <w:tcBorders>
              <w:bottom w:val="single" w:sz="8" w:color="auto"/>
            </w:tcBorders>
            <w:vMerge w:val="continue"/>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auto"/>
              <w:right w:val="single" w:sz="8" w:color="auto"/>
            </w:tcBorders>
            <w:vMerge w:val="continue"/>
            <w:shd w:val="clear" w:color="auto" w:fill="CCEEFF"/>
          </w:tcPr>
          <w:p>
            <w:pPr>
              <w:spacing w:after="0"/>
              <w:rPr>
                <w:sz w:val="20"/>
                <w:szCs w:val="20"/>
                <w:color w:val="auto"/>
              </w:rPr>
            </w:pPr>
          </w:p>
        </w:tc>
        <w:tc>
          <w:tcPr>
            <w:tcW w:w="1220" w:type="dxa"/>
            <w:vAlign w:val="bottom"/>
            <w:tcBorders>
              <w:bottom w:val="single" w:sz="8" w:color="auto"/>
              <w:right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94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1" w:lineRule="exact"/>
        <w:rPr>
          <w:sz w:val="20"/>
          <w:szCs w:val="20"/>
          <w:color w:val="auto"/>
        </w:rPr>
      </w:pPr>
    </w:p>
    <w:p>
      <w:pPr>
        <w:ind w:right="60"/>
        <w:spacing w:after="0" w:line="247" w:lineRule="auto"/>
        <w:rPr>
          <w:sz w:val="20"/>
          <w:szCs w:val="20"/>
          <w:color w:val="auto"/>
        </w:rPr>
      </w:pPr>
      <w:r>
        <w:rPr>
          <w:rFonts w:ascii="Arial" w:cs="Arial" w:eastAsia="Arial" w:hAnsi="Arial"/>
          <w:sz w:val="18"/>
          <w:szCs w:val="18"/>
          <w:color w:val="auto"/>
        </w:rPr>
        <w:t>Based on the aforementioned light vehicle production forecast and the actual results for the first three months of 2025, as well as the pro-active decision of the Company to halt production and sales of product intended for the China market until customer agreements can be reached, the Company previously updated certain guidance for calendar year 2025 as shown below. Revenue estimates do not include any revenue from the recently completed merger with VOXX.</w:t>
      </w:r>
    </w:p>
    <w:p>
      <w:pPr>
        <w:spacing w:after="0" w:line="201" w:lineRule="exact"/>
        <w:rPr>
          <w:sz w:val="20"/>
          <w:szCs w:val="20"/>
          <w:color w:val="auto"/>
        </w:rPr>
      </w:pPr>
    </w:p>
    <w:p>
      <w:pPr>
        <w:ind w:left="640" w:hanging="320"/>
        <w:spacing w:after="0" w:line="260" w:lineRule="auto"/>
        <w:tabs>
          <w:tab w:leader="none" w:pos="635"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Revenue in the Company's primary markets of North America, Europe and Japan/Korea is expected to be between $2.1 and $2.2 billion</w:t>
      </w:r>
    </w:p>
    <w:p>
      <w:pPr>
        <w:spacing w:after="0" w:line="1" w:lineRule="exact"/>
        <w:rPr>
          <w:rFonts w:ascii="Arial" w:cs="Arial" w:eastAsia="Arial" w:hAnsi="Arial"/>
          <w:sz w:val="18"/>
          <w:szCs w:val="18"/>
          <w:color w:val="auto"/>
        </w:rPr>
      </w:pPr>
    </w:p>
    <w:p>
      <w:pPr>
        <w:ind w:left="640" w:hanging="320"/>
        <w:spacing w:after="0"/>
        <w:tabs>
          <w:tab w:leader="none" w:pos="6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Revenue in the China market is expected to be between $50 and $120 million</w:t>
      </w:r>
    </w:p>
    <w:p>
      <w:pPr>
        <w:spacing w:after="0" w:line="9" w:lineRule="exact"/>
        <w:rPr>
          <w:rFonts w:ascii="Arial" w:cs="Arial" w:eastAsia="Arial" w:hAnsi="Arial"/>
          <w:sz w:val="18"/>
          <w:szCs w:val="18"/>
          <w:color w:val="auto"/>
        </w:rPr>
      </w:pPr>
    </w:p>
    <w:p>
      <w:pPr>
        <w:ind w:left="640" w:hanging="320"/>
        <w:spacing w:after="0"/>
        <w:tabs>
          <w:tab w:leader="none" w:pos="6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Gross Margin is expected to be between 33% and 34%</w:t>
      </w:r>
    </w:p>
    <w:p>
      <w:pPr>
        <w:spacing w:after="0" w:line="9" w:lineRule="exact"/>
        <w:rPr>
          <w:rFonts w:ascii="Arial" w:cs="Arial" w:eastAsia="Arial" w:hAnsi="Arial"/>
          <w:sz w:val="18"/>
          <w:szCs w:val="18"/>
          <w:color w:val="auto"/>
        </w:rPr>
      </w:pPr>
    </w:p>
    <w:p>
      <w:pPr>
        <w:ind w:left="640" w:hanging="320"/>
        <w:spacing w:after="0"/>
        <w:tabs>
          <w:tab w:leader="none" w:pos="6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Operating Expenses are expected to be approximately $300 to $310 million</w:t>
      </w:r>
    </w:p>
    <w:p>
      <w:pPr>
        <w:spacing w:after="0" w:line="9" w:lineRule="exact"/>
        <w:rPr>
          <w:rFonts w:ascii="Arial" w:cs="Arial" w:eastAsia="Arial" w:hAnsi="Arial"/>
          <w:sz w:val="18"/>
          <w:szCs w:val="18"/>
          <w:color w:val="auto"/>
        </w:rPr>
      </w:pPr>
    </w:p>
    <w:p>
      <w:pPr>
        <w:ind w:left="640" w:hanging="320"/>
        <w:spacing w:after="0" w:line="250" w:lineRule="auto"/>
        <w:tabs>
          <w:tab w:leader="none" w:pos="635" w:val="left"/>
        </w:tabs>
        <w:numPr>
          <w:ilvl w:val="0"/>
          <w:numId w:val="21"/>
        </w:numPr>
        <w:rPr>
          <w:rFonts w:ascii="Arial" w:cs="Arial" w:eastAsia="Arial" w:hAnsi="Arial"/>
          <w:sz w:val="18"/>
          <w:szCs w:val="18"/>
          <w:color w:val="auto"/>
        </w:rPr>
      </w:pPr>
      <w:r>
        <w:rPr>
          <w:rFonts w:ascii="Arial" w:cs="Arial" w:eastAsia="Arial" w:hAnsi="Arial"/>
          <w:sz w:val="18"/>
          <w:szCs w:val="18"/>
          <w:color w:val="auto"/>
        </w:rPr>
        <w:t>Estimated Annual Tax Rate, which assumes no changes to the current statutory rate, is expected to be between 15% and 17%</w:t>
      </w:r>
    </w:p>
    <w:p>
      <w:pPr>
        <w:ind w:left="640" w:hanging="320"/>
        <w:spacing w:after="0"/>
        <w:tabs>
          <w:tab w:leader="none" w:pos="6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Capital Expenditures are expected to be between $100 and $125 million</w:t>
      </w:r>
    </w:p>
    <w:p>
      <w:pPr>
        <w:spacing w:after="0" w:line="9" w:lineRule="exact"/>
        <w:rPr>
          <w:rFonts w:ascii="Arial" w:cs="Arial" w:eastAsia="Arial" w:hAnsi="Arial"/>
          <w:sz w:val="18"/>
          <w:szCs w:val="18"/>
          <w:color w:val="auto"/>
        </w:rPr>
      </w:pPr>
    </w:p>
    <w:p>
      <w:pPr>
        <w:ind w:left="640" w:hanging="320"/>
        <w:spacing w:after="0"/>
        <w:tabs>
          <w:tab w:leader="none" w:pos="6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Depreciation and Amortization is expected to be between $85 and $90 million</w:t>
      </w:r>
    </w:p>
    <w:p>
      <w:pPr>
        <w:spacing w:after="0" w:line="234"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Due to ongoing volatility in customer orders and vehicle production volumes, uncertainty related to tariffs, the Ukraine-Russia war, Israel-Hamas war, supply-end labor shortages, and overall economic uncertainty, the Company believes that revenue remains difficult to forecast for the remainder of the year and beyond. Ongoing uncertainties remain, including: prolonged and intensifying trade wars, including the impacts of already in place and potential additional future tariffs, trade restrictions, and retaliatory measures; light vehicle production levels; impacts of regulation changes; automotive plant shutdowns; vehicle sales rates in Europe, Asia and North America; OEM strategies and cost pressures; customer inventory management and the impact of potential automotive customer (including their Tier 1 suppliers) and supplier bankruptcies; etc., all of which are disrupting and could further disrupt shipments to customers, disrupt global capital flows, and heighten market volatility.</w:t>
      </w:r>
    </w:p>
    <w:p>
      <w:pPr>
        <w:spacing w:after="0" w:line="206"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The Company has withdrawn revenue guidance for calendar year 2026 due to the significant uncertainty surrounding the China market as a result of the impact of incremental tariffs on Company exports to China, the economic impact of import and export tariffs on the Company's primary markets, and work being done to finalize a more complete financial picture of the recently completed merger with VOXX. The Company anticipates providing updated revenue guidance for calendar year 2026 once there is further clarity in the overall tariff landscape.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-426085</wp:posOffset>
            </wp:positionH>
            <wp:positionV relativeFrom="paragraph">
              <wp:posOffset>73660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80"/>
          </w:cols>
          <w:pgMar w:left="980" w:top="1187" w:right="339" w:bottom="1440" w:gutter="0" w:footer="0" w:header="0"/>
        </w:sectPr>
      </w:pPr>
    </w:p>
    <w:bookmarkStart w:id="33" w:name="page34"/>
    <w:bookmarkEnd w:id="33"/>
    <w:p>
      <w:pPr>
        <w:jc w:val="both"/>
        <w:spacing w:after="0" w:line="247" w:lineRule="auto"/>
        <w:rPr>
          <w:sz w:val="20"/>
          <w:szCs w:val="20"/>
          <w:color w:val="auto"/>
        </w:rPr>
      </w:pPr>
      <w:r>
        <w:rPr>
          <w:rFonts w:ascii="Arial" w:cs="Arial" w:eastAsia="Arial" w:hAnsi="Arial"/>
          <w:sz w:val="18"/>
          <w:szCs w:val="18"/>
          <w:color w:val="auto"/>
        </w:rPr>
        <w:t>In accordance with the previously announced share repurchase plan, the Company will consider the appropriateness of continuing to repurchase additional shares of common stock in the future in support of the capital allocation strategy, but share repurchases will vary from time to time and will take into account macroeconomic events, market trends, and other factors the Company deems appropriate (including the market price of the stock, anti-dilutive effect of repurchases, and available cash). As of March 31, 2025, the Company has 6.3 million shares remaining available for repurchase under the previously announced share repurchase plan.</w:t>
      </w: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Merger with VOXX</w:t>
      </w:r>
    </w:p>
    <w:p>
      <w:pPr>
        <w:spacing w:after="0" w:line="23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April 1, 2025, the Company closed the strategic merger of VOXX, a global supplier of automotive and consumer electronics, as well as premium audio equipment. As of April 1, 2025, the Company expected to add between $ 325 and $ 375 million in revenue from the VOXX merger, on an annualized basis, and an expected revenue contribution to calendar year 2025 of approximately $240 to $280 million, before any impact from tariffs. As a result of recent tariff increases, the Company has notified its new customers from the VOXX merger of future price increases that will take effect throughout the balance of calendar year 2025. These price increases may create uncertainty in consumer demand for this year, which is anticipated to affect the expected revenue contribution from the VOXX merger. The Company is also undertaking strategic sourcing decisions that will take place throughout the next 6 - 12 months, which are designed to significantly reduce tariff expenses on incoming products from the China market.</w:t>
      </w:r>
    </w:p>
    <w:p>
      <w:pPr>
        <w:spacing w:after="0" w:line="200" w:lineRule="exact"/>
        <w:rPr>
          <w:sz w:val="20"/>
          <w:szCs w:val="20"/>
          <w:color w:val="auto"/>
        </w:rPr>
      </w:pPr>
    </w:p>
    <w:p>
      <w:pPr>
        <w:spacing w:after="0" w:line="36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-426085</wp:posOffset>
            </wp:positionH>
            <wp:positionV relativeFrom="paragraph">
              <wp:posOffset>73660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80"/>
          </w:cols>
          <w:pgMar w:left="980" w:top="931" w:right="339" w:bottom="1440" w:gutter="0" w:footer="0" w:header="0"/>
        </w:sectPr>
      </w:pPr>
    </w:p>
    <w:bookmarkStart w:id="34" w:name="page35"/>
    <w:bookmarkEnd w:id="34"/>
    <w:p>
      <w:pPr>
        <w:ind w:left="660"/>
        <w:spacing w:after="0"/>
        <w:rPr>
          <w:sz w:val="20"/>
          <w:szCs w:val="20"/>
          <w:color w:val="auto"/>
        </w:rPr>
      </w:pPr>
      <w:r>
        <w:rPr>
          <w:rFonts w:ascii="Arial" w:cs="Arial" w:eastAsia="Arial" w:hAnsi="Arial"/>
          <w:sz w:val="18"/>
          <w:szCs w:val="18"/>
          <w:b w:val="1"/>
          <w:bCs w:val="1"/>
          <w:u w:val="single" w:color="auto"/>
          <w:color w:val="auto"/>
        </w:rPr>
        <w:t>CRITICAL ACCOUNTING POLICIES:</w:t>
      </w:r>
    </w:p>
    <w:p>
      <w:pPr>
        <w:spacing w:after="0" w:line="144" w:lineRule="exact"/>
        <w:rPr>
          <w:sz w:val="20"/>
          <w:szCs w:val="20"/>
          <w:color w:val="auto"/>
        </w:rPr>
      </w:pPr>
    </w:p>
    <w:p>
      <w:pPr>
        <w:jc w:val="both"/>
        <w:ind w:left="660"/>
        <w:spacing w:after="0" w:line="255" w:lineRule="auto"/>
        <w:rPr>
          <w:sz w:val="20"/>
          <w:szCs w:val="20"/>
          <w:color w:val="auto"/>
        </w:rPr>
      </w:pPr>
      <w:r>
        <w:rPr>
          <w:rFonts w:ascii="Arial" w:cs="Arial" w:eastAsia="Arial" w:hAnsi="Arial"/>
          <w:sz w:val="18"/>
          <w:szCs w:val="18"/>
          <w:color w:val="auto"/>
        </w:rPr>
        <w:t>The preparation of the Company’s consolidated condensed financial statements contained in this report, which have been prepared in accordance with accounting principles generally accepted in the United States, requires management to make estimates and assumptions that affect the amounts reported in the financial statements and accompanying notes. On an ongoing basis, management evaluates these estimates. Estimates are based on historical experience and/or on various other assumptions that are believed to be reasonable under the circumstances, the results of which form the basis for making judgments about the carrying values of assets and liabilities that may not be readily apparent from other sources. Historically, actual results have not been materially different from the Company’s estimates. However, actual results may differ from these estimates under different assumptions or conditions.</w:t>
      </w:r>
    </w:p>
    <w:p>
      <w:pPr>
        <w:spacing w:after="0" w:line="117" w:lineRule="exact"/>
        <w:rPr>
          <w:sz w:val="20"/>
          <w:szCs w:val="20"/>
          <w:color w:val="auto"/>
        </w:rPr>
      </w:pPr>
    </w:p>
    <w:p>
      <w:pPr>
        <w:jc w:val="both"/>
        <w:ind w:left="660"/>
        <w:spacing w:after="0" w:line="268" w:lineRule="auto"/>
        <w:rPr>
          <w:sz w:val="20"/>
          <w:szCs w:val="20"/>
          <w:color w:val="auto"/>
        </w:rPr>
      </w:pPr>
      <w:r>
        <w:rPr>
          <w:rFonts w:ascii="Arial" w:cs="Arial" w:eastAsia="Arial" w:hAnsi="Arial"/>
          <w:sz w:val="18"/>
          <w:szCs w:val="18"/>
          <w:color w:val="auto"/>
        </w:rPr>
        <w:t>The Company has identified critical accounting policies used in determining estimates and assumptions in the amounts reported in its Management’s Discussion and Analysis of Financial Condition and Results of Operations herein and in its Annual Report on Form 10-K for the fiscal year ended December 31, 2024.</w:t>
      </w:r>
    </w:p>
    <w:p>
      <w:pPr>
        <w:spacing w:after="0" w:line="198"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Quantitative And Qualitative Disclosures About Market Risk.</w:t>
      </w:r>
    </w:p>
    <w:p>
      <w:pPr>
        <w:spacing w:after="0" w:line="252" w:lineRule="exact"/>
        <w:rPr>
          <w:sz w:val="20"/>
          <w:szCs w:val="20"/>
          <w:color w:val="auto"/>
        </w:rPr>
      </w:pPr>
    </w:p>
    <w:p>
      <w:pPr>
        <w:jc w:val="both"/>
        <w:ind w:left="660"/>
        <w:spacing w:after="0" w:line="268" w:lineRule="auto"/>
        <w:rPr>
          <w:sz w:val="20"/>
          <w:szCs w:val="20"/>
          <w:color w:val="auto"/>
        </w:rPr>
      </w:pPr>
      <w:r>
        <w:rPr>
          <w:rFonts w:ascii="Arial" w:cs="Arial" w:eastAsia="Arial" w:hAnsi="Arial"/>
          <w:sz w:val="18"/>
          <w:szCs w:val="18"/>
          <w:color w:val="auto"/>
        </w:rPr>
        <w:t>The Company is subject to market risk exposures of varying correlations and volatilities, including foreign exchange rate risk, interest rate risk, commodity price risk, and tariffs. For the quarter ended March 31, 2025, any material changes in risk factors that were disclosed in the Company's report on Form 10-K for the year ended December 31, 2024 are set forth herein.</w:t>
      </w:r>
    </w:p>
    <w:p>
      <w:pPr>
        <w:spacing w:after="0" w:line="198" w:lineRule="exact"/>
        <w:rPr>
          <w:sz w:val="20"/>
          <w:szCs w:val="20"/>
          <w:color w:val="auto"/>
        </w:rPr>
      </w:pPr>
    </w:p>
    <w:p>
      <w:pPr>
        <w:jc w:val="both"/>
        <w:ind w:left="660"/>
        <w:spacing w:after="0" w:line="268" w:lineRule="auto"/>
        <w:rPr>
          <w:sz w:val="20"/>
          <w:szCs w:val="20"/>
          <w:color w:val="auto"/>
        </w:rPr>
      </w:pPr>
      <w:r>
        <w:rPr>
          <w:rFonts w:ascii="Arial" w:cs="Arial" w:eastAsia="Arial" w:hAnsi="Arial"/>
          <w:sz w:val="18"/>
          <w:szCs w:val="18"/>
          <w:color w:val="auto"/>
        </w:rPr>
        <w:t>Fluctuating interest rates could negatively impact the Company's financial performance due to realized losses on the sale of fixed income investments and/or recognized losses due to an impairment adjustment on investment securities, as well as the impact on demand for light vehicles.</w:t>
      </w:r>
    </w:p>
    <w:p>
      <w:pPr>
        <w:spacing w:after="0" w:line="103" w:lineRule="exact"/>
        <w:rPr>
          <w:sz w:val="20"/>
          <w:szCs w:val="20"/>
          <w:color w:val="auto"/>
        </w:rPr>
      </w:pPr>
    </w:p>
    <w:p>
      <w:pPr>
        <w:jc w:val="both"/>
        <w:ind w:left="660"/>
        <w:spacing w:after="0" w:line="257" w:lineRule="auto"/>
        <w:rPr>
          <w:sz w:val="20"/>
          <w:szCs w:val="20"/>
          <w:color w:val="auto"/>
        </w:rPr>
      </w:pPr>
      <w:r>
        <w:rPr>
          <w:rFonts w:ascii="Arial" w:cs="Arial" w:eastAsia="Arial" w:hAnsi="Arial"/>
          <w:sz w:val="18"/>
          <w:szCs w:val="18"/>
          <w:color w:val="auto"/>
        </w:rPr>
        <w:t>The Company has some assets, liabilities, and operations outside the United States, including euro-denominated and Chinese Yuan Renminbi accounts, which currently are not significant overall to the Company as a whole. Because the Company sells its automotive mirrors throughout the world, and automotive manufacturing is highly dependent on general economic conditions and the global supply chain, the Company has been and will continue to be affected by uncertain economic conditions in North American and foreign markets, including tariffs and inflation, that have reduced, and will continue to reduce, demand for its products, to the extent they persist.</w:t>
      </w:r>
    </w:p>
    <w:p>
      <w:pPr>
        <w:spacing w:after="0" w:line="101" w:lineRule="exact"/>
        <w:rPr>
          <w:sz w:val="20"/>
          <w:szCs w:val="20"/>
          <w:color w:val="auto"/>
        </w:rPr>
      </w:pPr>
    </w:p>
    <w:p>
      <w:pPr>
        <w:jc w:val="both"/>
        <w:ind w:left="660"/>
        <w:spacing w:after="0" w:line="253" w:lineRule="auto"/>
        <w:rPr>
          <w:sz w:val="20"/>
          <w:szCs w:val="20"/>
          <w:color w:val="auto"/>
        </w:rPr>
      </w:pPr>
      <w:r>
        <w:rPr>
          <w:rFonts w:ascii="Arial" w:cs="Arial" w:eastAsia="Arial" w:hAnsi="Arial"/>
          <w:sz w:val="18"/>
          <w:szCs w:val="18"/>
          <w:color w:val="auto"/>
        </w:rPr>
        <w:t>The geopolitical environment between the Unites States and other jurisdictions, most significantly China, continues to cause uncertainty, especially in light of recently imposed incremental tariffs and tariffs threatened to be imposed, in addition to those already existing. One example of the impact on the Company is the proactive decision to halt production and sales of products intended for the China market until customer agreements can be reached. Company input costs are already affected by a variety of factors, including: economic and market conditions; inflation; changes in customer demand; supply shortages, constraints, and disruptions; interest rate changes; foreign currency fluctuations; industry actions; and uncertainties in vehicle production schedules, as well as the aforementioned tariffs, trade regulatory actions, and changes in international trade policies, agreements, and/or regulation and competitor activity. Previously enacted tariffs have already increased the Company's input costs and challenge the Company's competitive position. The Executive Branch of the U.S. federal government has suggested the possibility of even more tariffs and tariff increases. While the Company continues to assess the impact of the current tariff and trade environment, tariffs and trade disputes in the geopolitical environment have interfered with and have disrupted automotive supply chains. While further actions regarding tariffs or trade relations between the U.S. and other governments are impossible to predict, the current trade environment has already negatively impacted Company’s business, financial condition, and results of operations, especially since the Company primarily manufactures and ships from one location. Any continuance of tariffs currently in place and/or escalation of tariffs and trade disputes will have further adverse impact on the Company’s business.</w:t>
      </w:r>
    </w:p>
    <w:p>
      <w:pPr>
        <w:spacing w:after="0" w:line="116"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Evaluation of Disclosure Controls and Procedures</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7" w:right="339" w:bottom="1440" w:gutter="0" w:footer="0" w:header="0"/>
        </w:sectPr>
      </w:pPr>
    </w:p>
    <w:bookmarkStart w:id="35" w:name="page36"/>
    <w:bookmarkEnd w:id="35"/>
    <w:p>
      <w:pPr>
        <w:jc w:val="both"/>
        <w:spacing w:after="0" w:line="262" w:lineRule="auto"/>
        <w:rPr>
          <w:sz w:val="20"/>
          <w:szCs w:val="20"/>
          <w:color w:val="auto"/>
        </w:rPr>
      </w:pPr>
      <w:r>
        <w:rPr>
          <w:rFonts w:ascii="Arial" w:cs="Arial" w:eastAsia="Arial" w:hAnsi="Arial"/>
          <w:sz w:val="18"/>
          <w:szCs w:val="18"/>
          <w:color w:val="auto"/>
        </w:rPr>
        <w:t>Under the supervision of, and with the participation of management, the Company's Chief Executive Officer and Chief Financial Officer have evaluated the effectiveness of the Company's disclosure controls and procedures (as defined in Exchange Act Rules 13a-15(e) and 15d-15(e)) as of March 31, 2025, and have concluded that as of that date, the Company's disclosure controls and procedures are effective.</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Changes in Internal Control Over Financial Reporting</w:t>
      </w:r>
    </w:p>
    <w:p>
      <w:pPr>
        <w:spacing w:after="0" w:line="252"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There were no changes in the Company's internal control over financial reporting (as defined in Exchange Act Rules 13a-15(f) and 15d-15(f)) during the quarter ended March 31, 2025 that materially affected, or are reasonably likely to materially affect, the Company's internal control over financial reporting.</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SAFE HARBOR STATEMENT:</w:t>
      </w:r>
    </w:p>
    <w:p>
      <w:pPr>
        <w:spacing w:after="0" w:line="185" w:lineRule="exact"/>
        <w:rPr>
          <w:sz w:val="20"/>
          <w:szCs w:val="20"/>
          <w:color w:val="auto"/>
        </w:rPr>
      </w:pPr>
    </w:p>
    <w:p>
      <w:pPr>
        <w:jc w:val="both"/>
        <w:spacing w:after="0" w:line="245" w:lineRule="auto"/>
        <w:rPr>
          <w:sz w:val="20"/>
          <w:szCs w:val="20"/>
          <w:color w:val="auto"/>
        </w:rPr>
      </w:pPr>
      <w:r>
        <w:rPr>
          <w:rFonts w:ascii="Arial" w:cs="Arial" w:eastAsia="Arial" w:hAnsi="Arial"/>
          <w:sz w:val="18"/>
          <w:szCs w:val="18"/>
          <w:color w:val="auto"/>
        </w:rPr>
        <w:t>This Quarterly Report contains forward-looking statements within the meaning of the safe harbor provisions of the Private Securities Litigation Reform Act of 1995. The statements contained in this communication that are not purely historical are forward-looking</w:t>
      </w:r>
    </w:p>
    <w:p>
      <w:pPr>
        <w:jc w:val="both"/>
        <w:spacing w:after="0" w:line="226" w:lineRule="auto"/>
        <w:rPr>
          <w:sz w:val="20"/>
          <w:szCs w:val="20"/>
          <w:color w:val="auto"/>
        </w:rPr>
      </w:pPr>
      <w:r>
        <w:rPr>
          <w:rFonts w:ascii="Arial" w:cs="Arial" w:eastAsia="Arial" w:hAnsi="Arial"/>
          <w:sz w:val="18"/>
          <w:szCs w:val="18"/>
          <w:color w:val="auto"/>
        </w:rPr>
        <w:t>statements. Forward-looking statements give the Company’s current expectations or forecasts of future events. These forward-looking statements generally can be identified by the use of words such as “anticipate,” “believe,” “could,” “estimate,” “expect,”</w:t>
      </w:r>
    </w:p>
    <w:p>
      <w:pPr>
        <w:spacing w:after="0" w:line="2" w:lineRule="exact"/>
        <w:rPr>
          <w:sz w:val="20"/>
          <w:szCs w:val="20"/>
          <w:color w:val="auto"/>
        </w:rPr>
      </w:pPr>
    </w:p>
    <w:p>
      <w:pPr>
        <w:jc w:val="both"/>
        <w:spacing w:after="0" w:line="234" w:lineRule="auto"/>
        <w:rPr>
          <w:sz w:val="20"/>
          <w:szCs w:val="20"/>
          <w:color w:val="auto"/>
        </w:rPr>
      </w:pPr>
      <w:r>
        <w:rPr>
          <w:rFonts w:ascii="Arial" w:cs="Arial" w:eastAsia="Arial" w:hAnsi="Arial"/>
          <w:sz w:val="18"/>
          <w:szCs w:val="18"/>
          <w:color w:val="auto"/>
        </w:rPr>
        <w:t>“forecast,” “future,” “goal,” “guidance,” “hope,” “intend,” "likely", “may,” “opinion,” “optimistic,” “plan,” “poised,” “predict,” “project,” “should,” “strategy,” “target,” “will,” "work to," and variations of such words and similar expressions. Such statements are subject to risks and uncertainties that are often difficult to predict and beyond the Company’s control, and could cause the Company’s results to differ materially from those described. These risks and uncertainties include, without limitation: changes in general industry or regional market conditions, including the impact of inflation; import and export duty and tariff rates with the countries with which we conduct business; changes in consumer and customer preferences for our products (such as cameras replacing mirrors and/or autonomous driving); our ability to be awarded new business; continued uncertainty in pricing negotiations with customers and suppliers; loss of business from increased competition; changes in strategic relationships; customer bankruptcies or divestiture of customer brands; fluctuation in vehicle production schedules (including the impact of customer employee strikes); changes in product mix; raw material and other supply shortages; labor shortages, supply chain constraints and disruptions; our dependence on</w:t>
      </w:r>
    </w:p>
    <w:p>
      <w:pPr>
        <w:spacing w:after="0" w:line="7" w:lineRule="exact"/>
        <w:rPr>
          <w:sz w:val="20"/>
          <w:szCs w:val="20"/>
          <w:color w:val="auto"/>
        </w:rPr>
      </w:pPr>
    </w:p>
    <w:p>
      <w:pPr>
        <w:jc w:val="both"/>
        <w:ind w:right="20"/>
        <w:spacing w:after="0" w:line="226" w:lineRule="auto"/>
        <w:rPr>
          <w:sz w:val="20"/>
          <w:szCs w:val="20"/>
          <w:color w:val="auto"/>
        </w:rPr>
      </w:pPr>
      <w:r>
        <w:rPr>
          <w:rFonts w:ascii="Arial" w:cs="Arial" w:eastAsia="Arial" w:hAnsi="Arial"/>
          <w:sz w:val="18"/>
          <w:szCs w:val="18"/>
          <w:color w:val="auto"/>
        </w:rPr>
        <w:t>information systems; higher raw material, fuel, energy and other costs; unfavorable fluctuations in currencies or interest rates in the regions in which we operate; costs or difficulties related to the integration and/or ability to maximize the value of any new or acquired</w:t>
      </w:r>
    </w:p>
    <w:p>
      <w:pPr>
        <w:spacing w:after="0" w:line="2"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technologies and businesses; changes in regulatory conditions; warranty and recall claims and other litigation and customer reactions thereto; possible adverse results of pending or future litigation or infringement claims; changes in tax laws; negative impact of any governmental investigations and associated litigation, including securities litigation relating to the conduct of our business; and force majeure events. Readers are cautioned not to place undue reliance on these forward-looking statements, which speak only as of the date they are made.</w:t>
      </w:r>
    </w:p>
    <w:p>
      <w:pPr>
        <w:spacing w:after="0" w:line="4"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The Company undertakes no obligation to publicly update or revise any forward-looking statement, whether as a result of new information, future events or otherwise, except as required by law or the rules of the NASDAQ Global Select Market. Accordingly, any forward-looking statement should be read in conjunction with the additional information about risks and uncertainties identified under the heading “Risk Factors” in the Company’s latest Form 10-K and Form 10-Q filed with the SEC, which risks and uncertainties include tariffs and supply chain constraints that have affected, are affecting, and will continue to affect, general economic and industry conditions, customers, suppliers, and the regulatory environment in which the Company operates. Includes content supplied by S&amp;P Global Mobility Light Vehicle Production Forecast of April 15, 2025 (http://www.gentex.com/forecast-disclaimer).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-426085</wp:posOffset>
            </wp:positionH>
            <wp:positionV relativeFrom="paragraph">
              <wp:posOffset>73660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80"/>
          </w:cols>
          <w:pgMar w:left="980" w:top="931" w:right="339" w:bottom="1440" w:gutter="0" w:footer="0" w:header="0"/>
        </w:sectPr>
      </w:pPr>
    </w:p>
    <w:bookmarkStart w:id="36" w:name="page37"/>
    <w:bookmarkEnd w:id="36"/>
    <w:p>
      <w:pPr>
        <w:jc w:val="center"/>
        <w:spacing w:after="0"/>
        <w:rPr>
          <w:sz w:val="20"/>
          <w:szCs w:val="20"/>
          <w:color w:val="auto"/>
        </w:rPr>
      </w:pPr>
      <w:r>
        <w:rPr>
          <w:rFonts w:ascii="Arial" w:cs="Arial" w:eastAsia="Arial" w:hAnsi="Arial"/>
          <w:sz w:val="18"/>
          <w:szCs w:val="18"/>
          <w:b w:val="1"/>
          <w:bCs w:val="1"/>
          <w:color w:val="auto"/>
        </w:rPr>
        <w:t>PART II—OTHER INFORMATION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04" w:lineRule="exact"/>
        <w:rPr>
          <w:sz w:val="20"/>
          <w:szCs w:val="20"/>
          <w:color w:val="auto"/>
        </w:rPr>
      </w:pPr>
    </w:p>
    <w:p>
      <w:pPr>
        <w:jc w:val="both"/>
        <w:ind w:left="660"/>
        <w:spacing w:after="0" w:line="259" w:lineRule="auto"/>
        <w:rPr>
          <w:sz w:val="20"/>
          <w:szCs w:val="20"/>
          <w:color w:val="auto"/>
        </w:rPr>
      </w:pPr>
      <w:r>
        <w:rPr>
          <w:rFonts w:ascii="Arial" w:cs="Arial" w:eastAsia="Arial" w:hAnsi="Arial"/>
          <w:sz w:val="18"/>
          <w:szCs w:val="18"/>
          <w:color w:val="auto"/>
        </w:rPr>
        <w:t>Information regarding risk factors appears in Management’s Discussion and Analysis of Financial Condition and Results of Operations in Part I – Item 2 of this Form 10-Q and in Part I – Item 1A – Risk Factors of the Company’s report on Form 10-K for the fiscal year ended December 31, 2024. There have been no material changes to the risk factors previously disclosed in the Company’s report on Form 10-K for the year ended December 31, 2024, except to the extent described in Part I – Item 2 and Item 3 of this Form 10-Q, and otherwise herein.</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52" w:lineRule="exact"/>
        <w:rPr>
          <w:sz w:val="20"/>
          <w:szCs w:val="20"/>
          <w:color w:val="auto"/>
        </w:rPr>
      </w:pPr>
    </w:p>
    <w:p>
      <w:pPr>
        <w:ind w:left="420" w:hanging="412"/>
        <w:spacing w:after="0"/>
        <w:tabs>
          <w:tab w:leader="none" w:pos="420" w:val="left"/>
        </w:tabs>
        <w:numPr>
          <w:ilvl w:val="0"/>
          <w:numId w:val="22"/>
        </w:numPr>
        <w:rPr>
          <w:rFonts w:ascii="Arial" w:cs="Arial" w:eastAsia="Arial" w:hAnsi="Arial"/>
          <w:sz w:val="18"/>
          <w:szCs w:val="18"/>
          <w:b w:val="1"/>
          <w:bCs w:val="1"/>
          <w:color w:val="auto"/>
        </w:rPr>
      </w:pPr>
      <w:r>
        <w:rPr>
          <w:rFonts w:ascii="Arial" w:cs="Arial" w:eastAsia="Arial" w:hAnsi="Arial"/>
          <w:sz w:val="18"/>
          <w:szCs w:val="18"/>
          <w:b w:val="1"/>
          <w:bCs w:val="1"/>
          <w:color w:val="auto"/>
        </w:rPr>
        <w:t>Issuer Purchase of Equity Securities</w:t>
      </w:r>
    </w:p>
    <w:p>
      <w:pPr>
        <w:spacing w:after="0" w:line="252" w:lineRule="exact"/>
        <w:rPr>
          <w:sz w:val="20"/>
          <w:szCs w:val="20"/>
          <w:color w:val="auto"/>
        </w:rPr>
      </w:pPr>
    </w:p>
    <w:p>
      <w:pPr>
        <w:jc w:val="both"/>
        <w:ind w:left="660"/>
        <w:spacing w:after="0" w:line="256" w:lineRule="auto"/>
        <w:rPr>
          <w:sz w:val="20"/>
          <w:szCs w:val="20"/>
          <w:color w:val="auto"/>
        </w:rPr>
      </w:pPr>
      <w:r>
        <w:rPr>
          <w:rFonts w:ascii="Arial" w:cs="Arial" w:eastAsia="Arial" w:hAnsi="Arial"/>
          <w:sz w:val="18"/>
          <w:szCs w:val="18"/>
          <w:color w:val="auto"/>
        </w:rPr>
        <w:t>The Company has a previously announced share repurchase plan under which the Board of Directors has authorized the repurchase of shares of the Company's common stock, which remains a part of the broader publicly disclosed capital allocation strategy. During the first three months of 2025, the Company repurchased 3.1 million shares under the share repurchase plan. As previously disclosed, the Company will consider the appropriateness of continuing to repurchase additional shares of common stock in the future in support of the capital allocation strategy, but share repurchases will vary from time to time and will take into account macroeconomic events, market trends, and other factors the Company deems appropriate (including the market price of the stock, anti-dilutive effect of repurchases, and available cash).</w:t>
      </w:r>
    </w:p>
    <w:p>
      <w:pPr>
        <w:spacing w:after="0" w:line="210" w:lineRule="exact"/>
        <w:rPr>
          <w:sz w:val="20"/>
          <w:szCs w:val="20"/>
          <w:color w:val="auto"/>
        </w:rPr>
      </w:pPr>
    </w:p>
    <w:p>
      <w:pPr>
        <w:jc w:val="both"/>
        <w:ind w:left="660"/>
        <w:spacing w:after="0" w:line="287" w:lineRule="auto"/>
        <w:rPr>
          <w:sz w:val="20"/>
          <w:szCs w:val="20"/>
          <w:color w:val="auto"/>
        </w:rPr>
      </w:pPr>
      <w:r>
        <w:rPr>
          <w:rFonts w:ascii="Arial" w:cs="Arial" w:eastAsia="Arial" w:hAnsi="Arial"/>
          <w:sz w:val="18"/>
          <w:szCs w:val="18"/>
          <w:color w:val="auto"/>
        </w:rPr>
        <w:t>After the Company repurchased 3,100,351 shares during the first three months of 2025, the Company has 6,349,047 shares remaining under the plan as of March 31, 2025.</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following is a summary of share repurchase activity during each month of the three-month period ended March 31, 2025:</w:t>
      </w:r>
    </w:p>
    <w:p>
      <w:pPr>
        <w:spacing w:after="0" w:line="55" w:lineRule="exact"/>
        <w:rPr>
          <w:sz w:val="20"/>
          <w:szCs w:val="20"/>
          <w:color w:val="auto"/>
        </w:rPr>
      </w:pPr>
    </w:p>
    <w:tbl>
      <w:tblPr>
        <w:tblLayout w:type="fixed"/>
        <w:tblInd w:w="660" w:type="dxa"/>
        <w:tblCellMar>
          <w:top w:w="0" w:type="dxa"/>
          <w:left w:w="0" w:type="dxa"/>
          <w:bottom w:w="0" w:type="dxa"/>
          <w:right w:w="0" w:type="dxa"/>
        </w:tblCellMar>
      </w:tblPr>
      <w:tr>
        <w:trPr>
          <w:trHeight w:val="203"/>
        </w:trPr>
        <w:tc>
          <w:tcPr>
            <w:tcW w:w="2420" w:type="dxa"/>
            <w:vAlign w:val="bottom"/>
            <w:shd w:val="clear" w:color="auto" w:fill="CCEEFF"/>
          </w:tcPr>
          <w:p>
            <w:pPr>
              <w:spacing w:after="0"/>
              <w:rPr>
                <w:sz w:val="17"/>
                <w:szCs w:val="17"/>
                <w:color w:val="auto"/>
              </w:rPr>
            </w:pPr>
          </w:p>
        </w:tc>
        <w:tc>
          <w:tcPr>
            <w:tcW w:w="5300" w:type="dxa"/>
            <w:vAlign w:val="bottom"/>
            <w:gridSpan w:val="3"/>
            <w:shd w:val="clear" w:color="auto" w:fill="CCEEFF"/>
          </w:tcPr>
          <w:p>
            <w:pPr>
              <w:jc w:val="right"/>
              <w:ind w:right="1498"/>
              <w:spacing w:after="0"/>
              <w:rPr>
                <w:sz w:val="20"/>
                <w:szCs w:val="20"/>
                <w:color w:val="auto"/>
              </w:rPr>
            </w:pPr>
            <w:r>
              <w:rPr>
                <w:rFonts w:ascii="Arial" w:cs="Arial" w:eastAsia="Arial" w:hAnsi="Arial"/>
                <w:sz w:val="14"/>
                <w:szCs w:val="14"/>
                <w:b w:val="1"/>
                <w:bCs w:val="1"/>
                <w:color w:val="auto"/>
              </w:rPr>
              <w:t>Issuer Purchase of Equity Securities</w:t>
            </w:r>
          </w:p>
        </w:tc>
        <w:tc>
          <w:tcPr>
            <w:tcW w:w="20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7"/>
        </w:trPr>
        <w:tc>
          <w:tcPr>
            <w:tcW w:w="2420" w:type="dxa"/>
            <w:vAlign w:val="bottom"/>
          </w:tcPr>
          <w:p>
            <w:pPr>
              <w:spacing w:after="0"/>
              <w:rPr>
                <w:sz w:val="21"/>
                <w:szCs w:val="21"/>
                <w:color w:val="auto"/>
              </w:rPr>
            </w:pPr>
          </w:p>
        </w:tc>
        <w:tc>
          <w:tcPr>
            <w:tcW w:w="1800" w:type="dxa"/>
            <w:vAlign w:val="bottom"/>
          </w:tcPr>
          <w:p>
            <w:pPr>
              <w:spacing w:after="0"/>
              <w:rPr>
                <w:sz w:val="21"/>
                <w:szCs w:val="21"/>
                <w:color w:val="auto"/>
              </w:rPr>
            </w:pPr>
          </w:p>
        </w:tc>
        <w:tc>
          <w:tcPr>
            <w:tcW w:w="144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Weighted</w:t>
            </w:r>
          </w:p>
        </w:tc>
        <w:tc>
          <w:tcPr>
            <w:tcW w:w="2060" w:type="dxa"/>
            <w:vAlign w:val="bottom"/>
          </w:tcPr>
          <w:p>
            <w:pPr>
              <w:jc w:val="center"/>
              <w:spacing w:after="0"/>
              <w:rPr>
                <w:sz w:val="20"/>
                <w:szCs w:val="20"/>
                <w:color w:val="auto"/>
              </w:rPr>
            </w:pPr>
            <w:r>
              <w:rPr>
                <w:rFonts w:ascii="Arial" w:cs="Arial" w:eastAsia="Arial" w:hAnsi="Arial"/>
                <w:sz w:val="14"/>
                <w:szCs w:val="14"/>
                <w:b w:val="1"/>
                <w:bCs w:val="1"/>
                <w:color w:val="auto"/>
              </w:rPr>
              <w:t>Total Number of Shares</w:t>
            </w:r>
          </w:p>
        </w:tc>
        <w:tc>
          <w:tcPr>
            <w:tcW w:w="206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Maximum Number of Shares</w:t>
            </w:r>
          </w:p>
        </w:tc>
        <w:tc>
          <w:tcPr>
            <w:tcW w:w="0" w:type="dxa"/>
            <w:vAlign w:val="bottom"/>
          </w:tcPr>
          <w:p>
            <w:pPr>
              <w:spacing w:after="0"/>
              <w:rPr>
                <w:sz w:val="1"/>
                <w:szCs w:val="1"/>
                <w:color w:val="auto"/>
              </w:rPr>
            </w:pPr>
          </w:p>
        </w:tc>
      </w:tr>
      <w:tr>
        <w:trPr>
          <w:trHeight w:val="148"/>
        </w:trPr>
        <w:tc>
          <w:tcPr>
            <w:tcW w:w="2420" w:type="dxa"/>
            <w:vAlign w:val="bottom"/>
          </w:tcPr>
          <w:p>
            <w:pPr>
              <w:spacing w:after="0"/>
              <w:rPr>
                <w:sz w:val="12"/>
                <w:szCs w:val="12"/>
                <w:color w:val="auto"/>
              </w:rPr>
            </w:pPr>
          </w:p>
        </w:tc>
        <w:tc>
          <w:tcPr>
            <w:tcW w:w="1800" w:type="dxa"/>
            <w:vAlign w:val="bottom"/>
            <w:vMerge w:val="restart"/>
          </w:tcPr>
          <w:p>
            <w:pPr>
              <w:jc w:val="right"/>
              <w:ind w:right="17"/>
              <w:spacing w:after="0"/>
              <w:rPr>
                <w:sz w:val="20"/>
                <w:szCs w:val="20"/>
                <w:color w:val="auto"/>
              </w:rPr>
            </w:pPr>
            <w:r>
              <w:rPr>
                <w:rFonts w:ascii="Arial" w:cs="Arial" w:eastAsia="Arial" w:hAnsi="Arial"/>
                <w:sz w:val="14"/>
                <w:szCs w:val="14"/>
                <w:b w:val="1"/>
                <w:bCs w:val="1"/>
                <w:color w:val="auto"/>
              </w:rPr>
              <w:t>Total Number of Shares</w:t>
            </w:r>
          </w:p>
        </w:tc>
        <w:tc>
          <w:tcPr>
            <w:tcW w:w="1440" w:type="dxa"/>
            <w:vAlign w:val="bottom"/>
            <w:vMerge w:val="continue"/>
          </w:tcPr>
          <w:p>
            <w:pPr>
              <w:spacing w:after="0"/>
              <w:rPr>
                <w:sz w:val="12"/>
                <w:szCs w:val="12"/>
                <w:color w:val="auto"/>
              </w:rPr>
            </w:pPr>
          </w:p>
        </w:tc>
        <w:tc>
          <w:tcPr>
            <w:tcW w:w="2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Purchased As Part of a</w:t>
            </w:r>
          </w:p>
        </w:tc>
        <w:tc>
          <w:tcPr>
            <w:tcW w:w="20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4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Period</w:t>
            </w:r>
          </w:p>
        </w:tc>
        <w:tc>
          <w:tcPr>
            <w:tcW w:w="1800" w:type="dxa"/>
            <w:vAlign w:val="bottom"/>
            <w:vMerge w:val="continue"/>
          </w:tcPr>
          <w:p>
            <w:pPr>
              <w:spacing w:after="0"/>
              <w:rPr>
                <w:sz w:val="12"/>
                <w:szCs w:val="12"/>
                <w:color w:val="auto"/>
              </w:rPr>
            </w:pPr>
          </w:p>
        </w:tc>
        <w:tc>
          <w:tcPr>
            <w:tcW w:w="144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rPr>
              <w:t>Average Price Paid</w:t>
            </w:r>
          </w:p>
        </w:tc>
        <w:tc>
          <w:tcPr>
            <w:tcW w:w="206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rPr>
              <w:t>Publicly Announced Plan or</w:t>
            </w:r>
          </w:p>
        </w:tc>
        <w:tc>
          <w:tcPr>
            <w:tcW w:w="206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rPr>
              <w:t>That May Yet Be Purchased</w:t>
            </w:r>
          </w:p>
        </w:tc>
        <w:tc>
          <w:tcPr>
            <w:tcW w:w="0" w:type="dxa"/>
            <w:vAlign w:val="bottom"/>
          </w:tcPr>
          <w:p>
            <w:pPr>
              <w:spacing w:after="0"/>
              <w:rPr>
                <w:sz w:val="1"/>
                <w:szCs w:val="1"/>
                <w:color w:val="auto"/>
              </w:rPr>
            </w:pPr>
          </w:p>
        </w:tc>
      </w:tr>
      <w:tr>
        <w:trPr>
          <w:trHeight w:val="189"/>
        </w:trPr>
        <w:tc>
          <w:tcPr>
            <w:tcW w:w="2420" w:type="dxa"/>
            <w:vAlign w:val="bottom"/>
            <w:tcBorders>
              <w:bottom w:val="single" w:sz="8" w:color="auto"/>
            </w:tcBorders>
            <w:vMerge w:val="continue"/>
          </w:tcPr>
          <w:p>
            <w:pPr>
              <w:spacing w:after="0"/>
              <w:rPr>
                <w:sz w:val="16"/>
                <w:szCs w:val="16"/>
                <w:color w:val="auto"/>
              </w:rPr>
            </w:pPr>
          </w:p>
        </w:tc>
        <w:tc>
          <w:tcPr>
            <w:tcW w:w="1800" w:type="dxa"/>
            <w:vAlign w:val="bottom"/>
            <w:tcBorders>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Purchased</w:t>
            </w: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Per Share</w:t>
            </w:r>
          </w:p>
        </w:tc>
        <w:tc>
          <w:tcPr>
            <w:tcW w:w="2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Program</w:t>
            </w:r>
          </w:p>
        </w:tc>
        <w:tc>
          <w:tcPr>
            <w:tcW w:w="2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Under the Plan or Program</w:t>
            </w:r>
          </w:p>
        </w:tc>
        <w:tc>
          <w:tcPr>
            <w:tcW w:w="0" w:type="dxa"/>
            <w:vAlign w:val="bottom"/>
          </w:tcPr>
          <w:p>
            <w:pPr>
              <w:spacing w:after="0"/>
              <w:rPr>
                <w:sz w:val="1"/>
                <w:szCs w:val="1"/>
                <w:color w:val="auto"/>
              </w:rPr>
            </w:pPr>
          </w:p>
        </w:tc>
      </w:tr>
      <w:tr>
        <w:trPr>
          <w:trHeight w:val="223"/>
        </w:trPr>
        <w:tc>
          <w:tcPr>
            <w:tcW w:w="2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January 2025</w:t>
            </w: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9,449,398</w:t>
            </w:r>
          </w:p>
        </w:tc>
        <w:tc>
          <w:tcPr>
            <w:tcW w:w="0" w:type="dxa"/>
            <w:vAlign w:val="bottom"/>
          </w:tcPr>
          <w:p>
            <w:pPr>
              <w:spacing w:after="0"/>
              <w:rPr>
                <w:sz w:val="1"/>
                <w:szCs w:val="1"/>
                <w:color w:val="auto"/>
              </w:rPr>
            </w:pPr>
          </w:p>
        </w:tc>
      </w:tr>
      <w:tr>
        <w:trPr>
          <w:trHeight w:val="229"/>
        </w:trPr>
        <w:tc>
          <w:tcPr>
            <w:tcW w:w="2420" w:type="dxa"/>
            <w:vAlign w:val="bottom"/>
          </w:tcPr>
          <w:p>
            <w:pPr>
              <w:ind w:left="20"/>
              <w:spacing w:after="0"/>
              <w:rPr>
                <w:sz w:val="20"/>
                <w:szCs w:val="20"/>
                <w:color w:val="auto"/>
              </w:rPr>
            </w:pPr>
            <w:r>
              <w:rPr>
                <w:rFonts w:ascii="Arial" w:cs="Arial" w:eastAsia="Arial" w:hAnsi="Arial"/>
                <w:sz w:val="18"/>
                <w:szCs w:val="18"/>
                <w:color w:val="auto"/>
              </w:rPr>
              <w:t>February 2025</w:t>
            </w:r>
          </w:p>
        </w:tc>
        <w:tc>
          <w:tcPr>
            <w:tcW w:w="1800" w:type="dxa"/>
            <w:vAlign w:val="bottom"/>
          </w:tcPr>
          <w:p>
            <w:pPr>
              <w:jc w:val="right"/>
              <w:spacing w:after="0"/>
              <w:rPr>
                <w:sz w:val="20"/>
                <w:szCs w:val="20"/>
                <w:color w:val="auto"/>
              </w:rPr>
            </w:pPr>
            <w:r>
              <w:rPr>
                <w:rFonts w:ascii="Arial" w:cs="Arial" w:eastAsia="Arial" w:hAnsi="Arial"/>
                <w:sz w:val="18"/>
                <w:szCs w:val="18"/>
                <w:color w:val="auto"/>
              </w:rPr>
              <w:t>250,015</w:t>
            </w:r>
          </w:p>
        </w:tc>
        <w:tc>
          <w:tcPr>
            <w:tcW w:w="1440" w:type="dxa"/>
            <w:vAlign w:val="bottom"/>
          </w:tcPr>
          <w:p>
            <w:pPr>
              <w:jc w:val="right"/>
              <w:spacing w:after="0"/>
              <w:rPr>
                <w:sz w:val="20"/>
                <w:szCs w:val="20"/>
                <w:color w:val="auto"/>
              </w:rPr>
            </w:pPr>
            <w:r>
              <w:rPr>
                <w:rFonts w:ascii="Arial" w:cs="Arial" w:eastAsia="Arial" w:hAnsi="Arial"/>
                <w:sz w:val="18"/>
                <w:szCs w:val="18"/>
                <w:color w:val="auto"/>
              </w:rPr>
              <w:t>24.74</w:t>
            </w:r>
          </w:p>
        </w:tc>
        <w:tc>
          <w:tcPr>
            <w:tcW w:w="2060" w:type="dxa"/>
            <w:vAlign w:val="bottom"/>
          </w:tcPr>
          <w:p>
            <w:pPr>
              <w:jc w:val="right"/>
              <w:spacing w:after="0"/>
              <w:rPr>
                <w:sz w:val="20"/>
                <w:szCs w:val="20"/>
                <w:color w:val="auto"/>
              </w:rPr>
            </w:pPr>
            <w:r>
              <w:rPr>
                <w:rFonts w:ascii="Arial" w:cs="Arial" w:eastAsia="Arial" w:hAnsi="Arial"/>
                <w:sz w:val="18"/>
                <w:szCs w:val="18"/>
                <w:color w:val="auto"/>
              </w:rPr>
              <w:t>250,015</w:t>
            </w:r>
          </w:p>
        </w:tc>
        <w:tc>
          <w:tcPr>
            <w:tcW w:w="2060" w:type="dxa"/>
            <w:vAlign w:val="bottom"/>
          </w:tcPr>
          <w:p>
            <w:pPr>
              <w:jc w:val="right"/>
              <w:spacing w:after="0"/>
              <w:rPr>
                <w:sz w:val="20"/>
                <w:szCs w:val="20"/>
                <w:color w:val="auto"/>
              </w:rPr>
            </w:pPr>
            <w:r>
              <w:rPr>
                <w:rFonts w:ascii="Arial" w:cs="Arial" w:eastAsia="Arial" w:hAnsi="Arial"/>
                <w:sz w:val="18"/>
                <w:szCs w:val="18"/>
                <w:color w:val="auto"/>
              </w:rPr>
              <w:t>9,199,383</w:t>
            </w:r>
          </w:p>
        </w:tc>
        <w:tc>
          <w:tcPr>
            <w:tcW w:w="0" w:type="dxa"/>
            <w:vAlign w:val="bottom"/>
          </w:tcPr>
          <w:p>
            <w:pPr>
              <w:spacing w:after="0"/>
              <w:rPr>
                <w:sz w:val="1"/>
                <w:szCs w:val="1"/>
                <w:color w:val="auto"/>
              </w:rPr>
            </w:pPr>
          </w:p>
        </w:tc>
      </w:tr>
      <w:tr>
        <w:trPr>
          <w:trHeight w:val="230"/>
        </w:trPr>
        <w:tc>
          <w:tcPr>
            <w:tcW w:w="2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March 2025</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2,850,336</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24.50</w:t>
            </w:r>
          </w:p>
        </w:tc>
        <w:tc>
          <w:tcPr>
            <w:tcW w:w="2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2,850,336</w:t>
            </w:r>
          </w:p>
        </w:tc>
        <w:tc>
          <w:tcPr>
            <w:tcW w:w="2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6,349,047</w:t>
            </w:r>
          </w:p>
        </w:tc>
        <w:tc>
          <w:tcPr>
            <w:tcW w:w="0" w:type="dxa"/>
            <w:vAlign w:val="bottom"/>
          </w:tcPr>
          <w:p>
            <w:pPr>
              <w:spacing w:after="0"/>
              <w:rPr>
                <w:sz w:val="1"/>
                <w:szCs w:val="1"/>
                <w:color w:val="auto"/>
              </w:rPr>
            </w:pPr>
          </w:p>
        </w:tc>
      </w:tr>
      <w:tr>
        <w:trPr>
          <w:trHeight w:val="223"/>
        </w:trPr>
        <w:tc>
          <w:tcPr>
            <w:tcW w:w="2420" w:type="dxa"/>
            <w:vAlign w:val="bottom"/>
          </w:tcPr>
          <w:p>
            <w:pPr>
              <w:ind w:left="20"/>
              <w:spacing w:after="0"/>
              <w:rPr>
                <w:sz w:val="20"/>
                <w:szCs w:val="20"/>
                <w:color w:val="auto"/>
              </w:rPr>
            </w:pPr>
            <w:r>
              <w:rPr>
                <w:rFonts w:ascii="Arial" w:cs="Arial" w:eastAsia="Arial" w:hAnsi="Arial"/>
                <w:sz w:val="18"/>
                <w:szCs w:val="18"/>
                <w:color w:val="auto"/>
              </w:rPr>
              <w:t>1st Quarter 2025 Total</w:t>
            </w:r>
          </w:p>
        </w:tc>
        <w:tc>
          <w:tcPr>
            <w:tcW w:w="1800" w:type="dxa"/>
            <w:vAlign w:val="bottom"/>
          </w:tcPr>
          <w:p>
            <w:pPr>
              <w:jc w:val="right"/>
              <w:spacing w:after="0"/>
              <w:rPr>
                <w:sz w:val="20"/>
                <w:szCs w:val="20"/>
                <w:color w:val="auto"/>
              </w:rPr>
            </w:pPr>
            <w:r>
              <w:rPr>
                <w:rFonts w:ascii="Arial" w:cs="Arial" w:eastAsia="Arial" w:hAnsi="Arial"/>
                <w:sz w:val="18"/>
                <w:szCs w:val="18"/>
                <w:color w:val="auto"/>
              </w:rPr>
              <w:t>3,100,351</w:t>
            </w:r>
          </w:p>
        </w:tc>
        <w:tc>
          <w:tcPr>
            <w:tcW w:w="1440" w:type="dxa"/>
            <w:vAlign w:val="bottom"/>
          </w:tcPr>
          <w:p>
            <w:pPr>
              <w:jc w:val="right"/>
              <w:spacing w:after="0"/>
              <w:rPr>
                <w:sz w:val="20"/>
                <w:szCs w:val="20"/>
                <w:color w:val="auto"/>
              </w:rPr>
            </w:pPr>
            <w:r>
              <w:rPr>
                <w:rFonts w:ascii="Arial" w:cs="Arial" w:eastAsia="Arial" w:hAnsi="Arial"/>
                <w:sz w:val="18"/>
                <w:szCs w:val="18"/>
                <w:color w:val="auto"/>
              </w:rPr>
              <w:t>24.52</w:t>
            </w:r>
          </w:p>
        </w:tc>
        <w:tc>
          <w:tcPr>
            <w:tcW w:w="2060" w:type="dxa"/>
            <w:vAlign w:val="bottom"/>
          </w:tcPr>
          <w:p>
            <w:pPr>
              <w:jc w:val="right"/>
              <w:spacing w:after="0"/>
              <w:rPr>
                <w:sz w:val="20"/>
                <w:szCs w:val="20"/>
                <w:color w:val="auto"/>
              </w:rPr>
            </w:pPr>
            <w:r>
              <w:rPr>
                <w:rFonts w:ascii="Arial" w:cs="Arial" w:eastAsia="Arial" w:hAnsi="Arial"/>
                <w:sz w:val="18"/>
                <w:szCs w:val="18"/>
                <w:color w:val="auto"/>
              </w:rPr>
              <w:t>3,100,351</w:t>
            </w:r>
          </w:p>
        </w:tc>
        <w:tc>
          <w:tcPr>
            <w:tcW w:w="2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42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2060" w:type="dxa"/>
            <w:vAlign w:val="bottom"/>
            <w:shd w:val="clear" w:color="auto" w:fill="CCEEFF"/>
          </w:tcPr>
          <w:p>
            <w:pPr>
              <w:spacing w:after="0"/>
              <w:rPr>
                <w:sz w:val="18"/>
                <w:szCs w:val="18"/>
                <w:color w:val="auto"/>
              </w:rPr>
            </w:pPr>
          </w:p>
        </w:tc>
        <w:tc>
          <w:tcPr>
            <w:tcW w:w="2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420" w:type="dxa"/>
            <w:vAlign w:val="bottom"/>
          </w:tcPr>
          <w:p>
            <w:pPr>
              <w:ind w:left="20"/>
              <w:spacing w:after="0"/>
              <w:rPr>
                <w:sz w:val="20"/>
                <w:szCs w:val="20"/>
                <w:color w:val="auto"/>
              </w:rPr>
            </w:pPr>
            <w:r>
              <w:rPr>
                <w:rFonts w:ascii="Arial" w:cs="Arial" w:eastAsia="Arial" w:hAnsi="Arial"/>
                <w:sz w:val="18"/>
                <w:szCs w:val="18"/>
                <w:color w:val="auto"/>
              </w:rPr>
              <w:t>2025 Total</w:t>
            </w: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3,100,351</w:t>
            </w:r>
          </w:p>
        </w:tc>
        <w:tc>
          <w:tcPr>
            <w:tcW w:w="1440" w:type="dxa"/>
            <w:vAlign w:val="bottom"/>
          </w:tcPr>
          <w:p>
            <w:pPr>
              <w:spacing w:after="0"/>
              <w:rPr>
                <w:sz w:val="19"/>
                <w:szCs w:val="19"/>
                <w:color w:val="auto"/>
              </w:rPr>
            </w:pPr>
          </w:p>
        </w:tc>
        <w:tc>
          <w:tcPr>
            <w:tcW w:w="2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3,100,351</w:t>
            </w:r>
          </w:p>
        </w:tc>
        <w:tc>
          <w:tcPr>
            <w:tcW w:w="2060" w:type="dxa"/>
            <w:vAlign w:val="bottom"/>
          </w:tcPr>
          <w:p>
            <w:pPr>
              <w:jc w:val="right"/>
              <w:spacing w:after="0"/>
              <w:rPr>
                <w:sz w:val="20"/>
                <w:szCs w:val="20"/>
                <w:color w:val="auto"/>
              </w:rPr>
            </w:pPr>
            <w:r>
              <w:rPr>
                <w:rFonts w:ascii="Arial" w:cs="Arial" w:eastAsia="Arial" w:hAnsi="Arial"/>
                <w:sz w:val="18"/>
                <w:szCs w:val="18"/>
                <w:color w:val="auto"/>
              </w:rPr>
              <w:t>6,349,047</w:t>
            </w:r>
          </w:p>
        </w:tc>
        <w:tc>
          <w:tcPr>
            <w:tcW w:w="0" w:type="dxa"/>
            <w:vAlign w:val="bottom"/>
          </w:tcPr>
          <w:p>
            <w:pPr>
              <w:spacing w:after="0"/>
              <w:rPr>
                <w:sz w:val="1"/>
                <w:szCs w:val="1"/>
                <w:color w:val="auto"/>
              </w:rPr>
            </w:pPr>
          </w:p>
        </w:tc>
      </w:tr>
      <w:tr>
        <w:trPr>
          <w:trHeight w:val="21"/>
        </w:trPr>
        <w:tc>
          <w:tcPr>
            <w:tcW w:w="2420" w:type="dxa"/>
            <w:vAlign w:val="bottom"/>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jc w:val="both"/>
        <w:ind w:left="660" w:right="820"/>
        <w:spacing w:after="0" w:line="287" w:lineRule="auto"/>
        <w:rPr>
          <w:sz w:val="20"/>
          <w:szCs w:val="20"/>
          <w:color w:val="auto"/>
        </w:rPr>
      </w:pPr>
      <w:r>
        <w:rPr>
          <w:rFonts w:ascii="Arial" w:cs="Arial" w:eastAsia="Arial" w:hAnsi="Arial"/>
          <w:sz w:val="18"/>
          <w:szCs w:val="18"/>
          <w:color w:val="auto"/>
        </w:rPr>
        <w:t>As of March 31, 2025, the Company has repurchased 165,650,681 shares at a total cost of $3,028,798,824 under its share repurchase plan or as otherwise previously disclosed.</w:t>
      </w:r>
    </w:p>
    <w:p>
      <w:pPr>
        <w:spacing w:after="0" w:line="200" w:lineRule="exact"/>
        <w:rPr>
          <w:sz w:val="20"/>
          <w:szCs w:val="20"/>
          <w:color w:val="auto"/>
        </w:rPr>
      </w:pPr>
    </w:p>
    <w:p>
      <w:pPr>
        <w:spacing w:after="0" w:line="223"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7"/>
          <w:szCs w:val="17"/>
          <w:b w:val="1"/>
          <w:bCs w:val="1"/>
          <w:color w:val="auto"/>
        </w:rPr>
        <w:t>Exhibits.</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8"/>
          <w:szCs w:val="18"/>
          <w:color w:val="auto"/>
        </w:rPr>
        <w:t xml:space="preserve">See Exhibit Index on Page </w:t>
      </w:r>
      <w:r>
        <w:rPr>
          <w:rFonts w:ascii="Arial" w:cs="Arial" w:eastAsia="Arial" w:hAnsi="Arial"/>
          <w:sz w:val="18"/>
          <w:szCs w:val="18"/>
          <w:u w:val="single" w:color="auto"/>
          <w:color w:val="0000FF"/>
        </w:rPr>
        <w:t>39</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SIGNATURES</w:t>
      </w:r>
    </w:p>
    <w:p>
      <w:pPr>
        <w:spacing w:after="0" w:line="171" w:lineRule="exact"/>
        <w:rPr>
          <w:sz w:val="20"/>
          <w:szCs w:val="20"/>
          <w:color w:val="auto"/>
        </w:rPr>
      </w:pPr>
    </w:p>
    <w:p>
      <w:pPr>
        <w:ind w:right="120"/>
        <w:spacing w:after="0" w:line="28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33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37" w:name="page38"/>
    <w:bookmarkEnd w:id="37"/>
    <w:p>
      <w:pPr>
        <w:spacing w:after="0" w:line="382" w:lineRule="exact"/>
        <w:rPr>
          <w:sz w:val="20"/>
          <w:szCs w:val="20"/>
          <w:color w:val="auto"/>
        </w:rPr>
      </w:pPr>
    </w:p>
    <w:p>
      <w:pPr>
        <w:ind w:left="9920"/>
        <w:spacing w:after="0"/>
        <w:rPr>
          <w:sz w:val="20"/>
          <w:szCs w:val="20"/>
          <w:color w:val="auto"/>
        </w:rPr>
      </w:pPr>
      <w:r>
        <w:rPr>
          <w:rFonts w:ascii="Arial" w:cs="Arial" w:eastAsia="Arial" w:hAnsi="Arial"/>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80645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1440" w:right="339" w:bottom="1440" w:gutter="0" w:footer="0" w:header="0"/>
        </w:sectPr>
      </w:pPr>
    </w:p>
    <w:bookmarkStart w:id="38" w:name="page39"/>
    <w:bookmarkEnd w:id="38"/>
    <w:tbl>
      <w:tblPr>
        <w:tblLayout w:type="fixed"/>
        <w:tblInd w:w="0" w:type="dxa"/>
        <w:tblCellMar>
          <w:top w:w="0" w:type="dxa"/>
          <w:left w:w="0" w:type="dxa"/>
          <w:bottom w:w="0" w:type="dxa"/>
          <w:right w:w="0" w:type="dxa"/>
        </w:tblCellMar>
      </w:tblPr>
      <w:tr>
        <w:trPr>
          <w:trHeight w:val="239"/>
        </w:trPr>
        <w:tc>
          <w:tcPr>
            <w:tcW w:w="540" w:type="dxa"/>
            <w:vAlign w:val="bottom"/>
          </w:tcPr>
          <w:p>
            <w:pPr>
              <w:spacing w:after="0"/>
              <w:rPr>
                <w:sz w:val="20"/>
                <w:szCs w:val="20"/>
                <w:color w:val="auto"/>
              </w:rPr>
            </w:pPr>
          </w:p>
        </w:tc>
        <w:tc>
          <w:tcPr>
            <w:tcW w:w="2920" w:type="dxa"/>
            <w:vAlign w:val="bottom"/>
          </w:tcPr>
          <w:p>
            <w:pPr>
              <w:spacing w:after="0"/>
              <w:rPr>
                <w:sz w:val="20"/>
                <w:szCs w:val="20"/>
                <w:color w:val="auto"/>
              </w:rPr>
            </w:pPr>
          </w:p>
        </w:tc>
        <w:tc>
          <w:tcPr>
            <w:tcW w:w="6680" w:type="dxa"/>
            <w:vAlign w:val="bottom"/>
          </w:tcPr>
          <w:p>
            <w:pPr>
              <w:ind w:left="20"/>
              <w:spacing w:after="0"/>
              <w:rPr>
                <w:sz w:val="20"/>
                <w:szCs w:val="20"/>
                <w:color w:val="auto"/>
              </w:rPr>
            </w:pPr>
            <w:r>
              <w:rPr>
                <w:rFonts w:ascii="Arial" w:cs="Arial" w:eastAsia="Arial" w:hAnsi="Arial"/>
                <w:sz w:val="18"/>
                <w:szCs w:val="18"/>
                <w:color w:val="auto"/>
              </w:rPr>
              <w:t>GENTEX CORPORATION</w:t>
            </w:r>
          </w:p>
        </w:tc>
      </w:tr>
      <w:tr>
        <w:trPr>
          <w:trHeight w:val="333"/>
        </w:trPr>
        <w:tc>
          <w:tcPr>
            <w:tcW w:w="540" w:type="dxa"/>
            <w:vAlign w:val="bottom"/>
          </w:tcPr>
          <w:p>
            <w:pPr>
              <w:spacing w:after="0"/>
              <w:rPr>
                <w:sz w:val="20"/>
                <w:szCs w:val="20"/>
                <w:color w:val="auto"/>
              </w:rPr>
            </w:pPr>
            <w:r>
              <w:rPr>
                <w:rFonts w:ascii="Arial" w:cs="Arial" w:eastAsia="Arial" w:hAnsi="Arial"/>
                <w:sz w:val="18"/>
                <w:szCs w:val="18"/>
                <w:color w:val="auto"/>
              </w:rPr>
              <w:t>Date:</w:t>
            </w:r>
          </w:p>
        </w:tc>
        <w:tc>
          <w:tcPr>
            <w:tcW w:w="2920" w:type="dxa"/>
            <w:vAlign w:val="bottom"/>
          </w:tcPr>
          <w:p>
            <w:pPr>
              <w:ind w:left="120"/>
              <w:spacing w:after="0"/>
              <w:rPr>
                <w:sz w:val="20"/>
                <w:szCs w:val="20"/>
                <w:color w:val="auto"/>
              </w:rPr>
            </w:pPr>
            <w:r>
              <w:rPr>
                <w:rFonts w:ascii="Arial" w:cs="Arial" w:eastAsia="Arial" w:hAnsi="Arial"/>
                <w:sz w:val="18"/>
                <w:szCs w:val="18"/>
                <w:color w:val="auto"/>
              </w:rPr>
              <w:t>May 6, 2025</w:t>
            </w:r>
          </w:p>
        </w:tc>
        <w:tc>
          <w:tcPr>
            <w:tcW w:w="66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Steven R. Downing</w:t>
            </w:r>
          </w:p>
        </w:tc>
      </w:tr>
      <w:tr>
        <w:trPr>
          <w:trHeight w:val="218"/>
        </w:trPr>
        <w:tc>
          <w:tcPr>
            <w:tcW w:w="54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6680" w:type="dxa"/>
            <w:vAlign w:val="bottom"/>
          </w:tcPr>
          <w:p>
            <w:pPr>
              <w:ind w:left="20"/>
              <w:spacing w:after="0"/>
              <w:rPr>
                <w:sz w:val="20"/>
                <w:szCs w:val="20"/>
                <w:color w:val="auto"/>
              </w:rPr>
            </w:pPr>
            <w:r>
              <w:rPr>
                <w:rFonts w:ascii="Arial" w:cs="Arial" w:eastAsia="Arial" w:hAnsi="Arial"/>
                <w:sz w:val="18"/>
                <w:szCs w:val="18"/>
                <w:color w:val="auto"/>
              </w:rPr>
              <w:t>Steven R. Downing</w:t>
            </w:r>
          </w:p>
        </w:tc>
      </w:tr>
      <w:tr>
        <w:trPr>
          <w:trHeight w:val="229"/>
        </w:trPr>
        <w:tc>
          <w:tcPr>
            <w:tcW w:w="540" w:type="dxa"/>
            <w:vAlign w:val="bottom"/>
          </w:tcPr>
          <w:p>
            <w:pPr>
              <w:spacing w:after="0"/>
              <w:rPr>
                <w:sz w:val="19"/>
                <w:szCs w:val="19"/>
                <w:color w:val="auto"/>
              </w:rPr>
            </w:pPr>
          </w:p>
        </w:tc>
        <w:tc>
          <w:tcPr>
            <w:tcW w:w="2920" w:type="dxa"/>
            <w:vAlign w:val="bottom"/>
          </w:tcPr>
          <w:p>
            <w:pPr>
              <w:spacing w:after="0"/>
              <w:rPr>
                <w:sz w:val="19"/>
                <w:szCs w:val="19"/>
                <w:color w:val="auto"/>
              </w:rPr>
            </w:pPr>
          </w:p>
        </w:tc>
        <w:tc>
          <w:tcPr>
            <w:tcW w:w="6680" w:type="dxa"/>
            <w:vAlign w:val="bottom"/>
          </w:tcPr>
          <w:p>
            <w:pPr>
              <w:ind w:left="20"/>
              <w:spacing w:after="0"/>
              <w:rPr>
                <w:sz w:val="20"/>
                <w:szCs w:val="20"/>
                <w:color w:val="auto"/>
              </w:rPr>
            </w:pPr>
            <w:r>
              <w:rPr>
                <w:rFonts w:ascii="Arial" w:cs="Arial" w:eastAsia="Arial" w:hAnsi="Arial"/>
                <w:sz w:val="18"/>
                <w:szCs w:val="18"/>
                <w:color w:val="auto"/>
              </w:rPr>
              <w:t>President and Chief Executive Officer</w:t>
            </w:r>
          </w:p>
        </w:tc>
      </w:tr>
      <w:tr>
        <w:trPr>
          <w:trHeight w:val="239"/>
        </w:trPr>
        <w:tc>
          <w:tcPr>
            <w:tcW w:w="540" w:type="dxa"/>
            <w:vAlign w:val="bottom"/>
          </w:tcPr>
          <w:p>
            <w:pPr>
              <w:spacing w:after="0"/>
              <w:rPr>
                <w:sz w:val="20"/>
                <w:szCs w:val="20"/>
                <w:color w:val="auto"/>
              </w:rPr>
            </w:pPr>
          </w:p>
        </w:tc>
        <w:tc>
          <w:tcPr>
            <w:tcW w:w="2920" w:type="dxa"/>
            <w:vAlign w:val="bottom"/>
          </w:tcPr>
          <w:p>
            <w:pPr>
              <w:spacing w:after="0"/>
              <w:rPr>
                <w:sz w:val="20"/>
                <w:szCs w:val="20"/>
                <w:color w:val="auto"/>
              </w:rPr>
            </w:pPr>
          </w:p>
        </w:tc>
        <w:tc>
          <w:tcPr>
            <w:tcW w:w="6680" w:type="dxa"/>
            <w:vAlign w:val="bottom"/>
          </w:tcPr>
          <w:p>
            <w:pPr>
              <w:ind w:left="20"/>
              <w:spacing w:after="0"/>
              <w:rPr>
                <w:sz w:val="20"/>
                <w:szCs w:val="20"/>
                <w:color w:val="auto"/>
              </w:rPr>
            </w:pPr>
            <w:r>
              <w:rPr>
                <w:rFonts w:ascii="Arial" w:cs="Arial" w:eastAsia="Arial" w:hAnsi="Arial"/>
                <w:sz w:val="18"/>
                <w:szCs w:val="18"/>
                <w:color w:val="auto"/>
              </w:rPr>
              <w:t>(Principal Executive Officer) on behalf of Gentex Corporation</w:t>
            </w:r>
          </w:p>
        </w:tc>
      </w:tr>
      <w:tr>
        <w:trPr>
          <w:trHeight w:val="333"/>
        </w:trPr>
        <w:tc>
          <w:tcPr>
            <w:tcW w:w="540" w:type="dxa"/>
            <w:vAlign w:val="bottom"/>
          </w:tcPr>
          <w:p>
            <w:pPr>
              <w:spacing w:after="0"/>
              <w:rPr>
                <w:sz w:val="20"/>
                <w:szCs w:val="20"/>
                <w:color w:val="auto"/>
              </w:rPr>
            </w:pPr>
            <w:r>
              <w:rPr>
                <w:rFonts w:ascii="Arial" w:cs="Arial" w:eastAsia="Arial" w:hAnsi="Arial"/>
                <w:sz w:val="18"/>
                <w:szCs w:val="18"/>
                <w:color w:val="auto"/>
              </w:rPr>
              <w:t>Date:</w:t>
            </w:r>
          </w:p>
        </w:tc>
        <w:tc>
          <w:tcPr>
            <w:tcW w:w="2920" w:type="dxa"/>
            <w:vAlign w:val="bottom"/>
          </w:tcPr>
          <w:p>
            <w:pPr>
              <w:ind w:left="120"/>
              <w:spacing w:after="0"/>
              <w:rPr>
                <w:sz w:val="20"/>
                <w:szCs w:val="20"/>
                <w:color w:val="auto"/>
              </w:rPr>
            </w:pPr>
            <w:r>
              <w:rPr>
                <w:rFonts w:ascii="Arial" w:cs="Arial" w:eastAsia="Arial" w:hAnsi="Arial"/>
                <w:sz w:val="18"/>
                <w:szCs w:val="18"/>
                <w:color w:val="auto"/>
              </w:rPr>
              <w:t>May 6, 2025</w:t>
            </w:r>
          </w:p>
        </w:tc>
        <w:tc>
          <w:tcPr>
            <w:tcW w:w="66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Kevin C. Nash</w:t>
            </w:r>
          </w:p>
        </w:tc>
      </w:tr>
      <w:tr>
        <w:trPr>
          <w:trHeight w:val="218"/>
        </w:trPr>
        <w:tc>
          <w:tcPr>
            <w:tcW w:w="54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6680" w:type="dxa"/>
            <w:vAlign w:val="bottom"/>
          </w:tcPr>
          <w:p>
            <w:pPr>
              <w:ind w:left="20"/>
              <w:spacing w:after="0"/>
              <w:rPr>
                <w:sz w:val="20"/>
                <w:szCs w:val="20"/>
                <w:color w:val="auto"/>
              </w:rPr>
            </w:pPr>
            <w:r>
              <w:rPr>
                <w:rFonts w:ascii="Arial" w:cs="Arial" w:eastAsia="Arial" w:hAnsi="Arial"/>
                <w:sz w:val="18"/>
                <w:szCs w:val="18"/>
                <w:color w:val="auto"/>
              </w:rPr>
              <w:t>Kevin C. Nash</w:t>
            </w:r>
          </w:p>
        </w:tc>
      </w:tr>
      <w:tr>
        <w:trPr>
          <w:trHeight w:val="239"/>
        </w:trPr>
        <w:tc>
          <w:tcPr>
            <w:tcW w:w="540" w:type="dxa"/>
            <w:vAlign w:val="bottom"/>
          </w:tcPr>
          <w:p>
            <w:pPr>
              <w:spacing w:after="0"/>
              <w:rPr>
                <w:sz w:val="20"/>
                <w:szCs w:val="20"/>
                <w:color w:val="auto"/>
              </w:rPr>
            </w:pPr>
          </w:p>
        </w:tc>
        <w:tc>
          <w:tcPr>
            <w:tcW w:w="2920" w:type="dxa"/>
            <w:vAlign w:val="bottom"/>
          </w:tcPr>
          <w:p>
            <w:pPr>
              <w:spacing w:after="0"/>
              <w:rPr>
                <w:sz w:val="20"/>
                <w:szCs w:val="20"/>
                <w:color w:val="auto"/>
              </w:rPr>
            </w:pPr>
          </w:p>
        </w:tc>
        <w:tc>
          <w:tcPr>
            <w:tcW w:w="6680" w:type="dxa"/>
            <w:vAlign w:val="bottom"/>
          </w:tcPr>
          <w:p>
            <w:pPr>
              <w:ind w:left="20"/>
              <w:spacing w:after="0"/>
              <w:rPr>
                <w:sz w:val="20"/>
                <w:szCs w:val="20"/>
                <w:color w:val="auto"/>
              </w:rPr>
            </w:pPr>
            <w:r>
              <w:rPr>
                <w:rFonts w:ascii="Arial" w:cs="Arial" w:eastAsia="Arial" w:hAnsi="Arial"/>
                <w:sz w:val="18"/>
                <w:szCs w:val="18"/>
                <w:color w:val="auto"/>
              </w:rPr>
              <w:t>Vice President, Finance, Chief Financial Officer and Treasurer</w:t>
            </w:r>
          </w:p>
        </w:tc>
      </w:tr>
    </w:tbl>
    <w:p>
      <w:pPr>
        <w:ind w:left="3480" w:right="1360"/>
        <w:spacing w:after="0" w:line="234" w:lineRule="auto"/>
        <w:rPr>
          <w:sz w:val="20"/>
          <w:szCs w:val="20"/>
          <w:color w:val="auto"/>
        </w:rPr>
      </w:pPr>
      <w:r>
        <w:rPr>
          <w:rFonts w:ascii="Arial" w:cs="Arial" w:eastAsia="Arial" w:hAnsi="Arial"/>
          <w:sz w:val="18"/>
          <w:szCs w:val="18"/>
          <w:color w:val="auto"/>
        </w:rPr>
        <w:t>(Principal Financial Officer and Principal Accounting Officer) on behalf of Gentex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73660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971" w:right="339" w:bottom="1440" w:gutter="0" w:footer="0" w:header="0"/>
        </w:sectPr>
      </w:pPr>
    </w:p>
    <w:bookmarkStart w:id="39" w:name="page40"/>
    <w:bookmarkEnd w:id="39"/>
    <w:tbl>
      <w:tblPr>
        <w:tblLayout w:type="fixed"/>
        <w:tblInd w:w="0" w:type="dxa"/>
        <w:tblCellMar>
          <w:top w:w="0" w:type="dxa"/>
          <w:left w:w="0" w:type="dxa"/>
          <w:bottom w:w="0" w:type="dxa"/>
          <w:right w:w="0" w:type="dxa"/>
        </w:tblCellMar>
      </w:tblPr>
      <w:tr>
        <w:trPr>
          <w:trHeight w:val="246"/>
        </w:trPr>
        <w:tc>
          <w:tcPr>
            <w:tcW w:w="13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8480" w:type="dxa"/>
            <w:vAlign w:val="bottom"/>
            <w:gridSpan w:val="3"/>
          </w:tcPr>
          <w:p>
            <w:pPr>
              <w:ind w:left="2240"/>
              <w:spacing w:after="0"/>
              <w:rPr>
                <w:sz w:val="20"/>
                <w:szCs w:val="20"/>
                <w:color w:val="auto"/>
              </w:rPr>
            </w:pPr>
            <w:r>
              <w:rPr>
                <w:rFonts w:ascii="Arial" w:cs="Arial" w:eastAsia="Arial" w:hAnsi="Arial"/>
                <w:sz w:val="18"/>
                <w:szCs w:val="18"/>
                <w:b w:val="1"/>
                <w:bCs w:val="1"/>
                <w:color w:val="auto"/>
              </w:rPr>
              <w:t>EXHIBIT INDEX</w:t>
            </w:r>
          </w:p>
        </w:tc>
      </w:tr>
      <w:tr>
        <w:trPr>
          <w:trHeight w:val="405"/>
        </w:trPr>
        <w:tc>
          <w:tcPr>
            <w:tcW w:w="1320" w:type="dxa"/>
            <w:vAlign w:val="bottom"/>
          </w:tcPr>
          <w:p>
            <w:pPr>
              <w:ind w:left="20"/>
              <w:spacing w:after="0"/>
              <w:rPr>
                <w:sz w:val="20"/>
                <w:szCs w:val="20"/>
                <w:color w:val="auto"/>
              </w:rPr>
            </w:pPr>
            <w:r>
              <w:rPr>
                <w:rFonts w:ascii="Arial" w:cs="Arial" w:eastAsia="Arial" w:hAnsi="Arial"/>
                <w:sz w:val="14"/>
                <w:szCs w:val="14"/>
                <w:b w:val="1"/>
                <w:bCs w:val="1"/>
                <w:color w:val="auto"/>
              </w:rPr>
              <w:t>Exhibit No.</w:t>
            </w:r>
          </w:p>
        </w:tc>
        <w:tc>
          <w:tcPr>
            <w:tcW w:w="1400" w:type="dxa"/>
            <w:vAlign w:val="bottom"/>
          </w:tcPr>
          <w:p>
            <w:pPr>
              <w:spacing w:after="0"/>
              <w:rPr>
                <w:sz w:val="24"/>
                <w:szCs w:val="24"/>
                <w:color w:val="auto"/>
              </w:rPr>
            </w:pPr>
          </w:p>
        </w:tc>
        <w:tc>
          <w:tcPr>
            <w:tcW w:w="8480" w:type="dxa"/>
            <w:vAlign w:val="bottom"/>
            <w:gridSpan w:val="3"/>
          </w:tcPr>
          <w:p>
            <w:pPr>
              <w:ind w:left="3140"/>
              <w:spacing w:after="0"/>
              <w:rPr>
                <w:sz w:val="20"/>
                <w:szCs w:val="20"/>
                <w:color w:val="auto"/>
              </w:rPr>
            </w:pPr>
            <w:r>
              <w:rPr>
                <w:rFonts w:ascii="Arial" w:cs="Arial" w:eastAsia="Arial" w:hAnsi="Arial"/>
                <w:sz w:val="14"/>
                <w:szCs w:val="14"/>
                <w:b w:val="1"/>
                <w:bCs w:val="1"/>
                <w:color w:val="auto"/>
              </w:rPr>
              <w:t>Description</w:t>
            </w:r>
          </w:p>
        </w:tc>
      </w:tr>
      <w:tr>
        <w:trPr>
          <w:trHeight w:val="190"/>
        </w:trPr>
        <w:tc>
          <w:tcPr>
            <w:tcW w:w="1320" w:type="dxa"/>
            <w:vAlign w:val="bottom"/>
            <w:shd w:val="clear" w:color="auto" w:fill="CCEEFF"/>
          </w:tcPr>
          <w:p>
            <w:pPr>
              <w:ind w:left="20"/>
              <w:spacing w:after="0" w:line="190" w:lineRule="exact"/>
              <w:rPr>
                <w:sz w:val="20"/>
                <w:szCs w:val="20"/>
                <w:color w:val="auto"/>
              </w:rPr>
            </w:pPr>
            <w:r>
              <w:rPr>
                <w:rFonts w:ascii="Arial" w:cs="Arial" w:eastAsia="Arial" w:hAnsi="Arial"/>
                <w:sz w:val="18"/>
                <w:szCs w:val="18"/>
                <w:color w:val="auto"/>
              </w:rPr>
              <w:t>31.1</w:t>
            </w:r>
          </w:p>
        </w:tc>
        <w:tc>
          <w:tcPr>
            <w:tcW w:w="9880" w:type="dxa"/>
            <w:vAlign w:val="bottom"/>
            <w:gridSpan w:val="4"/>
            <w:shd w:val="clear" w:color="auto" w:fill="CCEEFF"/>
          </w:tcPr>
          <w:p>
            <w:pPr>
              <w:spacing w:after="0" w:line="190" w:lineRule="exact"/>
              <w:rPr>
                <w:sz w:val="20"/>
                <w:szCs w:val="20"/>
                <w:color w:val="auto"/>
              </w:rPr>
            </w:pPr>
            <w:r>
              <w:rPr>
                <w:rFonts w:ascii="Arial" w:cs="Arial" w:eastAsia="Arial" w:hAnsi="Arial"/>
                <w:sz w:val="18"/>
                <w:szCs w:val="18"/>
                <w:color w:val="0000FF"/>
              </w:rPr>
              <w:t>Certificate of the Chief Executive Officer of Gentex Corporation pursuant to Section 302 of the Sarbanes-Oxley Act of 2002</w:t>
            </w:r>
          </w:p>
        </w:tc>
      </w:tr>
      <w:tr>
        <w:trPr>
          <w:trHeight w:val="169"/>
        </w:trPr>
        <w:tc>
          <w:tcPr>
            <w:tcW w:w="1320" w:type="dxa"/>
            <w:vAlign w:val="bottom"/>
            <w:tcBorders>
              <w:top w:val="single" w:sz="8" w:color="CCEEFF"/>
            </w:tcBorders>
            <w:shd w:val="clear" w:color="auto" w:fill="CCEEFF"/>
          </w:tcPr>
          <w:p>
            <w:pPr>
              <w:spacing w:after="0"/>
              <w:rPr>
                <w:sz w:val="14"/>
                <w:szCs w:val="14"/>
                <w:color w:val="auto"/>
              </w:rPr>
            </w:pPr>
          </w:p>
        </w:tc>
        <w:tc>
          <w:tcPr>
            <w:tcW w:w="9760" w:type="dxa"/>
            <w:vAlign w:val="bottom"/>
            <w:tcBorders>
              <w:top w:val="single" w:sz="8" w:color="0000FF"/>
            </w:tcBorders>
            <w:gridSpan w:val="3"/>
            <w:shd w:val="clear" w:color="auto" w:fill="CCEEFF"/>
          </w:tcPr>
          <w:p>
            <w:pPr>
              <w:spacing w:after="0" w:line="169" w:lineRule="exact"/>
              <w:rPr>
                <w:sz w:val="20"/>
                <w:szCs w:val="20"/>
                <w:color w:val="auto"/>
              </w:rPr>
            </w:pPr>
            <w:r>
              <w:rPr>
                <w:rFonts w:ascii="Arial" w:cs="Arial" w:eastAsia="Arial" w:hAnsi="Arial"/>
                <w:sz w:val="18"/>
                <w:szCs w:val="18"/>
                <w:color w:val="0000FF"/>
              </w:rPr>
              <w:t>(18 U.S.C. 1350).</w:t>
            </w:r>
          </w:p>
        </w:tc>
        <w:tc>
          <w:tcPr>
            <w:tcW w:w="120" w:type="dxa"/>
            <w:vAlign w:val="bottom"/>
            <w:tcBorders>
              <w:top w:val="single" w:sz="8" w:color="CCEEFF"/>
            </w:tcBorders>
            <w:shd w:val="clear" w:color="auto" w:fill="CCEEFF"/>
          </w:tcPr>
          <w:p>
            <w:pPr>
              <w:spacing w:after="0"/>
              <w:rPr>
                <w:sz w:val="14"/>
                <w:szCs w:val="14"/>
                <w:color w:val="auto"/>
              </w:rPr>
            </w:pPr>
          </w:p>
        </w:tc>
      </w:tr>
      <w:tr>
        <w:trPr>
          <w:trHeight w:val="21"/>
        </w:trPr>
        <w:tc>
          <w:tcPr>
            <w:tcW w:w="1320" w:type="dxa"/>
            <w:vAlign w:val="bottom"/>
            <w:tcBorders>
              <w:top w:val="single" w:sz="8" w:color="CCEEFF"/>
            </w:tcBorders>
            <w:shd w:val="clear" w:color="auto" w:fill="CCEEFF"/>
          </w:tcPr>
          <w:p>
            <w:pPr>
              <w:spacing w:after="0" w:line="20" w:lineRule="exact"/>
              <w:rPr>
                <w:sz w:val="1"/>
                <w:szCs w:val="1"/>
                <w:color w:val="auto"/>
              </w:rPr>
            </w:pPr>
          </w:p>
        </w:tc>
        <w:tc>
          <w:tcPr>
            <w:tcW w:w="1400" w:type="dxa"/>
            <w:vAlign w:val="bottom"/>
            <w:tcBorders>
              <w:top w:val="single" w:sz="8" w:color="0000FF"/>
            </w:tcBorders>
            <w:shd w:val="clear" w:color="auto" w:fill="CCEEFF"/>
          </w:tcPr>
          <w:p>
            <w:pPr>
              <w:spacing w:after="0" w:line="20" w:lineRule="exact"/>
              <w:rPr>
                <w:sz w:val="1"/>
                <w:szCs w:val="1"/>
                <w:color w:val="auto"/>
              </w:rPr>
            </w:pPr>
          </w:p>
        </w:tc>
        <w:tc>
          <w:tcPr>
            <w:tcW w:w="83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1320" w:type="dxa"/>
            <w:vAlign w:val="bottom"/>
          </w:tcPr>
          <w:p>
            <w:pPr>
              <w:ind w:left="20"/>
              <w:spacing w:after="0" w:line="189" w:lineRule="exact"/>
              <w:rPr>
                <w:sz w:val="20"/>
                <w:szCs w:val="20"/>
                <w:color w:val="auto"/>
              </w:rPr>
            </w:pPr>
            <w:r>
              <w:rPr>
                <w:rFonts w:ascii="Arial" w:cs="Arial" w:eastAsia="Arial" w:hAnsi="Arial"/>
                <w:sz w:val="18"/>
                <w:szCs w:val="18"/>
                <w:color w:val="auto"/>
              </w:rPr>
              <w:t>31.2</w:t>
            </w:r>
          </w:p>
        </w:tc>
        <w:tc>
          <w:tcPr>
            <w:tcW w:w="9880" w:type="dxa"/>
            <w:vAlign w:val="bottom"/>
            <w:gridSpan w:val="4"/>
          </w:tcPr>
          <w:p>
            <w:pPr>
              <w:spacing w:after="0" w:line="189" w:lineRule="exact"/>
              <w:rPr>
                <w:sz w:val="20"/>
                <w:szCs w:val="20"/>
                <w:color w:val="auto"/>
              </w:rPr>
            </w:pPr>
            <w:r>
              <w:rPr>
                <w:rFonts w:ascii="Arial" w:cs="Arial" w:eastAsia="Arial" w:hAnsi="Arial"/>
                <w:sz w:val="18"/>
                <w:szCs w:val="18"/>
                <w:color w:val="0000FF"/>
              </w:rPr>
              <w:t>Certificate of the Chief Financial Officer of Gentex Corporation pursuant to Section 302 of the Sarbanes-Oxley Act of 2002</w:t>
            </w:r>
          </w:p>
        </w:tc>
      </w:tr>
      <w:tr>
        <w:trPr>
          <w:trHeight w:val="169"/>
        </w:trPr>
        <w:tc>
          <w:tcPr>
            <w:tcW w:w="1320" w:type="dxa"/>
            <w:vAlign w:val="bottom"/>
          </w:tcPr>
          <w:p>
            <w:pPr>
              <w:spacing w:after="0"/>
              <w:rPr>
                <w:sz w:val="14"/>
                <w:szCs w:val="14"/>
                <w:color w:val="auto"/>
              </w:rPr>
            </w:pPr>
          </w:p>
        </w:tc>
        <w:tc>
          <w:tcPr>
            <w:tcW w:w="9700" w:type="dxa"/>
            <w:vAlign w:val="bottom"/>
            <w:tcBorders>
              <w:top w:val="single" w:sz="8" w:color="0000FF"/>
            </w:tcBorders>
            <w:gridSpan w:val="2"/>
          </w:tcPr>
          <w:p>
            <w:pPr>
              <w:spacing w:after="0" w:line="169" w:lineRule="exact"/>
              <w:rPr>
                <w:sz w:val="20"/>
                <w:szCs w:val="20"/>
                <w:color w:val="auto"/>
              </w:rPr>
            </w:pPr>
            <w:r>
              <w:rPr>
                <w:rFonts w:ascii="Arial" w:cs="Arial" w:eastAsia="Arial" w:hAnsi="Arial"/>
                <w:sz w:val="18"/>
                <w:szCs w:val="18"/>
                <w:color w:val="0000FF"/>
              </w:rPr>
              <w:t>(18 U.S.C. 1350).</w:t>
            </w:r>
          </w:p>
        </w:tc>
        <w:tc>
          <w:tcPr>
            <w:tcW w:w="180" w:type="dxa"/>
            <w:vAlign w:val="bottom"/>
            <w:gridSpan w:val="2"/>
          </w:tcPr>
          <w:p>
            <w:pPr>
              <w:spacing w:after="0"/>
              <w:rPr>
                <w:sz w:val="14"/>
                <w:szCs w:val="14"/>
                <w:color w:val="auto"/>
              </w:rPr>
            </w:pPr>
          </w:p>
        </w:tc>
      </w:tr>
      <w:tr>
        <w:trPr>
          <w:trHeight w:val="20"/>
        </w:trPr>
        <w:tc>
          <w:tcPr>
            <w:tcW w:w="1320" w:type="dxa"/>
            <w:vAlign w:val="bottom"/>
          </w:tcPr>
          <w:p>
            <w:pPr>
              <w:spacing w:after="0" w:line="20" w:lineRule="exact"/>
              <w:rPr>
                <w:sz w:val="1"/>
                <w:szCs w:val="1"/>
                <w:color w:val="auto"/>
              </w:rPr>
            </w:pPr>
          </w:p>
        </w:tc>
        <w:tc>
          <w:tcPr>
            <w:tcW w:w="1400" w:type="dxa"/>
            <w:vAlign w:val="bottom"/>
            <w:shd w:val="clear" w:color="auto" w:fill="0000FF"/>
          </w:tcPr>
          <w:p>
            <w:pPr>
              <w:spacing w:after="0" w:line="20" w:lineRule="exact"/>
              <w:rPr>
                <w:sz w:val="1"/>
                <w:szCs w:val="1"/>
                <w:color w:val="auto"/>
              </w:rPr>
            </w:pPr>
          </w:p>
        </w:tc>
        <w:tc>
          <w:tcPr>
            <w:tcW w:w="8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2" w:lineRule="exact"/>
        <w:rPr>
          <w:sz w:val="20"/>
          <w:szCs w:val="20"/>
          <w:color w:val="auto"/>
        </w:rPr>
      </w:pPr>
    </w:p>
    <w:p>
      <w:pPr>
        <w:ind w:left="1320" w:right="260" w:hanging="1294"/>
        <w:spacing w:after="0" w:line="248" w:lineRule="auto"/>
        <w:tabs>
          <w:tab w:leader="none" w:pos="1320" w:val="left"/>
        </w:tabs>
        <w:numPr>
          <w:ilvl w:val="0"/>
          <w:numId w:val="23"/>
        </w:numPr>
        <w:rPr>
          <w:rFonts w:ascii="Arial" w:cs="Arial" w:eastAsia="Arial" w:hAnsi="Arial"/>
          <w:sz w:val="18"/>
          <w:szCs w:val="18"/>
          <w:color w:val="auto"/>
        </w:rPr>
      </w:pPr>
      <w:r>
        <w:rPr>
          <w:rFonts w:ascii="Arial" w:cs="Arial" w:eastAsia="Arial" w:hAnsi="Arial"/>
          <w:sz w:val="18"/>
          <w:szCs w:val="18"/>
          <w:u w:val="single" w:color="auto"/>
          <w:color w:val="0000FF"/>
        </w:rPr>
        <w:t>Certificate of the Chief Executive Officer and Chief Financial Officer of Gentex Corporation pursuant to Section 906 of the Sarbanes-Oxley Act of 2002 (18 U.S.C. 1350).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-267335</wp:posOffset>
            </wp:positionV>
            <wp:extent cx="7106285" cy="26543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06285" cy="26543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80"/>
        </w:trPr>
        <w:tc>
          <w:tcPr>
            <w:tcW w:w="1040" w:type="dxa"/>
            <w:vAlign w:val="bottom"/>
          </w:tcPr>
          <w:p>
            <w:pPr>
              <w:ind w:left="20"/>
              <w:spacing w:after="0" w:line="180" w:lineRule="exact"/>
              <w:rPr>
                <w:sz w:val="20"/>
                <w:szCs w:val="20"/>
                <w:color w:val="auto"/>
              </w:rPr>
            </w:pPr>
            <w:r>
              <w:rPr>
                <w:rFonts w:ascii="Arial" w:cs="Arial" w:eastAsia="Arial" w:hAnsi="Arial"/>
                <w:sz w:val="18"/>
                <w:szCs w:val="18"/>
                <w:color w:val="auto"/>
              </w:rPr>
              <w:t>101.INS</w:t>
            </w:r>
          </w:p>
        </w:tc>
        <w:tc>
          <w:tcPr>
            <w:tcW w:w="10160" w:type="dxa"/>
            <w:vAlign w:val="bottom"/>
          </w:tcPr>
          <w:p>
            <w:pPr>
              <w:ind w:left="280"/>
              <w:spacing w:after="0" w:line="180" w:lineRule="exact"/>
              <w:rPr>
                <w:sz w:val="20"/>
                <w:szCs w:val="20"/>
                <w:color w:val="auto"/>
              </w:rPr>
            </w:pPr>
            <w:r>
              <w:rPr>
                <w:rFonts w:ascii="Arial" w:cs="Arial" w:eastAsia="Arial" w:hAnsi="Arial"/>
                <w:sz w:val="18"/>
                <w:szCs w:val="18"/>
                <w:color w:val="auto"/>
              </w:rPr>
              <w:t>Inline XBRL Instance Document - the instance document does not appear in the Interactive Data File because its XBRL</w:t>
            </w:r>
          </w:p>
        </w:tc>
      </w:tr>
      <w:tr>
        <w:trPr>
          <w:trHeight w:val="235"/>
        </w:trPr>
        <w:tc>
          <w:tcPr>
            <w:tcW w:w="1040" w:type="dxa"/>
            <w:vAlign w:val="bottom"/>
          </w:tcPr>
          <w:p>
            <w:pPr>
              <w:spacing w:after="0"/>
              <w:rPr>
                <w:sz w:val="20"/>
                <w:szCs w:val="20"/>
                <w:color w:val="auto"/>
              </w:rPr>
            </w:pPr>
          </w:p>
        </w:tc>
        <w:tc>
          <w:tcPr>
            <w:tcW w:w="10160" w:type="dxa"/>
            <w:vAlign w:val="bottom"/>
          </w:tcPr>
          <w:p>
            <w:pPr>
              <w:ind w:left="280"/>
              <w:spacing w:after="0"/>
              <w:rPr>
                <w:sz w:val="20"/>
                <w:szCs w:val="20"/>
                <w:color w:val="auto"/>
              </w:rPr>
            </w:pPr>
            <w:r>
              <w:rPr>
                <w:rFonts w:ascii="Arial" w:cs="Arial" w:eastAsia="Arial" w:hAnsi="Arial"/>
                <w:sz w:val="18"/>
                <w:szCs w:val="18"/>
                <w:color w:val="auto"/>
              </w:rPr>
              <w:t>tags are embedded within the Inline XBRL document</w:t>
            </w:r>
          </w:p>
        </w:tc>
      </w:tr>
      <w:tr>
        <w:trPr>
          <w:trHeight w:val="230"/>
        </w:trPr>
        <w:tc>
          <w:tcPr>
            <w:tcW w:w="1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101.SCH</w:t>
            </w:r>
          </w:p>
        </w:tc>
        <w:tc>
          <w:tcPr>
            <w:tcW w:w="101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Inline XBRL Taxonomy Extension Schema</w:t>
            </w:r>
          </w:p>
        </w:tc>
      </w:tr>
      <w:tr>
        <w:trPr>
          <w:trHeight w:val="229"/>
        </w:trPr>
        <w:tc>
          <w:tcPr>
            <w:tcW w:w="1040" w:type="dxa"/>
            <w:vAlign w:val="bottom"/>
          </w:tcPr>
          <w:p>
            <w:pPr>
              <w:ind w:left="20"/>
              <w:spacing w:after="0"/>
              <w:rPr>
                <w:sz w:val="20"/>
                <w:szCs w:val="20"/>
                <w:color w:val="auto"/>
              </w:rPr>
            </w:pPr>
            <w:r>
              <w:rPr>
                <w:rFonts w:ascii="Arial" w:cs="Arial" w:eastAsia="Arial" w:hAnsi="Arial"/>
                <w:sz w:val="18"/>
                <w:szCs w:val="18"/>
                <w:color w:val="auto"/>
              </w:rPr>
              <w:t>101.CAL</w:t>
            </w:r>
          </w:p>
        </w:tc>
        <w:tc>
          <w:tcPr>
            <w:tcW w:w="10160" w:type="dxa"/>
            <w:vAlign w:val="bottom"/>
          </w:tcPr>
          <w:p>
            <w:pPr>
              <w:ind w:left="280"/>
              <w:spacing w:after="0"/>
              <w:rPr>
                <w:sz w:val="20"/>
                <w:szCs w:val="20"/>
                <w:color w:val="auto"/>
              </w:rPr>
            </w:pPr>
            <w:r>
              <w:rPr>
                <w:rFonts w:ascii="Arial" w:cs="Arial" w:eastAsia="Arial" w:hAnsi="Arial"/>
                <w:sz w:val="18"/>
                <w:szCs w:val="18"/>
                <w:color w:val="auto"/>
              </w:rPr>
              <w:t>Inline XBRL Taxonomy Extension Calculation Linkbase</w:t>
            </w:r>
          </w:p>
        </w:tc>
      </w:tr>
      <w:tr>
        <w:trPr>
          <w:trHeight w:val="229"/>
        </w:trPr>
        <w:tc>
          <w:tcPr>
            <w:tcW w:w="1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101.DEF</w:t>
            </w:r>
          </w:p>
        </w:tc>
        <w:tc>
          <w:tcPr>
            <w:tcW w:w="101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Inline XBRL Taxonomy Extension Definition Linkbase</w:t>
            </w:r>
          </w:p>
        </w:tc>
      </w:tr>
      <w:tr>
        <w:trPr>
          <w:trHeight w:val="230"/>
        </w:trPr>
        <w:tc>
          <w:tcPr>
            <w:tcW w:w="1040" w:type="dxa"/>
            <w:vAlign w:val="bottom"/>
          </w:tcPr>
          <w:p>
            <w:pPr>
              <w:ind w:left="20"/>
              <w:spacing w:after="0"/>
              <w:rPr>
                <w:sz w:val="20"/>
                <w:szCs w:val="20"/>
                <w:color w:val="auto"/>
              </w:rPr>
            </w:pPr>
            <w:r>
              <w:rPr>
                <w:rFonts w:ascii="Arial" w:cs="Arial" w:eastAsia="Arial" w:hAnsi="Arial"/>
                <w:sz w:val="18"/>
                <w:szCs w:val="18"/>
                <w:color w:val="auto"/>
              </w:rPr>
              <w:t>101.LAB</w:t>
            </w:r>
          </w:p>
        </w:tc>
        <w:tc>
          <w:tcPr>
            <w:tcW w:w="10160" w:type="dxa"/>
            <w:vAlign w:val="bottom"/>
          </w:tcPr>
          <w:p>
            <w:pPr>
              <w:ind w:left="280"/>
              <w:spacing w:after="0"/>
              <w:rPr>
                <w:sz w:val="20"/>
                <w:szCs w:val="20"/>
                <w:color w:val="auto"/>
              </w:rPr>
            </w:pPr>
            <w:r>
              <w:rPr>
                <w:rFonts w:ascii="Arial" w:cs="Arial" w:eastAsia="Arial" w:hAnsi="Arial"/>
                <w:sz w:val="18"/>
                <w:szCs w:val="18"/>
                <w:color w:val="auto"/>
              </w:rPr>
              <w:t>Inline XBRL Taxonomy Extension Label Linkbase</w:t>
            </w:r>
          </w:p>
        </w:tc>
      </w:tr>
      <w:tr>
        <w:trPr>
          <w:trHeight w:val="229"/>
        </w:trPr>
        <w:tc>
          <w:tcPr>
            <w:tcW w:w="1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101.PRE</w:t>
            </w:r>
          </w:p>
        </w:tc>
        <w:tc>
          <w:tcPr>
            <w:tcW w:w="101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Inline XBRL Taxonomy Extension Presentation Linkbase</w:t>
            </w:r>
          </w:p>
        </w:tc>
      </w:tr>
    </w:tbl>
    <w:p>
      <w:pPr>
        <w:sectPr>
          <w:pgSz w:w="11900" w:h="16838" w:orient="portrait"/>
          <w:cols w:equalWidth="0" w:num="1">
            <w:col w:w="11200"/>
          </w:cols>
          <w:pgMar w:left="320" w:top="122" w:right="379" w:bottom="1440" w:gutter="0" w:footer="0" w:header="0"/>
        </w:sectPr>
      </w:pPr>
    </w:p>
    <w:bookmarkStart w:id="40" w:name="page41"/>
    <w:bookmarkEnd w:id="40"/>
    <w:p>
      <w:pPr>
        <w:jc w:val="center"/>
        <w:spacing w:after="0"/>
        <w:rPr>
          <w:sz w:val="20"/>
          <w:szCs w:val="20"/>
          <w:color w:val="auto"/>
        </w:rPr>
      </w:pPr>
      <w:r>
        <w:rPr>
          <w:rFonts w:ascii="Arial" w:cs="Arial" w:eastAsia="Arial" w:hAnsi="Arial"/>
          <w:sz w:val="18"/>
          <w:szCs w:val="18"/>
          <w:b w:val="1"/>
          <w:bCs w:val="1"/>
          <w:color w:val="auto"/>
        </w:rPr>
        <w:t>EXHIBIT 31.1</w:t>
      </w:r>
    </w:p>
    <w:p>
      <w:pPr>
        <w:spacing w:after="0" w:line="252" w:lineRule="exact"/>
        <w:rPr>
          <w:sz w:val="20"/>
          <w:szCs w:val="20"/>
          <w:color w:val="auto"/>
        </w:rPr>
      </w:pPr>
    </w:p>
    <w:p>
      <w:pPr>
        <w:ind w:left="2100"/>
        <w:spacing w:after="0"/>
        <w:rPr>
          <w:sz w:val="20"/>
          <w:szCs w:val="20"/>
          <w:color w:val="auto"/>
        </w:rPr>
      </w:pPr>
      <w:r>
        <w:rPr>
          <w:rFonts w:ascii="Arial" w:cs="Arial" w:eastAsia="Arial" w:hAnsi="Arial"/>
          <w:sz w:val="18"/>
          <w:szCs w:val="18"/>
          <w:b w:val="1"/>
          <w:bCs w:val="1"/>
          <w:color w:val="auto"/>
        </w:rPr>
        <w:t>CERTIFICATION OF THE CHIEF EXECUTIVE OFFICER OF GENTEX CORPORATION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I, Steven R. Downing, certify that:</w:t>
      </w:r>
    </w:p>
    <w:p>
      <w:pPr>
        <w:spacing w:after="0" w:line="252" w:lineRule="exact"/>
        <w:rPr>
          <w:sz w:val="20"/>
          <w:szCs w:val="20"/>
          <w:color w:val="auto"/>
        </w:rPr>
      </w:pPr>
    </w:p>
    <w:p>
      <w:pPr>
        <w:ind w:left="200" w:hanging="192"/>
        <w:spacing w:after="0"/>
        <w:tabs>
          <w:tab w:leader="none" w:pos="2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Gentex Corporation;</w:t>
      </w:r>
    </w:p>
    <w:p>
      <w:pPr>
        <w:spacing w:after="0" w:line="252" w:lineRule="exact"/>
        <w:rPr>
          <w:rFonts w:ascii="Arial" w:cs="Arial" w:eastAsia="Arial" w:hAnsi="Arial"/>
          <w:sz w:val="18"/>
          <w:szCs w:val="18"/>
          <w:color w:val="auto"/>
        </w:rPr>
      </w:pPr>
    </w:p>
    <w:p>
      <w:pPr>
        <w:jc w:val="both"/>
        <w:ind w:left="240" w:hanging="232"/>
        <w:spacing w:after="0" w:line="268" w:lineRule="auto"/>
        <w:tabs>
          <w:tab w:leader="none" w:pos="219" w:val="left"/>
        </w:tabs>
        <w:numPr>
          <w:ilvl w:val="0"/>
          <w:numId w:val="24"/>
        </w:numPr>
        <w:rPr>
          <w:rFonts w:ascii="Arial" w:cs="Arial" w:eastAsia="Arial" w:hAnsi="Arial"/>
          <w:sz w:val="18"/>
          <w:szCs w:val="18"/>
          <w:color w:val="auto"/>
        </w:rPr>
      </w:pPr>
      <w:r>
        <w:rPr>
          <w:rFonts w:ascii="Arial" w:cs="Arial" w:eastAsia="Arial" w:hAnsi="Arial"/>
          <w:sz w:val="18"/>
          <w:szCs w:val="18"/>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197" w:lineRule="exact"/>
        <w:rPr>
          <w:rFonts w:ascii="Arial" w:cs="Arial" w:eastAsia="Arial" w:hAnsi="Arial"/>
          <w:sz w:val="18"/>
          <w:szCs w:val="18"/>
          <w:color w:val="auto"/>
        </w:rPr>
      </w:pPr>
    </w:p>
    <w:p>
      <w:pPr>
        <w:jc w:val="both"/>
        <w:ind w:left="240" w:hanging="232"/>
        <w:spacing w:after="0" w:line="268" w:lineRule="auto"/>
        <w:tabs>
          <w:tab w:leader="none" w:pos="219" w:val="left"/>
        </w:tabs>
        <w:numPr>
          <w:ilvl w:val="0"/>
          <w:numId w:val="2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197" w:lineRule="exact"/>
        <w:rPr>
          <w:rFonts w:ascii="Arial" w:cs="Arial" w:eastAsia="Arial" w:hAnsi="Arial"/>
          <w:sz w:val="18"/>
          <w:szCs w:val="18"/>
          <w:color w:val="auto"/>
        </w:rPr>
      </w:pPr>
    </w:p>
    <w:p>
      <w:pPr>
        <w:jc w:val="both"/>
        <w:ind w:left="240" w:hanging="232"/>
        <w:spacing w:after="0" w:line="260" w:lineRule="auto"/>
        <w:tabs>
          <w:tab w:leader="none" w:pos="233"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w:t>
      </w:r>
    </w:p>
    <w:p>
      <w:pPr>
        <w:spacing w:after="0" w:line="1" w:lineRule="exact"/>
        <w:rPr>
          <w:rFonts w:ascii="Arial" w:cs="Arial" w:eastAsia="Arial" w:hAnsi="Arial"/>
          <w:sz w:val="18"/>
          <w:szCs w:val="18"/>
          <w:color w:val="auto"/>
        </w:rPr>
      </w:pPr>
    </w:p>
    <w:p>
      <w:pPr>
        <w:ind w:left="240"/>
        <w:spacing w:after="0"/>
        <w:rPr>
          <w:rFonts w:ascii="Arial" w:cs="Arial" w:eastAsia="Arial" w:hAnsi="Arial"/>
          <w:sz w:val="18"/>
          <w:szCs w:val="18"/>
          <w:color w:val="auto"/>
        </w:rPr>
      </w:pPr>
      <w:r>
        <w:rPr>
          <w:rFonts w:ascii="Arial" w:cs="Arial" w:eastAsia="Arial" w:hAnsi="Arial"/>
          <w:sz w:val="18"/>
          <w:szCs w:val="18"/>
          <w:color w:val="auto"/>
        </w:rPr>
        <w:t>13a-15(f) and 15d-15(f)] for the registrant and have:</w:t>
      </w:r>
    </w:p>
    <w:p>
      <w:pPr>
        <w:spacing w:after="0" w:line="234" w:lineRule="exact"/>
        <w:rPr>
          <w:rFonts w:ascii="Arial" w:cs="Arial" w:eastAsia="Arial" w:hAnsi="Arial"/>
          <w:sz w:val="18"/>
          <w:szCs w:val="18"/>
          <w:color w:val="auto"/>
        </w:rPr>
      </w:pPr>
    </w:p>
    <w:p>
      <w:pPr>
        <w:jc w:val="both"/>
        <w:ind w:left="660" w:hanging="238"/>
        <w:spacing w:after="0" w:line="268" w:lineRule="auto"/>
        <w:tabs>
          <w:tab w:leader="none" w:pos="649" w:val="left"/>
        </w:tabs>
        <w:numPr>
          <w:ilvl w:val="1"/>
          <w:numId w:val="2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quarterly report is being prepared;</w:t>
      </w:r>
    </w:p>
    <w:p>
      <w:pPr>
        <w:spacing w:after="0" w:line="197" w:lineRule="exact"/>
        <w:rPr>
          <w:rFonts w:ascii="Arial" w:cs="Arial" w:eastAsia="Arial" w:hAnsi="Arial"/>
          <w:sz w:val="18"/>
          <w:szCs w:val="18"/>
          <w:color w:val="auto"/>
        </w:rPr>
      </w:pPr>
    </w:p>
    <w:p>
      <w:pPr>
        <w:jc w:val="both"/>
        <w:ind w:left="660" w:hanging="238"/>
        <w:spacing w:after="0" w:line="268" w:lineRule="auto"/>
        <w:tabs>
          <w:tab w:leader="none" w:pos="641" w:val="left"/>
        </w:tabs>
        <w:numPr>
          <w:ilvl w:val="1"/>
          <w:numId w:val="24"/>
        </w:numPr>
        <w:rPr>
          <w:rFonts w:ascii="Arial" w:cs="Arial" w:eastAsia="Arial" w:hAnsi="Arial"/>
          <w:sz w:val="18"/>
          <w:szCs w:val="18"/>
          <w:color w:val="auto"/>
        </w:rPr>
      </w:pPr>
      <w:r>
        <w:rPr>
          <w:rFonts w:ascii="Arial" w:cs="Arial" w:eastAsia="Arial" w:hAnsi="Arial"/>
          <w:sz w:val="18"/>
          <w:szCs w:val="18"/>
          <w:color w:val="auto"/>
        </w:rPr>
        <w:t>designed such internal controls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7" w:lineRule="exact"/>
        <w:rPr>
          <w:rFonts w:ascii="Arial" w:cs="Arial" w:eastAsia="Arial" w:hAnsi="Arial"/>
          <w:sz w:val="18"/>
          <w:szCs w:val="18"/>
          <w:color w:val="auto"/>
        </w:rPr>
      </w:pPr>
    </w:p>
    <w:p>
      <w:pPr>
        <w:jc w:val="both"/>
        <w:ind w:left="660" w:hanging="238"/>
        <w:spacing w:after="0" w:line="268" w:lineRule="auto"/>
        <w:tabs>
          <w:tab w:leader="none" w:pos="677" w:val="left"/>
        </w:tabs>
        <w:numPr>
          <w:ilvl w:val="1"/>
          <w:numId w:val="24"/>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quarterly report our conclusions about the effectiveness of the disclosure controls and procedures, as of the end of the period covered by this quarterly report based on such evaluation; and</w:t>
      </w:r>
    </w:p>
    <w:p>
      <w:pPr>
        <w:spacing w:after="0" w:line="197" w:lineRule="exact"/>
        <w:rPr>
          <w:rFonts w:ascii="Arial" w:cs="Arial" w:eastAsia="Arial" w:hAnsi="Arial"/>
          <w:sz w:val="18"/>
          <w:szCs w:val="18"/>
          <w:color w:val="auto"/>
        </w:rPr>
      </w:pPr>
    </w:p>
    <w:p>
      <w:pPr>
        <w:jc w:val="both"/>
        <w:ind w:left="660" w:hanging="238"/>
        <w:spacing w:after="0" w:line="268" w:lineRule="auto"/>
        <w:tabs>
          <w:tab w:leader="none" w:pos="668" w:val="left"/>
        </w:tabs>
        <w:numPr>
          <w:ilvl w:val="1"/>
          <w:numId w:val="24"/>
        </w:numPr>
        <w:rPr>
          <w:rFonts w:ascii="Arial" w:cs="Arial" w:eastAsia="Arial" w:hAnsi="Arial"/>
          <w:sz w:val="18"/>
          <w:szCs w:val="18"/>
          <w:color w:val="auto"/>
        </w:rPr>
      </w:pPr>
      <w:r>
        <w:rPr>
          <w:rFonts w:ascii="Arial" w:cs="Arial" w:eastAsia="Arial" w:hAnsi="Arial"/>
          <w:sz w:val="18"/>
          <w:szCs w:val="18"/>
          <w:color w:val="auto"/>
        </w:rPr>
        <w:t>disclosed in this quarterly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7" w:lineRule="exact"/>
        <w:rPr>
          <w:rFonts w:ascii="Arial" w:cs="Arial" w:eastAsia="Arial" w:hAnsi="Arial"/>
          <w:sz w:val="18"/>
          <w:szCs w:val="18"/>
          <w:color w:val="auto"/>
        </w:rPr>
      </w:pPr>
    </w:p>
    <w:p>
      <w:pPr>
        <w:jc w:val="both"/>
        <w:ind w:left="240" w:hanging="232"/>
        <w:spacing w:after="0" w:line="268" w:lineRule="auto"/>
        <w:tabs>
          <w:tab w:leader="none" w:pos="233"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97" w:lineRule="exact"/>
        <w:rPr>
          <w:rFonts w:ascii="Arial" w:cs="Arial" w:eastAsia="Arial" w:hAnsi="Arial"/>
          <w:sz w:val="18"/>
          <w:szCs w:val="18"/>
          <w:color w:val="auto"/>
        </w:rPr>
      </w:pPr>
    </w:p>
    <w:p>
      <w:pPr>
        <w:ind w:left="660" w:hanging="238"/>
        <w:spacing w:after="0" w:line="287" w:lineRule="auto"/>
        <w:tabs>
          <w:tab w:leader="none" w:pos="649" w:val="left"/>
        </w:tabs>
        <w:numPr>
          <w:ilvl w:val="1"/>
          <w:numId w:val="2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9" w:lineRule="exact"/>
        <w:rPr>
          <w:rFonts w:ascii="Arial" w:cs="Arial" w:eastAsia="Arial" w:hAnsi="Arial"/>
          <w:sz w:val="18"/>
          <w:szCs w:val="18"/>
          <w:color w:val="auto"/>
        </w:rPr>
      </w:pPr>
    </w:p>
    <w:p>
      <w:pPr>
        <w:ind w:left="660" w:hanging="238"/>
        <w:spacing w:after="0" w:line="287" w:lineRule="auto"/>
        <w:tabs>
          <w:tab w:leader="none" w:pos="663" w:val="left"/>
        </w:tabs>
        <w:numPr>
          <w:ilvl w:val="1"/>
          <w:numId w:val="2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Date: May 6, 2025</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Steven R. Downing</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Steven R. Downing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240"/>
          </w:cols>
          <w:pgMar w:left="320" w:top="931" w:right="339" w:bottom="1440" w:gutter="0" w:footer="0" w:header="0"/>
        </w:sectPr>
      </w:pPr>
    </w:p>
    <w:bookmarkStart w:id="41" w:name="page42"/>
    <w:bookmarkEnd w:id="41"/>
    <w:p>
      <w:pPr>
        <w:jc w:val="center"/>
        <w:spacing w:after="0"/>
        <w:rPr>
          <w:sz w:val="20"/>
          <w:szCs w:val="20"/>
          <w:color w:val="auto"/>
        </w:rPr>
      </w:pPr>
      <w:r>
        <w:rPr>
          <w:rFonts w:ascii="Arial" w:cs="Arial" w:eastAsia="Arial" w:hAnsi="Arial"/>
          <w:sz w:val="18"/>
          <w:szCs w:val="18"/>
          <w:b w:val="1"/>
          <w:bCs w:val="1"/>
          <w:color w:val="auto"/>
        </w:rPr>
        <w:t>EXHIBIT 31.2</w:t>
      </w:r>
    </w:p>
    <w:p>
      <w:pPr>
        <w:spacing w:after="0" w:line="252" w:lineRule="exact"/>
        <w:rPr>
          <w:sz w:val="20"/>
          <w:szCs w:val="20"/>
          <w:color w:val="auto"/>
        </w:rPr>
      </w:pPr>
    </w:p>
    <w:p>
      <w:pPr>
        <w:ind w:left="2120"/>
        <w:spacing w:after="0"/>
        <w:rPr>
          <w:sz w:val="20"/>
          <w:szCs w:val="20"/>
          <w:color w:val="auto"/>
        </w:rPr>
      </w:pPr>
      <w:r>
        <w:rPr>
          <w:rFonts w:ascii="Arial" w:cs="Arial" w:eastAsia="Arial" w:hAnsi="Arial"/>
          <w:sz w:val="18"/>
          <w:szCs w:val="18"/>
          <w:b w:val="1"/>
          <w:bCs w:val="1"/>
          <w:color w:val="auto"/>
        </w:rPr>
        <w:t>CERTIFICATION OF THE CHIEF FINANCIAL OFFICER OF GENTEX CORPORATION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I, Kevin C. Nash, certify that:</w:t>
      </w:r>
    </w:p>
    <w:p>
      <w:pPr>
        <w:spacing w:after="0" w:line="252" w:lineRule="exact"/>
        <w:rPr>
          <w:sz w:val="20"/>
          <w:szCs w:val="20"/>
          <w:color w:val="auto"/>
        </w:rPr>
      </w:pPr>
    </w:p>
    <w:p>
      <w:pPr>
        <w:ind w:left="200" w:hanging="192"/>
        <w:spacing w:after="0"/>
        <w:tabs>
          <w:tab w:leader="none" w:pos="2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Gentex Corporation;</w:t>
      </w:r>
    </w:p>
    <w:p>
      <w:pPr>
        <w:spacing w:after="0" w:line="252" w:lineRule="exact"/>
        <w:rPr>
          <w:rFonts w:ascii="Arial" w:cs="Arial" w:eastAsia="Arial" w:hAnsi="Arial"/>
          <w:sz w:val="18"/>
          <w:szCs w:val="18"/>
          <w:color w:val="auto"/>
        </w:rPr>
      </w:pPr>
    </w:p>
    <w:p>
      <w:pPr>
        <w:jc w:val="both"/>
        <w:ind w:left="240" w:hanging="232"/>
        <w:spacing w:after="0" w:line="268" w:lineRule="auto"/>
        <w:tabs>
          <w:tab w:leader="none" w:pos="219" w:val="left"/>
        </w:tabs>
        <w:numPr>
          <w:ilvl w:val="0"/>
          <w:numId w:val="25"/>
        </w:numPr>
        <w:rPr>
          <w:rFonts w:ascii="Arial" w:cs="Arial" w:eastAsia="Arial" w:hAnsi="Arial"/>
          <w:sz w:val="18"/>
          <w:szCs w:val="18"/>
          <w:color w:val="auto"/>
        </w:rPr>
      </w:pPr>
      <w:r>
        <w:rPr>
          <w:rFonts w:ascii="Arial" w:cs="Arial" w:eastAsia="Arial" w:hAnsi="Arial"/>
          <w:sz w:val="18"/>
          <w:szCs w:val="18"/>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197" w:lineRule="exact"/>
        <w:rPr>
          <w:rFonts w:ascii="Arial" w:cs="Arial" w:eastAsia="Arial" w:hAnsi="Arial"/>
          <w:sz w:val="18"/>
          <w:szCs w:val="18"/>
          <w:color w:val="auto"/>
        </w:rPr>
      </w:pPr>
    </w:p>
    <w:p>
      <w:pPr>
        <w:jc w:val="both"/>
        <w:ind w:left="240" w:hanging="232"/>
        <w:spacing w:after="0" w:line="268" w:lineRule="auto"/>
        <w:tabs>
          <w:tab w:leader="none" w:pos="219" w:val="left"/>
        </w:tabs>
        <w:numPr>
          <w:ilvl w:val="0"/>
          <w:numId w:val="2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197" w:lineRule="exact"/>
        <w:rPr>
          <w:rFonts w:ascii="Arial" w:cs="Arial" w:eastAsia="Arial" w:hAnsi="Arial"/>
          <w:sz w:val="18"/>
          <w:szCs w:val="18"/>
          <w:color w:val="auto"/>
        </w:rPr>
      </w:pPr>
    </w:p>
    <w:p>
      <w:pPr>
        <w:jc w:val="both"/>
        <w:ind w:left="240" w:hanging="232"/>
        <w:spacing w:after="0" w:line="260" w:lineRule="auto"/>
        <w:tabs>
          <w:tab w:leader="none" w:pos="233"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w:t>
      </w:r>
    </w:p>
    <w:p>
      <w:pPr>
        <w:spacing w:after="0" w:line="1" w:lineRule="exact"/>
        <w:rPr>
          <w:rFonts w:ascii="Arial" w:cs="Arial" w:eastAsia="Arial" w:hAnsi="Arial"/>
          <w:sz w:val="18"/>
          <w:szCs w:val="18"/>
          <w:color w:val="auto"/>
        </w:rPr>
      </w:pPr>
    </w:p>
    <w:p>
      <w:pPr>
        <w:ind w:left="240"/>
        <w:spacing w:after="0"/>
        <w:rPr>
          <w:rFonts w:ascii="Arial" w:cs="Arial" w:eastAsia="Arial" w:hAnsi="Arial"/>
          <w:sz w:val="18"/>
          <w:szCs w:val="18"/>
          <w:color w:val="auto"/>
        </w:rPr>
      </w:pPr>
      <w:r>
        <w:rPr>
          <w:rFonts w:ascii="Arial" w:cs="Arial" w:eastAsia="Arial" w:hAnsi="Arial"/>
          <w:sz w:val="18"/>
          <w:szCs w:val="18"/>
          <w:color w:val="auto"/>
        </w:rPr>
        <w:t>13a-15(f) and 15d-15(f)] for the registrant and have:</w:t>
      </w:r>
    </w:p>
    <w:p>
      <w:pPr>
        <w:spacing w:after="0" w:line="234" w:lineRule="exact"/>
        <w:rPr>
          <w:rFonts w:ascii="Arial" w:cs="Arial" w:eastAsia="Arial" w:hAnsi="Arial"/>
          <w:sz w:val="18"/>
          <w:szCs w:val="18"/>
          <w:color w:val="auto"/>
        </w:rPr>
      </w:pPr>
    </w:p>
    <w:p>
      <w:pPr>
        <w:jc w:val="both"/>
        <w:ind w:left="660" w:hanging="238"/>
        <w:spacing w:after="0" w:line="268" w:lineRule="auto"/>
        <w:tabs>
          <w:tab w:leader="none" w:pos="649" w:val="left"/>
        </w:tabs>
        <w:numPr>
          <w:ilvl w:val="1"/>
          <w:numId w:val="2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quarterly report is being prepared;</w:t>
      </w:r>
    </w:p>
    <w:p>
      <w:pPr>
        <w:spacing w:after="0" w:line="197" w:lineRule="exact"/>
        <w:rPr>
          <w:rFonts w:ascii="Arial" w:cs="Arial" w:eastAsia="Arial" w:hAnsi="Arial"/>
          <w:sz w:val="18"/>
          <w:szCs w:val="18"/>
          <w:color w:val="auto"/>
        </w:rPr>
      </w:pPr>
    </w:p>
    <w:p>
      <w:pPr>
        <w:jc w:val="both"/>
        <w:ind w:left="660" w:hanging="238"/>
        <w:spacing w:after="0" w:line="268" w:lineRule="auto"/>
        <w:tabs>
          <w:tab w:leader="none" w:pos="641" w:val="left"/>
        </w:tabs>
        <w:numPr>
          <w:ilvl w:val="1"/>
          <w:numId w:val="25"/>
        </w:numPr>
        <w:rPr>
          <w:rFonts w:ascii="Arial" w:cs="Arial" w:eastAsia="Arial" w:hAnsi="Arial"/>
          <w:sz w:val="18"/>
          <w:szCs w:val="18"/>
          <w:color w:val="auto"/>
        </w:rPr>
      </w:pPr>
      <w:r>
        <w:rPr>
          <w:rFonts w:ascii="Arial" w:cs="Arial" w:eastAsia="Arial" w:hAnsi="Arial"/>
          <w:sz w:val="18"/>
          <w:szCs w:val="18"/>
          <w:color w:val="auto"/>
        </w:rPr>
        <w:t>designed such internal controls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7" w:lineRule="exact"/>
        <w:rPr>
          <w:rFonts w:ascii="Arial" w:cs="Arial" w:eastAsia="Arial" w:hAnsi="Arial"/>
          <w:sz w:val="18"/>
          <w:szCs w:val="18"/>
          <w:color w:val="auto"/>
        </w:rPr>
      </w:pPr>
    </w:p>
    <w:p>
      <w:pPr>
        <w:jc w:val="both"/>
        <w:ind w:left="660" w:hanging="238"/>
        <w:spacing w:after="0" w:line="268" w:lineRule="auto"/>
        <w:tabs>
          <w:tab w:leader="none" w:pos="677" w:val="left"/>
        </w:tabs>
        <w:numPr>
          <w:ilvl w:val="1"/>
          <w:numId w:val="25"/>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quarterly report our conclusions about the effectiveness of the disclosure controls and procedures, as of the end of the period covered by this quarterly report based on such evaluation; and</w:t>
      </w:r>
    </w:p>
    <w:p>
      <w:pPr>
        <w:spacing w:after="0" w:line="197" w:lineRule="exact"/>
        <w:rPr>
          <w:rFonts w:ascii="Arial" w:cs="Arial" w:eastAsia="Arial" w:hAnsi="Arial"/>
          <w:sz w:val="18"/>
          <w:szCs w:val="18"/>
          <w:color w:val="auto"/>
        </w:rPr>
      </w:pPr>
    </w:p>
    <w:p>
      <w:pPr>
        <w:jc w:val="both"/>
        <w:ind w:left="660" w:hanging="238"/>
        <w:spacing w:after="0" w:line="268" w:lineRule="auto"/>
        <w:tabs>
          <w:tab w:leader="none" w:pos="668" w:val="left"/>
        </w:tabs>
        <w:numPr>
          <w:ilvl w:val="1"/>
          <w:numId w:val="25"/>
        </w:numPr>
        <w:rPr>
          <w:rFonts w:ascii="Arial" w:cs="Arial" w:eastAsia="Arial" w:hAnsi="Arial"/>
          <w:sz w:val="18"/>
          <w:szCs w:val="18"/>
          <w:color w:val="auto"/>
        </w:rPr>
      </w:pPr>
      <w:r>
        <w:rPr>
          <w:rFonts w:ascii="Arial" w:cs="Arial" w:eastAsia="Arial" w:hAnsi="Arial"/>
          <w:sz w:val="18"/>
          <w:szCs w:val="18"/>
          <w:color w:val="auto"/>
        </w:rPr>
        <w:t>disclosed in this quarterly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7" w:lineRule="exact"/>
        <w:rPr>
          <w:rFonts w:ascii="Arial" w:cs="Arial" w:eastAsia="Arial" w:hAnsi="Arial"/>
          <w:sz w:val="18"/>
          <w:szCs w:val="18"/>
          <w:color w:val="auto"/>
        </w:rPr>
      </w:pPr>
    </w:p>
    <w:p>
      <w:pPr>
        <w:jc w:val="both"/>
        <w:ind w:left="240" w:hanging="232"/>
        <w:spacing w:after="0" w:line="268" w:lineRule="auto"/>
        <w:tabs>
          <w:tab w:leader="none" w:pos="233"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97" w:lineRule="exact"/>
        <w:rPr>
          <w:rFonts w:ascii="Arial" w:cs="Arial" w:eastAsia="Arial" w:hAnsi="Arial"/>
          <w:sz w:val="18"/>
          <w:szCs w:val="18"/>
          <w:color w:val="auto"/>
        </w:rPr>
      </w:pPr>
    </w:p>
    <w:p>
      <w:pPr>
        <w:ind w:left="660" w:hanging="238"/>
        <w:spacing w:after="0" w:line="287" w:lineRule="auto"/>
        <w:tabs>
          <w:tab w:leader="none" w:pos="649" w:val="left"/>
        </w:tabs>
        <w:numPr>
          <w:ilvl w:val="1"/>
          <w:numId w:val="2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9" w:lineRule="exact"/>
        <w:rPr>
          <w:rFonts w:ascii="Arial" w:cs="Arial" w:eastAsia="Arial" w:hAnsi="Arial"/>
          <w:sz w:val="18"/>
          <w:szCs w:val="18"/>
          <w:color w:val="auto"/>
        </w:rPr>
      </w:pPr>
    </w:p>
    <w:p>
      <w:pPr>
        <w:ind w:left="660" w:hanging="238"/>
        <w:spacing w:after="0" w:line="287" w:lineRule="auto"/>
        <w:tabs>
          <w:tab w:leader="none" w:pos="663" w:val="left"/>
        </w:tabs>
        <w:numPr>
          <w:ilvl w:val="1"/>
          <w:numId w:val="2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Date: May 6, 2025</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Kevin C. Nash</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Kevin C. Nash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Vice President, Finance; Chief Financial Officer and Treasurer</w:t>
      </w:r>
    </w:p>
    <w:p>
      <w:pPr>
        <w:sectPr>
          <w:pgSz w:w="11900" w:h="16838" w:orient="portrait"/>
          <w:cols w:equalWidth="0" w:num="1">
            <w:col w:w="11240"/>
          </w:cols>
          <w:pgMar w:left="320" w:top="931" w:right="339" w:bottom="1440" w:gutter="0" w:footer="0" w:header="0"/>
        </w:sectPr>
      </w:pPr>
    </w:p>
    <w:bookmarkStart w:id="42" w:name="page43"/>
    <w:bookmarkEnd w:id="42"/>
    <w:p>
      <w:pPr>
        <w:jc w:val="center"/>
        <w:spacing w:after="0"/>
        <w:rPr>
          <w:sz w:val="20"/>
          <w:szCs w:val="20"/>
          <w:color w:val="auto"/>
        </w:rPr>
      </w:pPr>
      <w:r>
        <w:rPr>
          <w:rFonts w:ascii="Arial" w:cs="Arial" w:eastAsia="Arial" w:hAnsi="Arial"/>
          <w:sz w:val="18"/>
          <w:szCs w:val="18"/>
          <w:b w:val="1"/>
          <w:bCs w:val="1"/>
          <w:color w:val="auto"/>
        </w:rPr>
        <w:t>EXHIBIT 32</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CERTIFICATE PURSUANT TO SECTION 906 OF THE SARBANES-OXLEY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ACT OF 2002 (18-U.S.C. § 1350)</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Each, Steven R. Downing, Chief Executive Officer of Gentex Corporation, and Kevin C. Nash, Chief Financial Officer of Gentex Corporation, certify to the best of their knowledge and belief, pursuant to Section 906 of the Sarbanes-Oxley Act of 2002 (18 U.S.C. § 1350), that:</w:t>
      </w:r>
    </w:p>
    <w:p>
      <w:pPr>
        <w:spacing w:after="0" w:line="180" w:lineRule="exact"/>
        <w:rPr>
          <w:sz w:val="20"/>
          <w:szCs w:val="20"/>
          <w:color w:val="auto"/>
        </w:rPr>
      </w:pPr>
    </w:p>
    <w:p>
      <w:pPr>
        <w:ind w:left="240" w:hanging="232"/>
        <w:spacing w:after="0" w:line="287" w:lineRule="auto"/>
        <w:tabs>
          <w:tab w:leader="none" w:pos="281"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quarterly report on Form 10-Q for the quarterly period ended March 31, 2025, which this statement accompanies, fully complies with the requirements of Section 13(a) or 15(d) of the Securities Exchange Act of 1934; and</w:t>
      </w:r>
    </w:p>
    <w:p>
      <w:pPr>
        <w:spacing w:after="0" w:line="179" w:lineRule="exact"/>
        <w:rPr>
          <w:rFonts w:ascii="Arial" w:cs="Arial" w:eastAsia="Arial" w:hAnsi="Arial"/>
          <w:sz w:val="18"/>
          <w:szCs w:val="18"/>
          <w:color w:val="auto"/>
        </w:rPr>
      </w:pPr>
    </w:p>
    <w:p>
      <w:pPr>
        <w:ind w:left="240" w:hanging="232"/>
        <w:spacing w:after="0" w:line="287" w:lineRule="auto"/>
        <w:tabs>
          <w:tab w:leader="none" w:pos="302"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information contained in this quarterly report on Form 10-Q of the quarterly period ended March 31, 2025, fairly presents, in all material respects, the financial condition and results of operations of Gentex Corporation.</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Dated: May 6, 2025</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GENTEX CORPORATION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By /s/ Steven R. Downing</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Steven R. Downing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By /s/ Kevin C. Nash</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Kevin C. Nash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sectPr>
      <w:pgSz w:w="11900" w:h="16838" w:orient="portrait"/>
      <w:cols w:equalWidth="0" w:num="1">
        <w:col w:w="11240"/>
      </w:cols>
      <w:pgMar w:left="320" w:top="93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109CF92E"/>
    <w:multiLevelType w:val="hybridMultilevel"/>
    <w:lvl w:ilvl="0">
      <w:lvlJc w:val="left"/>
      <w:lvlText w:val="☑"/>
      <w:numFmt w:val="bullet"/>
      <w:start w:val="1"/>
    </w:lvl>
  </w:abstractNum>
  <w:abstractNum w:abstractNumId="1">
    <w:nsid w:val="DED7263"/>
    <w:multiLevelType w:val="hybridMultilevel"/>
    <w:lvl w:ilvl="0">
      <w:lvlJc w:val="left"/>
      <w:lvlText w:val="☐"/>
      <w:numFmt w:val="bullet"/>
      <w:start w:val="1"/>
    </w:lvl>
  </w:abstractNum>
  <w:abstractNum w:abstractNumId="2">
    <w:nsid w:val="7FDCC233"/>
    <w:multiLevelType w:val="hybridMultilevel"/>
    <w:lvl w:ilvl="0">
      <w:lvlJc w:val="left"/>
      <w:lvlText w:val="(%1)"/>
      <w:numFmt w:val="decimal"/>
      <w:start w:val="1"/>
    </w:lvl>
  </w:abstractNum>
  <w:abstractNum w:abstractNumId="3">
    <w:nsid w:val="1BEFD79F"/>
    <w:multiLevelType w:val="hybridMultilevel"/>
    <w:lvl w:ilvl="0">
      <w:lvlJc w:val="left"/>
      <w:lvlText w:val="(%1)"/>
      <w:numFmt w:val="decimal"/>
      <w:start w:val="1"/>
    </w:lvl>
  </w:abstractNum>
  <w:abstractNum w:abstractNumId="4">
    <w:nsid w:val="41A7C4C9"/>
    <w:multiLevelType w:val="hybridMultilevel"/>
    <w:lvl w:ilvl="0">
      <w:lvlJc w:val="left"/>
      <w:lvlText w:val="(%1)"/>
      <w:numFmt w:val="decimal"/>
      <w:start w:val="2"/>
    </w:lvl>
  </w:abstractNum>
  <w:abstractNum w:abstractNumId="5">
    <w:nsid w:val="6B68079A"/>
    <w:multiLevelType w:val="hybridMultilevel"/>
    <w:lvl w:ilvl="0">
      <w:lvlJc w:val="left"/>
      <w:lvlText w:val="(%1)"/>
      <w:numFmt w:val="decimal"/>
      <w:start w:val="3"/>
    </w:lvl>
  </w:abstractNum>
  <w:abstractNum w:abstractNumId="6">
    <w:nsid w:val="4E6AFB66"/>
    <w:multiLevelType w:val="hybridMultilevel"/>
    <w:lvl w:ilvl="0">
      <w:lvlJc w:val="left"/>
      <w:lvlText w:val="(%1)"/>
      <w:numFmt w:val="decimal"/>
      <w:start w:val="4"/>
    </w:lvl>
  </w:abstractNum>
  <w:abstractNum w:abstractNumId="7">
    <w:nsid w:val="25E45D32"/>
    <w:multiLevelType w:val="hybridMultilevel"/>
    <w:lvl w:ilvl="0">
      <w:lvlJc w:val="left"/>
      <w:lvlText w:val="(%1)"/>
      <w:numFmt w:val="decimal"/>
      <w:start w:val="5"/>
    </w:lvl>
  </w:abstractNum>
  <w:abstractNum w:abstractNumId="8">
    <w:nsid w:val="519B500D"/>
    <w:multiLevelType w:val="hybridMultilevel"/>
    <w:lvl w:ilvl="0">
      <w:lvlJc w:val="left"/>
      <w:lvlText w:val="(%1)"/>
      <w:numFmt w:val="decimal"/>
      <w:start w:val="6"/>
    </w:lvl>
  </w:abstractNum>
  <w:abstractNum w:abstractNumId="9">
    <w:nsid w:val="431BD7B7"/>
    <w:multiLevelType w:val="hybridMultilevel"/>
    <w:lvl w:ilvl="0">
      <w:lvlJc w:val="left"/>
      <w:lvlText w:val="(%1)"/>
      <w:numFmt w:val="decimal"/>
      <w:start w:val="7"/>
    </w:lvl>
  </w:abstractNum>
  <w:abstractNum w:abstractNumId="10">
    <w:nsid w:val="3F2DBA31"/>
    <w:multiLevelType w:val="hybridMultilevel"/>
    <w:lvl w:ilvl="0">
      <w:lvlJc w:val="left"/>
      <w:lvlText w:val="%1."/>
      <w:numFmt w:val="decimal"/>
      <w:start w:val="1"/>
    </w:lvl>
  </w:abstractNum>
  <w:abstractNum w:abstractNumId="11">
    <w:nsid w:val="7C83E458"/>
    <w:multiLevelType w:val="hybridMultilevel"/>
    <w:lvl w:ilvl="0">
      <w:lvlJc w:val="left"/>
      <w:lvlText w:val="(%1)"/>
      <w:numFmt w:val="decimal"/>
      <w:start w:val="8"/>
    </w:lvl>
  </w:abstractNum>
  <w:abstractNum w:abstractNumId="12">
    <w:nsid w:val="257130A3"/>
    <w:multiLevelType w:val="hybridMultilevel"/>
    <w:lvl w:ilvl="0">
      <w:lvlJc w:val="left"/>
      <w:lvlText w:val="(%1)"/>
      <w:numFmt w:val="decimal"/>
      <w:start w:val="9"/>
    </w:lvl>
  </w:abstractNum>
  <w:abstractNum w:abstractNumId="13">
    <w:nsid w:val="62BBD95A"/>
    <w:multiLevelType w:val="hybridMultilevel"/>
    <w:lvl w:ilvl="0">
      <w:lvlJc w:val="left"/>
      <w:lvlText w:val="(%1)"/>
      <w:numFmt w:val="decimal"/>
      <w:start w:val="10"/>
    </w:lvl>
  </w:abstractNum>
  <w:abstractNum w:abstractNumId="14">
    <w:nsid w:val="436C6125"/>
    <w:multiLevelType w:val="hybridMultilevel"/>
    <w:lvl w:ilvl="0">
      <w:lvlJc w:val="left"/>
      <w:lvlText w:val="(%1)"/>
      <w:numFmt w:val="decimal"/>
      <w:start w:val="11"/>
    </w:lvl>
  </w:abstractNum>
  <w:abstractNum w:abstractNumId="15">
    <w:nsid w:val="628C895D"/>
    <w:multiLevelType w:val="hybridMultilevel"/>
    <w:lvl w:ilvl="0">
      <w:lvlJc w:val="left"/>
      <w:lvlText w:val="(%1)"/>
      <w:numFmt w:val="decimal"/>
      <w:start w:val="12"/>
    </w:lvl>
  </w:abstractNum>
  <w:abstractNum w:abstractNumId="16">
    <w:nsid w:val="333AB105"/>
    <w:multiLevelType w:val="hybridMultilevel"/>
    <w:lvl w:ilvl="0">
      <w:lvlJc w:val="left"/>
      <w:lvlText w:val="(%1)"/>
      <w:numFmt w:val="decimal"/>
      <w:start w:val="13"/>
    </w:lvl>
  </w:abstractNum>
  <w:abstractNum w:abstractNumId="17">
    <w:nsid w:val="721DA317"/>
    <w:multiLevelType w:val="hybridMultilevel"/>
    <w:lvl w:ilvl="0">
      <w:lvlJc w:val="left"/>
      <w:lvlText w:val="(%1)"/>
      <w:numFmt w:val="decimal"/>
      <w:start w:val="14"/>
    </w:lvl>
  </w:abstractNum>
  <w:abstractNum w:abstractNumId="18">
    <w:nsid w:val="2443A858"/>
    <w:multiLevelType w:val="hybridMultilevel"/>
    <w:lvl w:ilvl="0">
      <w:lvlJc w:val="left"/>
      <w:lvlText w:val="(%1)"/>
      <w:numFmt w:val="decimal"/>
      <w:start w:val="15"/>
    </w:lvl>
  </w:abstractNum>
  <w:abstractNum w:abstractNumId="19">
    <w:nsid w:val="2D1D5AE9"/>
    <w:multiLevelType w:val="hybridMultilevel"/>
    <w:lvl w:ilvl="0">
      <w:lvlJc w:val="left"/>
      <w:lvlText w:val="(%1)"/>
      <w:numFmt w:val="decimal"/>
      <w:start w:val="16"/>
    </w:lvl>
  </w:abstractNum>
  <w:abstractNum w:abstractNumId="20">
    <w:nsid w:val="6763845E"/>
    <w:multiLevelType w:val="hybridMultilevel"/>
    <w:lvl w:ilvl="0">
      <w:lvlJc w:val="left"/>
      <w:lvlText w:val="•"/>
      <w:numFmt w:val="bullet"/>
      <w:start w:val="1"/>
    </w:lvl>
  </w:abstractNum>
  <w:abstractNum w:abstractNumId="21">
    <w:nsid w:val="75A2A8D4"/>
    <w:multiLevelType w:val="hybridMultilevel"/>
    <w:lvl w:ilvl="0">
      <w:lvlJc w:val="left"/>
      <w:lvlText w:val="(%1)"/>
      <w:numFmt w:val="lowerLetter"/>
      <w:start w:val="3"/>
    </w:lvl>
  </w:abstractNum>
  <w:abstractNum w:abstractNumId="22">
    <w:nsid w:val="8EDBDAB"/>
    <w:multiLevelType w:val="hybridMultilevel"/>
    <w:lvl w:ilvl="0">
      <w:lvlJc w:val="left"/>
      <w:lvlText w:val="%1"/>
      <w:numFmt w:val="decimal"/>
      <w:start w:val="32"/>
    </w:lvl>
  </w:abstractNum>
  <w:abstractNum w:abstractNumId="23">
    <w:nsid w:val="79838CB2"/>
    <w:multiLevelType w:val="hybridMultilevel"/>
    <w:lvl w:ilvl="0">
      <w:lvlJc w:val="left"/>
      <w:lvlText w:val="%1."/>
      <w:numFmt w:val="decimal"/>
      <w:start w:val="1"/>
    </w:lvl>
    <w:lvl w:ilvl="1">
      <w:lvlJc w:val="left"/>
      <w:lvlText w:val="%2)"/>
      <w:numFmt w:val="lowerLetter"/>
      <w:start w:val="1"/>
    </w:lvl>
  </w:abstractNum>
  <w:abstractNum w:abstractNumId="24">
    <w:nsid w:val="4353D0CD"/>
    <w:multiLevelType w:val="hybridMultilevel"/>
    <w:lvl w:ilvl="0">
      <w:lvlJc w:val="left"/>
      <w:lvlText w:val="%1."/>
      <w:numFmt w:val="decimal"/>
      <w:start w:val="1"/>
    </w:lvl>
    <w:lvl w:ilvl="1">
      <w:lvlJc w:val="left"/>
      <w:lvlText w:val="%2)"/>
      <w:numFmt w:val="lowerLetter"/>
      <w:start w:val="1"/>
    </w:lvl>
  </w:abstractNum>
  <w:abstractNum w:abstractNumId="25">
    <w:nsid w:val="B03E0C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2025-05-06T13:17:16Z</dcterms:created>
  <dcterms:modified xsi:type="dcterms:W3CDTF">2025-05-06T13:17:16Z</dcterms:modified>
</cp:coreProperties>
</file>