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CC4FC6">
      <w:pPr>
        <w:spacing w:before="60"/>
        <w:jc w:val="center"/>
      </w:pPr>
      <w:bookmarkStart w:id="0" w:name="Section1"/>
      <w:bookmarkStart w:id="1" w:name="_GoBack"/>
      <w:bookmarkEnd w:id="0"/>
      <w:bookmarkEnd w:id="1"/>
      <w:r>
        <w:rPr>
          <w:rFonts w:ascii="Arial" w:eastAsia="Arial" w:hAnsi="Arial" w:cs="Arial"/>
          <w:b/>
        </w:rPr>
        <w:t>UNITED STATES</w:t>
      </w:r>
    </w:p>
    <w:p w:rsidR="00A77B3E" w:rsidRDefault="00CC4FC6">
      <w:pPr>
        <w:jc w:val="center"/>
      </w:pPr>
      <w:r>
        <w:rPr>
          <w:rFonts w:ascii="Arial" w:eastAsia="Arial" w:hAnsi="Arial" w:cs="Arial"/>
          <w:b/>
        </w:rPr>
        <w:t>SECURITIES AND EXCHANGE COMMISSION</w:t>
      </w:r>
    </w:p>
    <w:p w:rsidR="00A77B3E" w:rsidRDefault="00CC4FC6">
      <w:pPr>
        <w:jc w:val="center"/>
      </w:pPr>
      <w:r>
        <w:rPr>
          <w:rFonts w:ascii="Arial" w:eastAsia="Arial" w:hAnsi="Arial" w:cs="Arial"/>
          <w:b/>
          <w:sz w:val="16"/>
        </w:rPr>
        <w:t>Washington, D.C. 20549</w:t>
      </w:r>
    </w:p>
    <w:p w:rsidR="00A77B3E" w:rsidRDefault="00A77B3E">
      <w:pPr>
        <w:jc w:val="center"/>
      </w:pPr>
    </w:p>
    <w:p w:rsidR="00A77B3E" w:rsidRDefault="00CC4FC6">
      <w:pPr>
        <w:jc w:val="center"/>
      </w:pPr>
      <w:r>
        <w:rPr>
          <w:rFonts w:ascii="Arial" w:eastAsia="Arial" w:hAnsi="Arial" w:cs="Arial"/>
          <w:b/>
        </w:rPr>
        <w:t>FORM 10-Q</w:t>
      </w:r>
      <w:r>
        <w:rPr>
          <w:rFonts w:ascii="Arial" w:eastAsia="Arial" w:hAnsi="Arial" w:cs="Arial"/>
        </w:rPr>
        <w:t> </w:t>
      </w:r>
    </w:p>
    <w:p w:rsidR="00A77B3E" w:rsidRDefault="00CC4FC6">
      <w:r>
        <w:rPr>
          <w:rFonts w:ascii="Arial" w:eastAsia="Arial" w:hAnsi="Arial" w:cs="Arial"/>
          <w:sz w:val="20"/>
        </w:rPr>
        <w:t>(Mark one)</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620"/>
      </w:tblGrid>
      <w:tr w:rsidR="0073293D">
        <w:trPr>
          <w:trHeight w:hRule="exact" w:val="330"/>
        </w:trPr>
        <w:tc>
          <w:tcPr>
            <w:tcW w:w="60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widowControl w:val="0"/>
              <w:spacing w:before="20" w:after="20"/>
              <w:jc w:val="center"/>
            </w:pPr>
            <w:r>
              <w:rPr>
                <w:rFonts w:ascii="Wingdings" w:eastAsia="Wingdings" w:hAnsi="Wingdings" w:cs="Wingdings"/>
                <w:color w:val="000000"/>
                <w:sz w:val="28"/>
              </w:rPr>
              <w:t></w:t>
            </w:r>
          </w:p>
        </w:tc>
        <w:tc>
          <w:tcPr>
            <w:tcW w:w="9630" w:type="dxa"/>
            <w:tcBorders>
              <w:top w:val="nil"/>
              <w:left w:val="nil"/>
              <w:bottom w:val="nil"/>
              <w:right w:val="nil"/>
            </w:tcBorders>
            <w:shd w:val="clear" w:color="auto" w:fill="auto"/>
            <w:tcMar>
              <w:top w:w="0" w:type="dxa"/>
              <w:left w:w="53" w:type="dxa"/>
              <w:bottom w:w="0" w:type="dxa"/>
              <w:right w:w="53" w:type="dxa"/>
            </w:tcMar>
          </w:tcPr>
          <w:p w:rsidR="00A77B3E" w:rsidRDefault="00CC4FC6">
            <w:pPr>
              <w:widowControl w:val="0"/>
              <w:spacing w:before="55" w:after="10"/>
            </w:pPr>
            <w:r>
              <w:rPr>
                <w:rFonts w:ascii="Arial" w:eastAsia="Arial" w:hAnsi="Arial" w:cs="Arial"/>
                <w:b/>
                <w:color w:val="000000"/>
                <w:sz w:val="18"/>
              </w:rPr>
              <w:t>QUARTERLY REPORT PURSUANT TO SECTION 13 OR 15(d) OF THE SECURITIES EXCHANGE ACT OF 1934</w:t>
            </w:r>
          </w:p>
        </w:tc>
      </w:tr>
    </w:tbl>
    <w:p w:rsidR="00A77B3E" w:rsidRDefault="00CC4FC6">
      <w:pPr>
        <w:spacing w:before="120"/>
      </w:pPr>
      <w:r>
        <w:rPr>
          <w:rFonts w:ascii="Arial" w:eastAsia="Arial" w:hAnsi="Arial" w:cs="Arial"/>
          <w:sz w:val="20"/>
        </w:rPr>
        <w:t xml:space="preserve">       For the quarterly period ended September 30, 2018 or</w:t>
      </w:r>
    </w:p>
    <w:p w:rsidR="00A77B3E" w:rsidRDefault="00A77B3E">
      <w:pPr>
        <w:ind w:firstLine="360"/>
      </w:pP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9621"/>
      </w:tblGrid>
      <w:tr w:rsidR="0073293D">
        <w:trPr>
          <w:trHeight w:hRule="exact" w:val="270"/>
        </w:trPr>
        <w:tc>
          <w:tcPr>
            <w:tcW w:w="600" w:type="dxa"/>
            <w:tcBorders>
              <w:top w:val="nil"/>
              <w:left w:val="nil"/>
              <w:bottom w:val="nil"/>
              <w:right w:val="nil"/>
            </w:tcBorders>
            <w:shd w:val="clear" w:color="auto" w:fill="auto"/>
            <w:tcMar>
              <w:top w:w="0" w:type="dxa"/>
              <w:left w:w="0" w:type="dxa"/>
              <w:bottom w:w="0" w:type="dxa"/>
              <w:right w:w="0" w:type="dxa"/>
            </w:tcMar>
          </w:tcPr>
          <w:p w:rsidR="00A77B3E" w:rsidRDefault="00A77B3E"/>
        </w:tc>
        <w:tc>
          <w:tcPr>
            <w:tcW w:w="9630" w:type="dxa"/>
            <w:tcBorders>
              <w:top w:val="nil"/>
              <w:left w:val="nil"/>
              <w:bottom w:val="nil"/>
              <w:right w:val="nil"/>
            </w:tcBorders>
            <w:shd w:val="clear" w:color="auto" w:fill="auto"/>
            <w:tcMar>
              <w:top w:w="0" w:type="dxa"/>
              <w:left w:w="53" w:type="dxa"/>
              <w:bottom w:w="0" w:type="dxa"/>
              <w:right w:w="53" w:type="dxa"/>
            </w:tcMar>
          </w:tcPr>
          <w:p w:rsidR="00A77B3E" w:rsidRDefault="00CC4FC6">
            <w:pPr>
              <w:widowControl w:val="0"/>
              <w:spacing w:before="55" w:after="10"/>
            </w:pPr>
            <w:r>
              <w:rPr>
                <w:rFonts w:ascii="Arial" w:eastAsia="Arial" w:hAnsi="Arial" w:cs="Arial"/>
                <w:b/>
                <w:color w:val="000000"/>
                <w:sz w:val="18"/>
              </w:rPr>
              <w:t>TRANSITION REPORT PURSUANT TO SECTION 13 OR 15(d) OF THE SECURITIES EXCHANGE ACT OF 1934</w:t>
            </w:r>
          </w:p>
        </w:tc>
      </w:tr>
    </w:tbl>
    <w:p w:rsidR="00A77B3E" w:rsidRDefault="00CC4FC6">
      <w:pPr>
        <w:spacing w:before="120"/>
        <w:ind w:firstLine="360"/>
      </w:pPr>
      <w:r>
        <w:rPr>
          <w:rFonts w:ascii="Arial" w:eastAsia="Arial" w:hAnsi="Arial" w:cs="Arial"/>
          <w:sz w:val="20"/>
        </w:rPr>
        <w:t xml:space="preserve">For the transition period from </w:t>
      </w:r>
      <w:r>
        <w:rPr>
          <w:rFonts w:ascii="Arial" w:eastAsia="Arial" w:hAnsi="Arial" w:cs="Arial"/>
          <w:color w:val="000000"/>
          <w:sz w:val="20"/>
          <w:u w:val="single"/>
        </w:rPr>
        <w:t>            </w:t>
      </w:r>
      <w:r>
        <w:rPr>
          <w:rFonts w:ascii="Arial" w:eastAsia="Arial" w:hAnsi="Arial" w:cs="Arial"/>
          <w:sz w:val="20"/>
        </w:rPr>
        <w:t xml:space="preserve">to </w:t>
      </w:r>
      <w:r>
        <w:rPr>
          <w:rFonts w:ascii="Arial" w:eastAsia="Arial" w:hAnsi="Arial" w:cs="Arial"/>
          <w:color w:val="000000"/>
          <w:sz w:val="20"/>
          <w:u w:val="single"/>
        </w:rPr>
        <w:t>            </w:t>
      </w:r>
    </w:p>
    <w:p w:rsidR="00A77B3E" w:rsidRDefault="00CC4FC6">
      <w:pPr>
        <w:spacing w:before="160"/>
        <w:ind w:firstLine="360"/>
      </w:pPr>
      <w:r>
        <w:rPr>
          <w:rFonts w:ascii="Arial" w:eastAsia="Arial" w:hAnsi="Arial" w:cs="Arial"/>
          <w:sz w:val="18"/>
        </w:rPr>
        <w:t>Commission File Number</w:t>
      </w:r>
      <w:r>
        <w:rPr>
          <w:rFonts w:ascii="Arial" w:eastAsia="Arial" w:hAnsi="Arial" w:cs="Arial"/>
          <w:b/>
          <w:sz w:val="18"/>
        </w:rPr>
        <w:t>: 0-10235</w:t>
      </w:r>
    </w:p>
    <w:p w:rsidR="00A77B3E" w:rsidRDefault="00CC4FC6">
      <w:pPr>
        <w:jc w:val="center"/>
      </w:pPr>
      <w:r>
        <w:rPr>
          <w:rFonts w:ascii="Arial" w:eastAsia="Arial" w:hAnsi="Arial" w:cs="Arial"/>
          <w:b/>
        </w:rPr>
        <w:t xml:space="preserve">GENTEX CORPORATION </w:t>
      </w:r>
    </w:p>
    <w:p w:rsidR="00A77B3E" w:rsidRDefault="00CC4FC6">
      <w:pPr>
        <w:jc w:val="center"/>
      </w:pPr>
      <w:r>
        <w:rPr>
          <w:rFonts w:ascii="Arial" w:eastAsia="Arial" w:hAnsi="Arial" w:cs="Arial"/>
          <w:sz w:val="16"/>
        </w:rPr>
        <w:t>(Exact name of registrant as specified in its charter)</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75"/>
        <w:gridCol w:w="5052"/>
      </w:tblGrid>
      <w:tr w:rsidR="0073293D">
        <w:trPr>
          <w:trHeight w:hRule="exact" w:val="255"/>
          <w:jc w:val="center"/>
        </w:trPr>
        <w:tc>
          <w:tcPr>
            <w:tcW w:w="5070" w:type="dxa"/>
            <w:tcBorders>
              <w:top w:val="nil"/>
              <w:left w:val="nil"/>
              <w:bottom w:val="nil"/>
              <w:right w:val="nil"/>
            </w:tcBorders>
            <w:shd w:val="clear" w:color="auto" w:fill="auto"/>
            <w:tcMar>
              <w:top w:w="0" w:type="dxa"/>
              <w:left w:w="53" w:type="dxa"/>
              <w:bottom w:w="0" w:type="dxa"/>
              <w:right w:w="53" w:type="dxa"/>
            </w:tcMar>
          </w:tcPr>
          <w:p w:rsidR="00A77B3E" w:rsidRDefault="00CC4FC6">
            <w:pPr>
              <w:widowControl w:val="0"/>
              <w:spacing w:before="20" w:after="20"/>
              <w:jc w:val="center"/>
            </w:pPr>
            <w:r>
              <w:rPr>
                <w:rFonts w:ascii="Arial" w:eastAsia="Arial" w:hAnsi="Arial" w:cs="Arial"/>
                <w:b/>
                <w:color w:val="000000"/>
                <w:sz w:val="20"/>
              </w:rPr>
              <w:t>Michigan</w:t>
            </w:r>
          </w:p>
        </w:tc>
        <w:tc>
          <w:tcPr>
            <w:tcW w:w="75" w:type="dxa"/>
            <w:tcBorders>
              <w:top w:val="nil"/>
              <w:left w:val="nil"/>
              <w:bottom w:val="nil"/>
              <w:right w:val="nil"/>
            </w:tcBorders>
            <w:shd w:val="clear" w:color="auto" w:fill="auto"/>
            <w:tcMar>
              <w:top w:w="0" w:type="dxa"/>
              <w:left w:w="0" w:type="dxa"/>
              <w:bottom w:w="0" w:type="dxa"/>
              <w:right w:w="0" w:type="dxa"/>
            </w:tcMar>
          </w:tcPr>
          <w:p w:rsidR="00A77B3E" w:rsidRDefault="00A77B3E"/>
        </w:tc>
        <w:tc>
          <w:tcPr>
            <w:tcW w:w="5070" w:type="dxa"/>
            <w:tcBorders>
              <w:top w:val="nil"/>
              <w:left w:val="nil"/>
              <w:bottom w:val="nil"/>
              <w:right w:val="nil"/>
            </w:tcBorders>
            <w:shd w:val="clear" w:color="auto" w:fill="auto"/>
            <w:tcMar>
              <w:top w:w="0" w:type="dxa"/>
              <w:left w:w="53" w:type="dxa"/>
              <w:bottom w:w="0" w:type="dxa"/>
              <w:right w:w="53" w:type="dxa"/>
            </w:tcMar>
          </w:tcPr>
          <w:p w:rsidR="00A77B3E" w:rsidRDefault="00CC4FC6">
            <w:pPr>
              <w:widowControl w:val="0"/>
              <w:spacing w:before="20" w:after="20"/>
              <w:jc w:val="center"/>
            </w:pPr>
            <w:r>
              <w:rPr>
                <w:rFonts w:ascii="Arial" w:eastAsia="Arial" w:hAnsi="Arial" w:cs="Arial"/>
                <w:b/>
                <w:color w:val="000000"/>
                <w:sz w:val="20"/>
              </w:rPr>
              <w:t>38-2030505</w:t>
            </w:r>
          </w:p>
        </w:tc>
      </w:tr>
      <w:tr w:rsidR="0073293D">
        <w:trPr>
          <w:trHeight w:hRule="exact" w:val="390"/>
          <w:jc w:val="center"/>
        </w:trPr>
        <w:tc>
          <w:tcPr>
            <w:tcW w:w="507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spacing w:before="55"/>
              <w:jc w:val="center"/>
            </w:pPr>
            <w:r>
              <w:rPr>
                <w:rFonts w:ascii="Arial" w:eastAsia="Arial" w:hAnsi="Arial" w:cs="Arial"/>
                <w:sz w:val="16"/>
              </w:rPr>
              <w:t>(State or other jurisdiction of</w:t>
            </w:r>
          </w:p>
          <w:p w:rsidR="00A77B3E" w:rsidRDefault="00CC4FC6">
            <w:pPr>
              <w:spacing w:after="10"/>
              <w:jc w:val="center"/>
            </w:pPr>
            <w:r>
              <w:rPr>
                <w:rFonts w:ascii="Arial" w:eastAsia="Arial" w:hAnsi="Arial" w:cs="Arial"/>
                <w:sz w:val="16"/>
              </w:rPr>
              <w:t>incorporation or organization)</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507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spacing w:before="55"/>
              <w:jc w:val="center"/>
            </w:pPr>
            <w:r>
              <w:rPr>
                <w:rFonts w:ascii="Arial" w:eastAsia="Arial" w:hAnsi="Arial" w:cs="Arial"/>
                <w:sz w:val="16"/>
              </w:rPr>
              <w:t>(I.R.S. Employer</w:t>
            </w:r>
          </w:p>
          <w:p w:rsidR="00A77B3E" w:rsidRDefault="00CC4FC6">
            <w:pPr>
              <w:spacing w:after="10"/>
              <w:jc w:val="center"/>
            </w:pPr>
            <w:r>
              <w:rPr>
                <w:rFonts w:ascii="Arial" w:eastAsia="Arial" w:hAnsi="Arial" w:cs="Arial"/>
                <w:sz w:val="16"/>
              </w:rPr>
              <w:t>Identification No.)</w:t>
            </w:r>
          </w:p>
        </w:tc>
      </w:tr>
      <w:tr w:rsidR="0073293D">
        <w:trPr>
          <w:trHeight w:hRule="exact" w:val="75"/>
          <w:jc w:val="center"/>
        </w:trPr>
        <w:tc>
          <w:tcPr>
            <w:tcW w:w="507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5145" w:type="dxa"/>
            <w:gridSpan w:val="2"/>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r>
      <w:tr w:rsidR="0073293D">
        <w:trPr>
          <w:trHeight w:hRule="exact" w:val="255"/>
          <w:jc w:val="center"/>
        </w:trPr>
        <w:tc>
          <w:tcPr>
            <w:tcW w:w="5070" w:type="dxa"/>
            <w:tcBorders>
              <w:top w:val="nil"/>
              <w:left w:val="nil"/>
              <w:bottom w:val="nil"/>
              <w:right w:val="nil"/>
            </w:tcBorders>
            <w:shd w:val="clear" w:color="auto" w:fill="auto"/>
            <w:tcMar>
              <w:top w:w="0" w:type="dxa"/>
              <w:left w:w="53" w:type="dxa"/>
              <w:bottom w:w="0" w:type="dxa"/>
              <w:right w:w="53" w:type="dxa"/>
            </w:tcMar>
          </w:tcPr>
          <w:p w:rsidR="00A77B3E" w:rsidRDefault="00CC4FC6">
            <w:pPr>
              <w:widowControl w:val="0"/>
              <w:spacing w:before="20" w:after="20"/>
              <w:jc w:val="center"/>
            </w:pPr>
            <w:r>
              <w:rPr>
                <w:rFonts w:ascii="Arial" w:eastAsia="Arial" w:hAnsi="Arial" w:cs="Arial"/>
                <w:b/>
                <w:color w:val="000000"/>
                <w:sz w:val="20"/>
              </w:rPr>
              <w:t>600 N. Centennial, Zeeland, Michigan</w:t>
            </w:r>
          </w:p>
        </w:tc>
        <w:tc>
          <w:tcPr>
            <w:tcW w:w="75" w:type="dxa"/>
            <w:tcBorders>
              <w:top w:val="nil"/>
              <w:left w:val="nil"/>
              <w:bottom w:val="nil"/>
              <w:right w:val="nil"/>
            </w:tcBorders>
            <w:shd w:val="clear" w:color="auto" w:fill="auto"/>
            <w:tcMar>
              <w:top w:w="0" w:type="dxa"/>
              <w:left w:w="0" w:type="dxa"/>
              <w:bottom w:w="0" w:type="dxa"/>
              <w:right w:w="0" w:type="dxa"/>
            </w:tcMar>
          </w:tcPr>
          <w:p w:rsidR="00A77B3E" w:rsidRDefault="00A77B3E"/>
        </w:tc>
        <w:tc>
          <w:tcPr>
            <w:tcW w:w="5070" w:type="dxa"/>
            <w:tcBorders>
              <w:top w:val="nil"/>
              <w:left w:val="nil"/>
              <w:bottom w:val="nil"/>
              <w:right w:val="nil"/>
            </w:tcBorders>
            <w:shd w:val="clear" w:color="auto" w:fill="auto"/>
            <w:tcMar>
              <w:top w:w="0" w:type="dxa"/>
              <w:left w:w="53" w:type="dxa"/>
              <w:bottom w:w="0" w:type="dxa"/>
              <w:right w:w="53" w:type="dxa"/>
            </w:tcMar>
          </w:tcPr>
          <w:p w:rsidR="00A77B3E" w:rsidRDefault="00CC4FC6">
            <w:pPr>
              <w:spacing w:before="20" w:after="20"/>
              <w:jc w:val="center"/>
            </w:pPr>
            <w:r>
              <w:rPr>
                <w:rFonts w:ascii="Arial" w:eastAsia="Arial" w:hAnsi="Arial" w:cs="Arial"/>
                <w:b/>
                <w:color w:val="000000"/>
                <w:sz w:val="20"/>
              </w:rPr>
              <w:t>49464</w:t>
            </w:r>
          </w:p>
        </w:tc>
      </w:tr>
      <w:tr w:rsidR="0073293D">
        <w:trPr>
          <w:trHeight w:hRule="exact" w:val="240"/>
          <w:jc w:val="center"/>
        </w:trPr>
        <w:tc>
          <w:tcPr>
            <w:tcW w:w="5070" w:type="dxa"/>
            <w:tcBorders>
              <w:top w:val="nil"/>
              <w:left w:val="nil"/>
              <w:bottom w:val="nil"/>
              <w:right w:val="nil"/>
            </w:tcBorders>
            <w:shd w:val="clear" w:color="auto" w:fill="auto"/>
            <w:tcMar>
              <w:top w:w="0" w:type="dxa"/>
              <w:left w:w="53" w:type="dxa"/>
              <w:bottom w:w="0" w:type="dxa"/>
              <w:right w:w="53" w:type="dxa"/>
            </w:tcMar>
          </w:tcPr>
          <w:p w:rsidR="00A77B3E" w:rsidRDefault="00CC4FC6">
            <w:pPr>
              <w:widowControl w:val="0"/>
              <w:spacing w:before="55" w:after="10"/>
              <w:jc w:val="center"/>
            </w:pPr>
            <w:r>
              <w:rPr>
                <w:rFonts w:ascii="Arial" w:eastAsia="Arial" w:hAnsi="Arial" w:cs="Arial"/>
                <w:color w:val="000000"/>
                <w:sz w:val="16"/>
              </w:rPr>
              <w:t>(Address of principal executive offices)</w:t>
            </w:r>
          </w:p>
        </w:tc>
        <w:tc>
          <w:tcPr>
            <w:tcW w:w="75" w:type="dxa"/>
            <w:tcBorders>
              <w:top w:val="nil"/>
              <w:left w:val="nil"/>
              <w:bottom w:val="nil"/>
              <w:right w:val="nil"/>
            </w:tcBorders>
            <w:shd w:val="clear" w:color="auto" w:fill="auto"/>
            <w:tcMar>
              <w:top w:w="0" w:type="dxa"/>
              <w:left w:w="0" w:type="dxa"/>
              <w:bottom w:w="0" w:type="dxa"/>
              <w:right w:w="0" w:type="dxa"/>
            </w:tcMar>
          </w:tcPr>
          <w:p w:rsidR="00A77B3E" w:rsidRDefault="00A77B3E"/>
        </w:tc>
        <w:tc>
          <w:tcPr>
            <w:tcW w:w="5070" w:type="dxa"/>
            <w:tcBorders>
              <w:top w:val="nil"/>
              <w:left w:val="nil"/>
              <w:bottom w:val="nil"/>
              <w:right w:val="nil"/>
            </w:tcBorders>
            <w:shd w:val="clear" w:color="auto" w:fill="auto"/>
            <w:tcMar>
              <w:top w:w="0" w:type="dxa"/>
              <w:left w:w="53" w:type="dxa"/>
              <w:bottom w:w="0" w:type="dxa"/>
              <w:right w:w="53" w:type="dxa"/>
            </w:tcMar>
          </w:tcPr>
          <w:p w:rsidR="00A77B3E" w:rsidRDefault="00CC4FC6">
            <w:pPr>
              <w:widowControl w:val="0"/>
              <w:spacing w:before="55" w:after="10"/>
              <w:jc w:val="center"/>
            </w:pPr>
            <w:r>
              <w:rPr>
                <w:rFonts w:ascii="Arial" w:eastAsia="Arial" w:hAnsi="Arial" w:cs="Arial"/>
                <w:color w:val="000000"/>
                <w:sz w:val="16"/>
              </w:rPr>
              <w:t>(Zip Code)</w:t>
            </w:r>
          </w:p>
        </w:tc>
      </w:tr>
    </w:tbl>
    <w:p w:rsidR="00A77B3E" w:rsidRDefault="00CC4FC6">
      <w:pPr>
        <w:spacing w:before="120"/>
        <w:jc w:val="center"/>
      </w:pPr>
      <w:r>
        <w:rPr>
          <w:rFonts w:ascii="Arial" w:eastAsia="Arial" w:hAnsi="Arial" w:cs="Arial"/>
          <w:b/>
          <w:sz w:val="20"/>
        </w:rPr>
        <w:t>(616) 772-1800</w:t>
      </w:r>
    </w:p>
    <w:p w:rsidR="00A77B3E" w:rsidRDefault="00CC4FC6">
      <w:pPr>
        <w:jc w:val="center"/>
      </w:pPr>
      <w:r>
        <w:rPr>
          <w:rFonts w:ascii="Arial" w:eastAsia="Arial" w:hAnsi="Arial" w:cs="Arial"/>
          <w:sz w:val="16"/>
        </w:rPr>
        <w:t>(Registrant’s telephone number, including area code)</w:t>
      </w:r>
    </w:p>
    <w:p w:rsidR="00A77B3E" w:rsidRDefault="00A77B3E">
      <w:pPr>
        <w:jc w:val="center"/>
      </w:pPr>
    </w:p>
    <w:p w:rsidR="00A77B3E" w:rsidRDefault="00CC4FC6">
      <w:pPr>
        <w:jc w:val="center"/>
      </w:pPr>
      <w:r>
        <w:rPr>
          <w:rFonts w:ascii="Arial" w:eastAsia="Arial" w:hAnsi="Arial" w:cs="Arial"/>
          <w:sz w:val="16"/>
        </w:rPr>
        <w:t xml:space="preserve"> </w:t>
      </w:r>
    </w:p>
    <w:p w:rsidR="00A77B3E" w:rsidRDefault="00CC4FC6">
      <w:pPr>
        <w:jc w:val="center"/>
      </w:pPr>
      <w:r>
        <w:rPr>
          <w:rFonts w:ascii="Arial" w:eastAsia="Arial" w:hAnsi="Arial" w:cs="Arial"/>
          <w:sz w:val="12"/>
        </w:rPr>
        <w:t>________________________________________________________</w:t>
      </w:r>
    </w:p>
    <w:p w:rsidR="00A77B3E" w:rsidRDefault="00A77B3E">
      <w:pPr>
        <w:jc w:val="center"/>
      </w:pPr>
    </w:p>
    <w:p w:rsidR="00A77B3E" w:rsidRDefault="00CC4FC6">
      <w:pPr>
        <w:jc w:val="center"/>
      </w:pPr>
      <w:r>
        <w:rPr>
          <w:rFonts w:ascii="Arial" w:eastAsia="Arial" w:hAnsi="Arial" w:cs="Arial"/>
          <w:sz w:val="16"/>
        </w:rPr>
        <w:t>(Former name, former address and former fiscal year, if changed since last report)</w:t>
      </w:r>
    </w:p>
    <w:p w:rsidR="00A77B3E" w:rsidRDefault="00A77B3E">
      <w:pPr>
        <w:jc w:val="center"/>
      </w:pPr>
    </w:p>
    <w:p w:rsidR="00A77B3E" w:rsidRDefault="00CC4FC6">
      <w:pPr>
        <w:spacing w:before="100"/>
      </w:pPr>
      <w:r>
        <w:rPr>
          <w:rFonts w:ascii="Arial" w:eastAsia="Arial" w:hAnsi="Arial" w:cs="Arial"/>
          <w:sz w:val="16"/>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Wingdings" w:eastAsia="Wingdings" w:hAnsi="Wingdings" w:cs="Wingdings"/>
          <w:sz w:val="16"/>
        </w:rPr>
        <w:t></w:t>
      </w:r>
      <w:r>
        <w:rPr>
          <w:rFonts w:ascii="Wingdings" w:eastAsia="Wingdings" w:hAnsi="Wingdings" w:cs="Wingdings"/>
          <w:sz w:val="16"/>
        </w:rPr>
        <w:tab/>
      </w:r>
      <w:r>
        <w:rPr>
          <w:rFonts w:ascii="Arial" w:eastAsia="Arial" w:hAnsi="Arial" w:cs="Arial"/>
          <w:sz w:val="16"/>
        </w:rPr>
        <w:t>No: </w:t>
      </w:r>
      <w:r>
        <w:rPr>
          <w:rFonts w:ascii="Arial" w:eastAsia="Arial" w:hAnsi="Arial" w:cs="Arial"/>
          <w:b/>
          <w:sz w:val="16"/>
        </w:rPr>
        <w:t xml:space="preserve"> </w:t>
      </w:r>
      <w:r>
        <w:rPr>
          <w:rFonts w:ascii="Wingdings" w:eastAsia="Wingdings" w:hAnsi="Wingdings" w:cs="Wingdings"/>
          <w:sz w:val="16"/>
        </w:rPr>
        <w:t></w:t>
      </w:r>
      <w:r>
        <w:rPr>
          <w:rFonts w:ascii="Arial" w:eastAsia="Arial" w:hAnsi="Arial" w:cs="Arial"/>
          <w:b/>
          <w:sz w:val="16"/>
        </w:rPr>
        <w:t xml:space="preserve">  </w:t>
      </w:r>
      <w:r>
        <w:rPr>
          <w:rFonts w:ascii="Arial" w:eastAsia="Arial" w:hAnsi="Arial" w:cs="Arial"/>
          <w:sz w:val="16"/>
        </w:rPr>
        <w:t xml:space="preserve">              </w:t>
      </w:r>
    </w:p>
    <w:p w:rsidR="00A77B3E" w:rsidRDefault="00CC4FC6">
      <w:pPr>
        <w:spacing w:before="180"/>
      </w:pPr>
      <w:r>
        <w:rPr>
          <w:rFonts w:ascii="Arial" w:eastAsia="Arial" w:hAnsi="Arial" w:cs="Arial"/>
          <w:sz w:val="16"/>
        </w:rPr>
        <w:t>Indicate by check mark whether the registrant has submitted electronically every Interactive Data File required to be submitted pursuant to Rule 405 of Regulation S-T (§ 232.405 of this chapter) during the preceding 12 months (or for such shorter period that the registrant was required to submit such files).        Yes:  </w:t>
      </w:r>
      <w:r>
        <w:rPr>
          <w:rFonts w:ascii="Wingdings" w:eastAsia="Wingdings" w:hAnsi="Wingdings" w:cs="Wingdings"/>
          <w:sz w:val="16"/>
        </w:rPr>
        <w:t></w:t>
      </w:r>
      <w:r>
        <w:rPr>
          <w:rFonts w:ascii="Wingdings" w:eastAsia="Wingdings" w:hAnsi="Wingdings" w:cs="Wingdings"/>
          <w:sz w:val="16"/>
        </w:rPr>
        <w:tab/>
      </w:r>
      <w:r>
        <w:rPr>
          <w:rFonts w:ascii="Arial" w:eastAsia="Arial" w:hAnsi="Arial" w:cs="Arial"/>
          <w:sz w:val="16"/>
        </w:rPr>
        <w:t>No: </w:t>
      </w:r>
      <w:r>
        <w:rPr>
          <w:rFonts w:ascii="Arial" w:eastAsia="Arial" w:hAnsi="Arial" w:cs="Arial"/>
          <w:b/>
          <w:sz w:val="16"/>
        </w:rPr>
        <w:t xml:space="preserve"> </w:t>
      </w:r>
      <w:r>
        <w:rPr>
          <w:rFonts w:ascii="Wingdings" w:eastAsia="Wingdings" w:hAnsi="Wingdings" w:cs="Wingdings"/>
          <w:sz w:val="16"/>
        </w:rPr>
        <w:t></w:t>
      </w:r>
      <w:r>
        <w:rPr>
          <w:rFonts w:ascii="Arial" w:eastAsia="Arial" w:hAnsi="Arial" w:cs="Arial"/>
          <w:b/>
          <w:sz w:val="16"/>
        </w:rPr>
        <w:t xml:space="preserve">  </w:t>
      </w:r>
      <w:r>
        <w:rPr>
          <w:rFonts w:ascii="Arial" w:eastAsia="Arial" w:hAnsi="Arial" w:cs="Arial"/>
          <w:sz w:val="16"/>
        </w:rPr>
        <w:t xml:space="preserve">     </w:t>
      </w:r>
    </w:p>
    <w:p w:rsidR="00A77B3E" w:rsidRDefault="00CC4FC6">
      <w:pPr>
        <w:spacing w:before="180"/>
      </w:pPr>
      <w:r>
        <w:rPr>
          <w:rFonts w:ascii="Arial" w:eastAsia="Arial" w:hAnsi="Arial" w:cs="Arial"/>
          <w:sz w:val="16"/>
        </w:rPr>
        <w:t>Indicate by check mark whether the registrant is a large accelerated filer, an accelerated filer, a non-accelerated filer, a smaller reporting company, or emerging growth company. See the definitions of “large accelerated filer”, “accelerated filer”, “smaller reporting company”, and "emerging growth company" in Rule 12b-2 of the Exchange Act.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360"/>
        <w:gridCol w:w="5175"/>
        <w:gridCol w:w="2459"/>
        <w:gridCol w:w="269"/>
      </w:tblGrid>
      <w:tr w:rsidR="0073293D">
        <w:trPr>
          <w:trHeight w:hRule="exact" w:val="195"/>
        </w:trPr>
        <w:tc>
          <w:tcPr>
            <w:tcW w:w="198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spacing w:before="10" w:after="10"/>
            </w:pPr>
            <w:r>
              <w:rPr>
                <w:rFonts w:ascii="Arial" w:eastAsia="Arial" w:hAnsi="Arial" w:cs="Arial"/>
                <w:sz w:val="16"/>
              </w:rPr>
              <w:t>Large accelerated filer</w:t>
            </w:r>
          </w:p>
        </w:tc>
        <w:tc>
          <w:tcPr>
            <w:tcW w:w="36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widowControl w:val="0"/>
              <w:spacing w:before="10" w:after="10"/>
              <w:jc w:val="center"/>
            </w:pPr>
            <w:r>
              <w:rPr>
                <w:rFonts w:ascii="Wingdings" w:eastAsia="Wingdings" w:hAnsi="Wingdings" w:cs="Wingdings"/>
                <w:sz w:val="16"/>
              </w:rPr>
              <w:t></w:t>
            </w:r>
          </w:p>
        </w:tc>
        <w:tc>
          <w:tcPr>
            <w:tcW w:w="519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246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widowControl w:val="0"/>
              <w:spacing w:before="10" w:after="10"/>
            </w:pPr>
            <w:r>
              <w:rPr>
                <w:rFonts w:ascii="Arial" w:eastAsia="Arial" w:hAnsi="Arial" w:cs="Arial"/>
                <w:color w:val="000000"/>
                <w:sz w:val="16"/>
              </w:rPr>
              <w:t>Accelerated filer</w:t>
            </w:r>
          </w:p>
        </w:tc>
        <w:tc>
          <w:tcPr>
            <w:tcW w:w="27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r>
      <w:tr w:rsidR="0073293D">
        <w:trPr>
          <w:trHeight w:hRule="exact" w:val="60"/>
        </w:trPr>
        <w:tc>
          <w:tcPr>
            <w:tcW w:w="198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36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A77B3E" w:rsidRDefault="00A77B3E"/>
        </w:tc>
        <w:tc>
          <w:tcPr>
            <w:tcW w:w="519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246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27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A77B3E" w:rsidRDefault="00A77B3E"/>
        </w:tc>
      </w:tr>
      <w:tr w:rsidR="0073293D">
        <w:trPr>
          <w:trHeight w:hRule="exact" w:val="195"/>
        </w:trPr>
        <w:tc>
          <w:tcPr>
            <w:tcW w:w="198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widowControl w:val="0"/>
              <w:spacing w:before="10" w:after="10"/>
            </w:pPr>
            <w:r>
              <w:rPr>
                <w:rFonts w:ascii="Arial" w:eastAsia="Arial" w:hAnsi="Arial" w:cs="Arial"/>
                <w:color w:val="000000"/>
                <w:sz w:val="16"/>
              </w:rPr>
              <w:t>Non-accelerated filer</w:t>
            </w:r>
          </w:p>
        </w:tc>
        <w:tc>
          <w:tcPr>
            <w:tcW w:w="36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5190" w:type="dxa"/>
            <w:tcBorders>
              <w:top w:val="nil"/>
              <w:left w:val="nil"/>
              <w:bottom w:val="nil"/>
              <w:right w:val="nil"/>
            </w:tcBorders>
            <w:shd w:val="clear" w:color="auto" w:fill="auto"/>
            <w:tcMar>
              <w:top w:w="0" w:type="dxa"/>
              <w:left w:w="53" w:type="dxa"/>
              <w:bottom w:w="0" w:type="dxa"/>
              <w:right w:w="53" w:type="dxa"/>
            </w:tcMar>
            <w:vAlign w:val="bottom"/>
          </w:tcPr>
          <w:p w:rsidR="00A77B3E" w:rsidRDefault="00A77B3E">
            <w:pPr>
              <w:spacing w:before="55" w:after="10"/>
            </w:pPr>
          </w:p>
        </w:tc>
        <w:tc>
          <w:tcPr>
            <w:tcW w:w="246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widowControl w:val="0"/>
              <w:spacing w:before="10" w:after="10"/>
            </w:pPr>
            <w:r>
              <w:rPr>
                <w:rFonts w:ascii="Arial" w:eastAsia="Arial" w:hAnsi="Arial" w:cs="Arial"/>
                <w:color w:val="000000"/>
                <w:sz w:val="16"/>
              </w:rPr>
              <w:t>Smaller reporting company</w:t>
            </w:r>
          </w:p>
        </w:tc>
        <w:tc>
          <w:tcPr>
            <w:tcW w:w="27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r>
      <w:tr w:rsidR="0073293D">
        <w:trPr>
          <w:trHeight w:hRule="exact" w:val="75"/>
        </w:trPr>
        <w:tc>
          <w:tcPr>
            <w:tcW w:w="198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36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A77B3E" w:rsidRDefault="00A77B3E"/>
        </w:tc>
        <w:tc>
          <w:tcPr>
            <w:tcW w:w="519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246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27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A77B3E" w:rsidRDefault="00A77B3E"/>
        </w:tc>
      </w:tr>
      <w:tr w:rsidR="0073293D">
        <w:trPr>
          <w:trHeight w:hRule="exact" w:val="195"/>
        </w:trPr>
        <w:tc>
          <w:tcPr>
            <w:tcW w:w="198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36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5190"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246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widowControl w:val="0"/>
              <w:spacing w:before="10" w:after="10"/>
            </w:pPr>
            <w:r>
              <w:rPr>
                <w:rFonts w:ascii="Arial" w:eastAsia="Arial" w:hAnsi="Arial" w:cs="Arial"/>
                <w:color w:val="000000"/>
                <w:sz w:val="16"/>
              </w:rPr>
              <w:t>Emerging growth company</w:t>
            </w:r>
          </w:p>
        </w:tc>
        <w:tc>
          <w:tcPr>
            <w:tcW w:w="270" w:type="dxa"/>
            <w:tcBorders>
              <w:top w:val="nil"/>
              <w:left w:val="nil"/>
              <w:bottom w:val="single" w:sz="8" w:space="0" w:color="000000"/>
              <w:right w:val="nil"/>
            </w:tcBorders>
            <w:shd w:val="clear" w:color="auto" w:fill="auto"/>
            <w:tcMar>
              <w:top w:w="0" w:type="dxa"/>
              <w:left w:w="0" w:type="dxa"/>
              <w:bottom w:w="0" w:type="dxa"/>
              <w:right w:w="0" w:type="dxa"/>
            </w:tcMar>
            <w:vAlign w:val="bottom"/>
          </w:tcPr>
          <w:p w:rsidR="00A77B3E" w:rsidRDefault="00A77B3E"/>
        </w:tc>
      </w:tr>
    </w:tbl>
    <w:p w:rsidR="00A77B3E" w:rsidRDefault="00A77B3E">
      <w:pPr>
        <w:spacing w:before="120"/>
        <w:jc w:val="both"/>
      </w:pPr>
    </w:p>
    <w:p w:rsidR="00A77B3E" w:rsidRDefault="00CC4FC6">
      <w:r>
        <w:rPr>
          <w:rFonts w:ascii="Arial" w:eastAsia="Arial" w:hAnsi="Arial" w:cs="Arial"/>
          <w:sz w:val="16"/>
        </w:rPr>
        <w:t xml:space="preserve">If an emerging growth company, indicate by check mark if the registrant has elected not to use the extended transition period for complying with any new or revised financial or accounting standards provided pursuant to Section 13(a) of the Exchange Act. </w:t>
      </w:r>
      <w:r>
        <w:rPr>
          <w:rFonts w:ascii="Wingdings" w:eastAsia="Wingdings" w:hAnsi="Wingdings" w:cs="Wingdings"/>
          <w:sz w:val="16"/>
        </w:rPr>
        <w:t></w:t>
      </w:r>
    </w:p>
    <w:p w:rsidR="00A77B3E" w:rsidRDefault="00A77B3E"/>
    <w:p w:rsidR="00A77B3E" w:rsidRDefault="00CC4FC6">
      <w:r>
        <w:rPr>
          <w:rFonts w:ascii="Arial" w:eastAsia="Arial" w:hAnsi="Arial" w:cs="Arial"/>
          <w:sz w:val="16"/>
        </w:rPr>
        <w:t>Indicate by a check mark whether the registrant is a shell company (as defined in Rule 12b-2 of the Exchange Act).  Yes:  </w:t>
      </w:r>
      <w:r>
        <w:rPr>
          <w:rFonts w:ascii="Wingdings" w:eastAsia="Wingdings" w:hAnsi="Wingdings" w:cs="Wingdings"/>
          <w:sz w:val="16"/>
        </w:rPr>
        <w:t></w:t>
      </w:r>
      <w:r>
        <w:rPr>
          <w:rFonts w:ascii="Arial" w:eastAsia="Arial" w:hAnsi="Arial" w:cs="Arial"/>
          <w:b/>
          <w:sz w:val="16"/>
        </w:rPr>
        <w:t> </w:t>
      </w:r>
      <w:r>
        <w:rPr>
          <w:rFonts w:ascii="Wingdings" w:eastAsia="Wingdings" w:hAnsi="Wingdings" w:cs="Wingdings"/>
          <w:b/>
          <w:sz w:val="16"/>
        </w:rPr>
        <w:t></w:t>
      </w:r>
      <w:r>
        <w:rPr>
          <w:rFonts w:ascii="Arial" w:eastAsia="Arial" w:hAnsi="Arial" w:cs="Arial"/>
          <w:sz w:val="16"/>
        </w:rPr>
        <w:t>No: </w:t>
      </w:r>
      <w:r>
        <w:rPr>
          <w:rFonts w:ascii="Arial" w:eastAsia="Arial" w:hAnsi="Arial" w:cs="Arial"/>
          <w:b/>
          <w:sz w:val="16"/>
        </w:rPr>
        <w:t xml:space="preserve"> </w:t>
      </w:r>
      <w:r>
        <w:rPr>
          <w:rFonts w:ascii="Arial" w:eastAsia="Arial" w:hAnsi="Arial" w:cs="Arial"/>
          <w:sz w:val="16"/>
        </w:rPr>
        <w:t> </w:t>
      </w:r>
      <w:r>
        <w:rPr>
          <w:rFonts w:ascii="Wingdings" w:eastAsia="Wingdings" w:hAnsi="Wingdings" w:cs="Wingdings"/>
          <w:sz w:val="16"/>
        </w:rPr>
        <w:t></w:t>
      </w:r>
    </w:p>
    <w:p w:rsidR="00A77B3E" w:rsidRDefault="00CC4FC6">
      <w:pPr>
        <w:spacing w:before="180"/>
      </w:pPr>
      <w:r>
        <w:rPr>
          <w:rFonts w:ascii="Arial" w:eastAsia="Arial" w:hAnsi="Arial" w:cs="Arial"/>
          <w:sz w:val="16"/>
        </w:rPr>
        <w:t>APPLICABLE ONLY TO ISSUERS INVOLVED IN BANKRUPTCY PROCEEDINGS DURING THE PRECEEDING FIVE YEARS:</w:t>
      </w:r>
    </w:p>
    <w:p w:rsidR="00A77B3E" w:rsidRDefault="00CC4FC6">
      <w:pPr>
        <w:spacing w:before="180"/>
      </w:pPr>
      <w:r>
        <w:rPr>
          <w:rFonts w:ascii="Arial" w:eastAsia="Arial" w:hAnsi="Arial" w:cs="Arial"/>
          <w:sz w:val="16"/>
        </w:rPr>
        <w:t>Indicate by check mark whether the registrant has filed all documents and reports required to be filed by Sections 12, 13 or 15(d) of the Securities Exchange Act of 1934 subsequent to the distribution of securities under a plan confirmed by a court.          Yes:  </w:t>
      </w:r>
      <w:r>
        <w:rPr>
          <w:rFonts w:ascii="Wingdings" w:eastAsia="Wingdings" w:hAnsi="Wingdings" w:cs="Wingdings"/>
          <w:sz w:val="16"/>
        </w:rPr>
        <w:t></w:t>
      </w:r>
      <w:r>
        <w:rPr>
          <w:rFonts w:ascii="Wingdings" w:eastAsia="Wingdings" w:hAnsi="Wingdings" w:cs="Wingdings"/>
          <w:sz w:val="16"/>
        </w:rPr>
        <w:t></w:t>
      </w:r>
      <w:r>
        <w:rPr>
          <w:rFonts w:ascii="Arial" w:eastAsia="Arial" w:hAnsi="Arial" w:cs="Arial"/>
          <w:sz w:val="16"/>
        </w:rPr>
        <w:t>No: </w:t>
      </w:r>
      <w:r>
        <w:rPr>
          <w:rFonts w:ascii="Arial" w:eastAsia="Arial" w:hAnsi="Arial" w:cs="Arial"/>
          <w:b/>
          <w:sz w:val="16"/>
        </w:rPr>
        <w:t xml:space="preserve"> </w:t>
      </w:r>
      <w:r>
        <w:rPr>
          <w:rFonts w:ascii="Wingdings" w:eastAsia="Wingdings" w:hAnsi="Wingdings" w:cs="Wingdings"/>
          <w:sz w:val="16"/>
        </w:rPr>
        <w:t></w:t>
      </w:r>
    </w:p>
    <w:p w:rsidR="00A77B3E" w:rsidRDefault="00CC4FC6">
      <w:pPr>
        <w:spacing w:before="180"/>
      </w:pPr>
      <w:r>
        <w:rPr>
          <w:rFonts w:ascii="Arial" w:eastAsia="Arial" w:hAnsi="Arial" w:cs="Arial"/>
          <w:sz w:val="16"/>
        </w:rPr>
        <w:t>APPLICABLE ONLY TO CORPORATE ISSUERS:</w:t>
      </w:r>
    </w:p>
    <w:p w:rsidR="00A77B3E" w:rsidRDefault="00CC4FC6">
      <w:pPr>
        <w:spacing w:before="180" w:after="180"/>
      </w:pPr>
      <w:r>
        <w:rPr>
          <w:rFonts w:ascii="Arial" w:eastAsia="Arial" w:hAnsi="Arial" w:cs="Arial"/>
          <w:sz w:val="16"/>
        </w:rPr>
        <w:t>Indicate the number of shares outstanding of each of the issuer’s classes of common stock, as of the latest practicable date.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75"/>
        <w:gridCol w:w="5040"/>
      </w:tblGrid>
      <w:tr w:rsidR="0073293D">
        <w:trPr>
          <w:trHeight w:hRule="exact" w:val="240"/>
        </w:trPr>
        <w:tc>
          <w:tcPr>
            <w:tcW w:w="4740"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widowControl w:val="0"/>
              <w:spacing w:before="55" w:after="10"/>
              <w:jc w:val="center"/>
            </w:pPr>
            <w:r>
              <w:rPr>
                <w:rFonts w:ascii="Arial" w:eastAsia="Arial" w:hAnsi="Arial" w:cs="Arial"/>
                <w:b/>
                <w:color w:val="000000"/>
                <w:sz w:val="16"/>
              </w:rPr>
              <w:t>Class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A77B3E" w:rsidRDefault="00A77B3E"/>
        </w:tc>
        <w:tc>
          <w:tcPr>
            <w:tcW w:w="5055" w:type="dxa"/>
            <w:tcBorders>
              <w:top w:val="nil"/>
              <w:left w:val="nil"/>
              <w:bottom w:val="nil"/>
              <w:right w:val="nil"/>
            </w:tcBorders>
            <w:shd w:val="clear" w:color="auto" w:fill="auto"/>
            <w:tcMar>
              <w:top w:w="0" w:type="dxa"/>
              <w:left w:w="53" w:type="dxa"/>
              <w:bottom w:w="0" w:type="dxa"/>
              <w:right w:w="53" w:type="dxa"/>
            </w:tcMar>
            <w:vAlign w:val="bottom"/>
          </w:tcPr>
          <w:p w:rsidR="00A77B3E" w:rsidRDefault="00CC4FC6">
            <w:pPr>
              <w:spacing w:before="55" w:after="10"/>
              <w:jc w:val="center"/>
            </w:pPr>
            <w:r>
              <w:rPr>
                <w:rFonts w:ascii="Arial" w:eastAsia="Arial" w:hAnsi="Arial" w:cs="Arial"/>
                <w:b/>
                <w:sz w:val="16"/>
              </w:rPr>
              <w:t>Shares Outstanding, October 19, 2018</w:t>
            </w:r>
          </w:p>
        </w:tc>
      </w:tr>
      <w:tr w:rsidR="0073293D">
        <w:trPr>
          <w:trHeight w:hRule="exact" w:val="240"/>
        </w:trPr>
        <w:tc>
          <w:tcPr>
            <w:tcW w:w="4740" w:type="dxa"/>
            <w:tcBorders>
              <w:top w:val="single" w:sz="8" w:space="0" w:color="000000"/>
              <w:left w:val="nil"/>
              <w:bottom w:val="nil"/>
              <w:right w:val="nil"/>
            </w:tcBorders>
            <w:shd w:val="clear" w:color="auto" w:fill="auto"/>
            <w:tcMar>
              <w:top w:w="0" w:type="dxa"/>
              <w:left w:w="53" w:type="dxa"/>
              <w:bottom w:w="0" w:type="dxa"/>
              <w:right w:w="53" w:type="dxa"/>
            </w:tcMar>
          </w:tcPr>
          <w:p w:rsidR="00A77B3E" w:rsidRDefault="00CC4FC6">
            <w:pPr>
              <w:widowControl w:val="0"/>
              <w:spacing w:before="55" w:after="10"/>
              <w:jc w:val="center"/>
            </w:pPr>
            <w:r>
              <w:rPr>
                <w:rFonts w:ascii="Arial" w:eastAsia="Arial" w:hAnsi="Arial" w:cs="Arial"/>
                <w:color w:val="000000"/>
                <w:sz w:val="16"/>
              </w:rPr>
              <w:t>Common Stock, $.06 Par Value</w:t>
            </w:r>
          </w:p>
        </w:tc>
        <w:tc>
          <w:tcPr>
            <w:tcW w:w="75" w:type="dxa"/>
            <w:tcBorders>
              <w:top w:val="nil"/>
              <w:left w:val="nil"/>
              <w:bottom w:val="nil"/>
              <w:right w:val="nil"/>
            </w:tcBorders>
            <w:shd w:val="clear" w:color="auto" w:fill="auto"/>
            <w:tcMar>
              <w:top w:w="0" w:type="dxa"/>
              <w:left w:w="0" w:type="dxa"/>
              <w:bottom w:w="0" w:type="dxa"/>
              <w:right w:w="0" w:type="dxa"/>
            </w:tcMar>
          </w:tcPr>
          <w:p w:rsidR="00A77B3E" w:rsidRDefault="00A77B3E"/>
        </w:tc>
        <w:tc>
          <w:tcPr>
            <w:tcW w:w="5055"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A77B3E" w:rsidRDefault="00CC4FC6">
            <w:pPr>
              <w:spacing w:before="55" w:after="10"/>
              <w:jc w:val="center"/>
            </w:pPr>
            <w:r>
              <w:rPr>
                <w:rFonts w:ascii="Arial" w:eastAsia="Arial" w:hAnsi="Arial" w:cs="Arial"/>
                <w:color w:val="000000"/>
                <w:sz w:val="16"/>
              </w:rPr>
              <w:t>262,116,951</w:t>
            </w:r>
          </w:p>
        </w:tc>
      </w:tr>
    </w:tbl>
    <w:p w:rsidR="00A77B3E" w:rsidRDefault="00A77B3E">
      <w:pPr>
        <w:spacing w:before="120"/>
      </w:pPr>
    </w:p>
    <w:p w:rsidR="00A77B3E" w:rsidRDefault="00A77B3E">
      <w:pPr>
        <w:spacing w:before="120"/>
        <w:sectPr w:rsidR="00A77B3E">
          <w:headerReference w:type="default" r:id="rId7"/>
          <w:footerReference w:type="default" r:id="rId8"/>
          <w:type w:val="continuous"/>
          <w:pgSz w:w="12240" w:h="15840"/>
          <w:pgMar w:top="360" w:right="990" w:bottom="720" w:left="990" w:header="270" w:footer="270" w:gutter="0"/>
          <w:cols w:space="720"/>
          <w:docGrid w:linePitch="360"/>
        </w:sectPr>
      </w:pPr>
    </w:p>
    <w:p w:rsidR="0073293D" w:rsidRDefault="00CC4FC6">
      <w:pPr>
        <w:jc w:val="center"/>
      </w:pPr>
      <w:bookmarkStart w:id="2" w:name="Section2"/>
      <w:bookmarkEnd w:id="2"/>
      <w:r>
        <w:rPr>
          <w:rFonts w:ascii="Arial" w:eastAsia="Arial" w:hAnsi="Arial" w:cs="Arial"/>
          <w:b/>
          <w:sz w:val="20"/>
        </w:rPr>
        <w:lastRenderedPageBreak/>
        <w:t>GENTEX CORPORATION AND SUBSIDIARIES</w:t>
      </w:r>
    </w:p>
    <w:p w:rsidR="0073293D" w:rsidRDefault="00CC4FC6">
      <w:pPr>
        <w:jc w:val="center"/>
      </w:pPr>
      <w:r>
        <w:rPr>
          <w:rFonts w:ascii="Arial" w:eastAsia="Arial" w:hAnsi="Arial" w:cs="Arial"/>
          <w:b/>
          <w:sz w:val="20"/>
        </w:rPr>
        <w:t xml:space="preserve">For the Three and Nine Months Ended September 30, 2018 </w:t>
      </w:r>
    </w:p>
    <w:p w:rsidR="0073293D" w:rsidRDefault="00CC4FC6">
      <w:pPr>
        <w:jc w:val="center"/>
      </w:pPr>
      <w:r>
        <w:rPr>
          <w:rFonts w:ascii="Arial" w:eastAsia="Arial" w:hAnsi="Arial" w:cs="Arial"/>
          <w:b/>
          <w:sz w:val="20"/>
        </w:rPr>
        <w:t>FORM 10-Q</w:t>
      </w:r>
    </w:p>
    <w:p w:rsidR="0073293D" w:rsidRDefault="00CC4FC6">
      <w:pPr>
        <w:jc w:val="center"/>
      </w:pPr>
      <w:r>
        <w:rPr>
          <w:rFonts w:ascii="Arial" w:eastAsia="Arial" w:hAnsi="Arial" w:cs="Arial"/>
          <w:b/>
          <w:sz w:val="20"/>
        </w:rPr>
        <w:t>Index</w:t>
      </w:r>
    </w:p>
    <w:p w:rsidR="0073293D" w:rsidRDefault="0073293D">
      <w:pPr>
        <w:jc w:val="cente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7687"/>
        <w:gridCol w:w="1560"/>
      </w:tblGrid>
      <w:tr w:rsidR="0073293D">
        <w:trPr>
          <w:trHeight w:hRule="exact" w:val="300"/>
          <w:jc w:val="center"/>
        </w:trPr>
        <w:tc>
          <w:tcPr>
            <w:tcW w:w="86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30" w:after="30"/>
            </w:pPr>
            <w:r>
              <w:rPr>
                <w:rFonts w:ascii="Arial" w:eastAsia="Arial" w:hAnsi="Arial" w:cs="Arial"/>
                <w:b/>
                <w:color w:val="000000"/>
              </w:rPr>
              <w:t>Part I - Financial Information</w:t>
            </w:r>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30" w:after="30"/>
              <w:jc w:val="center"/>
            </w:pPr>
            <w:r>
              <w:rPr>
                <w:rFonts w:ascii="Arial" w:eastAsia="Arial" w:hAnsi="Arial" w:cs="Arial"/>
                <w:b/>
                <w:color w:val="000000"/>
              </w:rPr>
              <w:t>Page</w:t>
            </w:r>
          </w:p>
        </w:tc>
      </w:tr>
      <w:tr w:rsidR="0073293D">
        <w:trPr>
          <w:trHeight w:hRule="exact" w:val="300"/>
          <w:jc w:val="center"/>
        </w:trPr>
        <w:tc>
          <w:tcPr>
            <w:tcW w:w="9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Item 1.</w:t>
            </w: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4" w:history="1">
              <w:r w:rsidR="00CC4FC6">
                <w:rPr>
                  <w:rFonts w:ascii="Arial" w:eastAsia="Arial" w:hAnsi="Arial" w:cs="Arial"/>
                  <w:color w:val="0000FF"/>
                  <w:sz w:val="20"/>
                  <w:u w:val="single"/>
                </w:rPr>
                <w:t>Unaudited Consolidated Financial Statements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4"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5" w:history="1">
              <w:r w:rsidR="00CC4FC6">
                <w:rPr>
                  <w:rFonts w:ascii="Arial" w:eastAsia="Arial" w:hAnsi="Arial" w:cs="Arial"/>
                  <w:color w:val="0000FF"/>
                  <w:sz w:val="20"/>
                  <w:u w:val="single"/>
                </w:rPr>
                <w:t>Unaudited Condensed Consolidated Balance Sheets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5"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6" w:history="1">
              <w:r w:rsidR="00CC4FC6">
                <w:rPr>
                  <w:rFonts w:ascii="Arial" w:eastAsia="Arial" w:hAnsi="Arial" w:cs="Arial"/>
                  <w:color w:val="0000FF"/>
                  <w:sz w:val="20"/>
                  <w:u w:val="single"/>
                </w:rPr>
                <w:t>Unaudited Condensed Consolidated Statements of Income</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6" w:history="1">
              <w:r w:rsidR="00CC4FC6">
                <w:rPr>
                  <w:rFonts w:ascii="Arial" w:eastAsia="Arial" w:hAnsi="Arial" w:cs="Arial"/>
                  <w:color w:val="0000FF"/>
                  <w:sz w:val="20"/>
                  <w:u w:val="single"/>
                </w:rPr>
                <w:t>#SectionPage#</w:t>
              </w:r>
            </w:hyperlink>
          </w:p>
        </w:tc>
      </w:tr>
      <w:tr w:rsidR="0073293D">
        <w:trPr>
          <w:trHeight w:hRule="exact" w:val="255"/>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20" w:after="20"/>
              <w:rPr>
                <w:sz w:val="20"/>
              </w:rPr>
            </w:pPr>
            <w:hyperlink w:anchor="Section8" w:history="1">
              <w:r w:rsidR="00CC4FC6">
                <w:rPr>
                  <w:rFonts w:ascii="Arial" w:eastAsia="Arial" w:hAnsi="Arial" w:cs="Arial"/>
                  <w:color w:val="0000FF"/>
                  <w:sz w:val="20"/>
                  <w:u w:val="single"/>
                </w:rPr>
                <w:t>Unaudited Condensed Consolidated Statements of Comprehensive Income</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20" w:after="20"/>
              <w:jc w:val="center"/>
              <w:rPr>
                <w:sz w:val="20"/>
              </w:rPr>
            </w:pPr>
            <w:hyperlink w:anchor="Section7" w:history="1">
              <w:r w:rsidR="00CC4FC6">
                <w:rPr>
                  <w:rFonts w:ascii="Arial" w:eastAsia="Arial" w:hAnsi="Arial" w:cs="Arial"/>
                  <w:color w:val="0000FF"/>
                  <w:sz w:val="20"/>
                  <w:u w:val="single"/>
                </w:rPr>
                <w:t>#SectionPage#</w:t>
              </w:r>
            </w:hyperlink>
          </w:p>
        </w:tc>
      </w:tr>
      <w:tr w:rsidR="0073293D">
        <w:trPr>
          <w:trHeight w:hRule="exact" w:val="255"/>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20" w:after="20"/>
              <w:rPr>
                <w:sz w:val="20"/>
              </w:rPr>
            </w:pPr>
            <w:hyperlink w:anchor="Section8" w:history="1">
              <w:r w:rsidR="00CC4FC6">
                <w:rPr>
                  <w:rFonts w:ascii="Arial" w:eastAsia="Arial" w:hAnsi="Arial" w:cs="Arial"/>
                  <w:color w:val="0000FF"/>
                  <w:sz w:val="20"/>
                  <w:u w:val="single"/>
                </w:rPr>
                <w:t>Unaudited Condensed Consolidated Statements of Cash Flows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20" w:after="20"/>
              <w:jc w:val="center"/>
              <w:rPr>
                <w:sz w:val="20"/>
              </w:rPr>
            </w:pPr>
            <w:hyperlink w:anchor="Section8"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9" w:history="1">
              <w:r w:rsidR="00CC4FC6">
                <w:rPr>
                  <w:rFonts w:ascii="Arial" w:eastAsia="Arial" w:hAnsi="Arial" w:cs="Arial"/>
                  <w:color w:val="0000FF"/>
                  <w:sz w:val="20"/>
                  <w:u w:val="single"/>
                </w:rPr>
                <w:t>Notes to Unaudited Condensed Consolidated Financial Statements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9" w:history="1">
              <w:r w:rsidR="00CC4FC6">
                <w:rPr>
                  <w:rFonts w:ascii="Arial" w:eastAsia="Arial" w:hAnsi="Arial" w:cs="Arial"/>
                  <w:color w:val="0000FF"/>
                  <w:sz w:val="20"/>
                  <w:u w:val="single"/>
                </w:rPr>
                <w:t>#SectionPage#</w:t>
              </w:r>
            </w:hyperlink>
          </w:p>
        </w:tc>
      </w:tr>
      <w:tr w:rsidR="0073293D">
        <w:trPr>
          <w:trHeight w:hRule="exact" w:val="495"/>
          <w:jc w:val="center"/>
        </w:trPr>
        <w:tc>
          <w:tcPr>
            <w:tcW w:w="91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Item 2.</w:t>
            </w: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24" w:history="1">
              <w:r w:rsidR="00CC4FC6">
                <w:rPr>
                  <w:rFonts w:ascii="Arial" w:eastAsia="Arial" w:hAnsi="Arial" w:cs="Arial"/>
                  <w:color w:val="0000FF"/>
                  <w:sz w:val="20"/>
                  <w:u w:val="single"/>
                </w:rPr>
                <w:t>Management's Discussion and Analysis of Financial Condition and Results of Operations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24"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rPr>
                <w:sz w:val="20"/>
              </w:rPr>
            </w:pPr>
            <w:r>
              <w:rPr>
                <w:rFonts w:ascii="Arial" w:eastAsia="Arial" w:hAnsi="Arial" w:cs="Arial"/>
                <w:color w:val="000000"/>
                <w:sz w:val="20"/>
              </w:rPr>
              <w:t>Item 3.</w:t>
            </w: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30" w:history="1">
              <w:r w:rsidR="00CC4FC6">
                <w:rPr>
                  <w:rFonts w:ascii="Arial" w:eastAsia="Arial" w:hAnsi="Arial" w:cs="Arial"/>
                  <w:color w:val="0000FF"/>
                  <w:sz w:val="20"/>
                  <w:u w:val="single"/>
                </w:rPr>
                <w:t>Quantitative and Qualitative Disclosures About Market Risk</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30"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rPr>
                <w:sz w:val="20"/>
              </w:rPr>
            </w:pPr>
            <w:r>
              <w:rPr>
                <w:rFonts w:ascii="Arial" w:eastAsia="Arial" w:hAnsi="Arial" w:cs="Arial"/>
                <w:color w:val="000000"/>
                <w:sz w:val="20"/>
              </w:rPr>
              <w:t>Item 4.</w:t>
            </w: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31" w:history="1">
              <w:r w:rsidR="00CC4FC6">
                <w:rPr>
                  <w:rFonts w:ascii="Arial" w:eastAsia="Arial" w:hAnsi="Arial" w:cs="Arial"/>
                  <w:color w:val="0000FF"/>
                  <w:sz w:val="20"/>
                  <w:u w:val="single"/>
                </w:rPr>
                <w:t>Controls and Procedures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31"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73293D">
            <w:pPr>
              <w:spacing w:before="55" w:after="10"/>
              <w:rPr>
                <w:sz w:val="20"/>
              </w:rPr>
            </w:pPr>
          </w:p>
        </w:tc>
        <w:tc>
          <w:tcPr>
            <w:tcW w:w="156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r>
      <w:tr w:rsidR="0073293D">
        <w:trPr>
          <w:trHeight w:hRule="exact" w:val="300"/>
          <w:jc w:val="center"/>
        </w:trPr>
        <w:tc>
          <w:tcPr>
            <w:tcW w:w="86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30" w:after="30"/>
              <w:rPr>
                <w:sz w:val="20"/>
              </w:rPr>
            </w:pPr>
            <w:r>
              <w:rPr>
                <w:rFonts w:ascii="Arial" w:eastAsia="Arial" w:hAnsi="Arial" w:cs="Arial"/>
                <w:b/>
                <w:color w:val="000000"/>
              </w:rPr>
              <w:t>Part II - Other Information</w:t>
            </w:r>
          </w:p>
        </w:tc>
        <w:tc>
          <w:tcPr>
            <w:tcW w:w="156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r>
      <w:tr w:rsidR="0073293D">
        <w:trPr>
          <w:trHeight w:hRule="exact" w:val="300"/>
          <w:jc w:val="center"/>
        </w:trPr>
        <w:tc>
          <w:tcPr>
            <w:tcW w:w="9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rPr>
                <w:sz w:val="20"/>
              </w:rPr>
            </w:pPr>
            <w:r>
              <w:rPr>
                <w:rFonts w:ascii="Arial" w:eastAsia="Arial" w:hAnsi="Arial" w:cs="Arial"/>
                <w:color w:val="000000"/>
                <w:sz w:val="20"/>
              </w:rPr>
              <w:t>Item 1A.</w:t>
            </w: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33" w:history="1">
              <w:r w:rsidR="00CC4FC6">
                <w:rPr>
                  <w:rFonts w:ascii="Arial" w:eastAsia="Arial" w:hAnsi="Arial" w:cs="Arial"/>
                  <w:color w:val="0000FF"/>
                  <w:sz w:val="20"/>
                  <w:u w:val="single"/>
                </w:rPr>
                <w:t>Risk Factors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33"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rPr>
                <w:sz w:val="20"/>
              </w:rPr>
            </w:pPr>
            <w:r>
              <w:rPr>
                <w:rFonts w:ascii="Arial" w:eastAsia="Arial" w:hAnsi="Arial" w:cs="Arial"/>
                <w:color w:val="000000"/>
                <w:sz w:val="20"/>
              </w:rPr>
              <w:t>Item 2.</w:t>
            </w: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34" w:history="1">
              <w:r w:rsidR="00CC4FC6">
                <w:rPr>
                  <w:rFonts w:ascii="Arial" w:eastAsia="Arial" w:hAnsi="Arial" w:cs="Arial"/>
                  <w:color w:val="0000FF"/>
                  <w:sz w:val="20"/>
                  <w:u w:val="single"/>
                </w:rPr>
                <w:t>Unregistered Sales of Equity Securities and Use of Proceeds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34"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rPr>
                <w:sz w:val="20"/>
              </w:rPr>
            </w:pPr>
            <w:r>
              <w:rPr>
                <w:rFonts w:ascii="Arial" w:eastAsia="Arial" w:hAnsi="Arial" w:cs="Arial"/>
                <w:color w:val="000000"/>
                <w:sz w:val="20"/>
              </w:rPr>
              <w:t>Item 6.</w:t>
            </w: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35" w:history="1">
              <w:r w:rsidR="00CC4FC6">
                <w:rPr>
                  <w:rFonts w:ascii="Arial" w:eastAsia="Arial" w:hAnsi="Arial" w:cs="Arial"/>
                  <w:color w:val="0000FF"/>
                  <w:sz w:val="20"/>
                  <w:u w:val="single"/>
                </w:rPr>
                <w:t>Exhibits</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35"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36" w:history="1">
              <w:r w:rsidR="00CC4FC6">
                <w:rPr>
                  <w:rFonts w:ascii="Arial" w:eastAsia="Arial" w:hAnsi="Arial" w:cs="Arial"/>
                  <w:color w:val="0302FF"/>
                  <w:sz w:val="20"/>
                  <w:u w:val="single"/>
                </w:rPr>
                <w:t>Signature</w:t>
              </w:r>
            </w:hyperlink>
            <w:r w:rsidR="00CC4FC6">
              <w:rPr>
                <w:rFonts w:ascii="Arial" w:eastAsia="Arial" w:hAnsi="Arial" w:cs="Arial"/>
                <w:color w:val="0302FF"/>
                <w:sz w:val="20"/>
                <w:u w:val="single"/>
              </w:rPr>
              <w:t>s</w:t>
            </w:r>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36" w:history="1">
              <w:r w:rsidR="00CC4FC6">
                <w:rPr>
                  <w:rFonts w:ascii="Arial" w:eastAsia="Arial" w:hAnsi="Arial" w:cs="Arial"/>
                  <w:color w:val="0000FF"/>
                  <w:sz w:val="20"/>
                  <w:u w:val="single"/>
                </w:rPr>
                <w:t>#SectionPage#</w:t>
              </w:r>
            </w:hyperlink>
          </w:p>
        </w:tc>
      </w:tr>
      <w:tr w:rsidR="0073293D">
        <w:trPr>
          <w:trHeight w:hRule="exact" w:val="300"/>
          <w:jc w:val="center"/>
        </w:trPr>
        <w:tc>
          <w:tcPr>
            <w:tcW w:w="9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pPr>
              <w:rPr>
                <w:sz w:val="20"/>
              </w:rPr>
            </w:pPr>
          </w:p>
        </w:tc>
        <w:tc>
          <w:tcPr>
            <w:tcW w:w="77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rPr>
                <w:sz w:val="20"/>
              </w:rPr>
            </w:pPr>
            <w:hyperlink w:anchor="Section37" w:history="1">
              <w:r w:rsidR="00CC4FC6">
                <w:rPr>
                  <w:rFonts w:ascii="Arial" w:eastAsia="Arial" w:hAnsi="Arial" w:cs="Arial"/>
                  <w:color w:val="0000FF"/>
                  <w:sz w:val="20"/>
                  <w:u w:val="single"/>
                </w:rPr>
                <w:t>Exhibit Index</w:t>
              </w:r>
            </w:hyperlink>
          </w:p>
        </w:tc>
        <w:tc>
          <w:tcPr>
            <w:tcW w:w="15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7629A">
            <w:pPr>
              <w:spacing w:before="55" w:after="10"/>
              <w:jc w:val="center"/>
              <w:rPr>
                <w:sz w:val="20"/>
              </w:rPr>
            </w:pPr>
            <w:hyperlink w:anchor="Section37" w:history="1">
              <w:r w:rsidR="00CC4FC6">
                <w:rPr>
                  <w:rFonts w:ascii="Arial" w:eastAsia="Arial" w:hAnsi="Arial" w:cs="Arial"/>
                  <w:color w:val="0000FF"/>
                  <w:sz w:val="20"/>
                  <w:u w:val="single"/>
                </w:rPr>
                <w:t>#SectionPage#</w:t>
              </w:r>
            </w:hyperlink>
          </w:p>
        </w:tc>
      </w:tr>
    </w:tbl>
    <w:p w:rsidR="0073293D" w:rsidRDefault="0073293D">
      <w:pPr>
        <w:spacing w:before="120"/>
      </w:pPr>
    </w:p>
    <w:p w:rsidR="0073293D" w:rsidRDefault="0073293D"/>
    <w:p w:rsidR="0073293D" w:rsidRDefault="0073293D">
      <w:pPr>
        <w:sectPr w:rsidR="0073293D">
          <w:headerReference w:type="default" r:id="rId9"/>
          <w:footerReference w:type="default" r:id="rId10"/>
          <w:pgSz w:w="12240" w:h="15840"/>
          <w:pgMar w:top="900" w:right="990" w:bottom="900" w:left="990" w:header="270" w:footer="270" w:gutter="0"/>
          <w:cols w:space="720"/>
        </w:sectPr>
      </w:pPr>
    </w:p>
    <w:p w:rsidR="0073293D" w:rsidRDefault="00CC4FC6">
      <w:pPr>
        <w:jc w:val="center"/>
      </w:pPr>
      <w:bookmarkStart w:id="3" w:name="Section3"/>
      <w:bookmarkEnd w:id="3"/>
      <w:r>
        <w:rPr>
          <w:rFonts w:ascii="Arial" w:eastAsia="Arial" w:hAnsi="Arial" w:cs="Arial"/>
          <w:b/>
          <w:sz w:val="20"/>
        </w:rPr>
        <w:lastRenderedPageBreak/>
        <w:t>PART I —FINANCIAL INFORMATION</w:t>
      </w:r>
    </w:p>
    <w:p w:rsidR="0073293D" w:rsidRDefault="0073293D">
      <w:pPr>
        <w:jc w:val="center"/>
        <w:sectPr w:rsidR="0073293D">
          <w:pgSz w:w="12240" w:h="15840"/>
          <w:pgMar w:top="900" w:right="990" w:bottom="900" w:left="990" w:header="270" w:footer="270" w:gutter="0"/>
          <w:cols w:space="720"/>
        </w:sectPr>
      </w:pPr>
    </w:p>
    <w:p w:rsidR="0073293D" w:rsidRDefault="00CC4FC6">
      <w:pPr>
        <w:spacing w:before="100"/>
      </w:pPr>
      <w:bookmarkStart w:id="4" w:name="Section4"/>
      <w:bookmarkEnd w:id="4"/>
      <w:r>
        <w:rPr>
          <w:rFonts w:ascii="Arial" w:eastAsia="Arial" w:hAnsi="Arial" w:cs="Arial"/>
          <w:b/>
          <w:sz w:val="20"/>
        </w:rPr>
        <w:t>Item 1. Unaudited Consolidated Financial Statements.</w:t>
      </w:r>
    </w:p>
    <w:p w:rsidR="0073293D" w:rsidRDefault="0073293D">
      <w:pPr>
        <w:spacing w:before="100"/>
        <w:sectPr w:rsidR="0073293D">
          <w:type w:val="continuous"/>
          <w:pgSz w:w="12240" w:h="15840"/>
          <w:pgMar w:top="900" w:right="990" w:bottom="900" w:left="990" w:header="270" w:footer="270" w:gutter="0"/>
          <w:cols w:space="720"/>
        </w:sectPr>
      </w:pPr>
    </w:p>
    <w:p w:rsidR="0073293D" w:rsidRDefault="00CC4FC6">
      <w:pPr>
        <w:spacing w:before="360"/>
        <w:jc w:val="center"/>
      </w:pPr>
      <w:bookmarkStart w:id="5" w:name="Section5"/>
      <w:bookmarkEnd w:id="5"/>
      <w:r>
        <w:rPr>
          <w:rFonts w:ascii="Arial" w:eastAsia="Arial" w:hAnsi="Arial" w:cs="Arial"/>
          <w:b/>
          <w:sz w:val="20"/>
        </w:rPr>
        <w:t>GENTEX CORPORATION AND SUBSIDIARIES</w:t>
      </w:r>
    </w:p>
    <w:p w:rsidR="0073293D" w:rsidRDefault="00CC4FC6">
      <w:pPr>
        <w:spacing w:before="180"/>
        <w:jc w:val="center"/>
      </w:pPr>
      <w:r>
        <w:rPr>
          <w:rFonts w:ascii="Arial" w:eastAsia="Arial" w:hAnsi="Arial" w:cs="Arial"/>
          <w:b/>
          <w:sz w:val="20"/>
        </w:rPr>
        <w:t>UNAUDITED CONDENSED CONSOLIDATED BALANCE SHEETS</w:t>
      </w:r>
    </w:p>
    <w:p w:rsidR="0073293D" w:rsidRDefault="00CC4FC6">
      <w:pPr>
        <w:spacing w:before="180"/>
        <w:jc w:val="center"/>
      </w:pPr>
      <w:r>
        <w:rPr>
          <w:rFonts w:ascii="Arial" w:eastAsia="Arial" w:hAnsi="Arial" w:cs="Arial"/>
          <w:b/>
          <w:sz w:val="20"/>
        </w:rPr>
        <w:t xml:space="preserve">As of September 30, 2018 and December 31, 2017 </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2"/>
        <w:gridCol w:w="218"/>
        <w:gridCol w:w="1705"/>
        <w:gridCol w:w="116"/>
        <w:gridCol w:w="112"/>
        <w:gridCol w:w="1837"/>
      </w:tblGrid>
      <w:tr w:rsidR="0073293D">
        <w:trPr>
          <w:trHeight w:hRule="exact" w:val="42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73293D">
            <w:pPr>
              <w:spacing w:before="55" w:after="10"/>
            </w:pP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September 30, 2018</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December 31, 2017</w:t>
            </w:r>
          </w:p>
          <w:p w:rsidR="0073293D" w:rsidRDefault="00CC4FC6">
            <w:pPr>
              <w:spacing w:after="10"/>
              <w:jc w:val="center"/>
            </w:pPr>
            <w:r>
              <w:rPr>
                <w:rFonts w:ascii="Arial" w:eastAsia="Arial" w:hAnsi="Arial" w:cs="Arial"/>
                <w:b/>
                <w:sz w:val="16"/>
              </w:rPr>
              <w:t>(Note)</w:t>
            </w:r>
          </w:p>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jc w:val="center"/>
            </w:pPr>
            <w:r>
              <w:rPr>
                <w:rFonts w:ascii="Arial" w:eastAsia="Arial" w:hAnsi="Arial" w:cs="Arial"/>
                <w:color w:val="000000"/>
                <w:sz w:val="20"/>
                <w:u w:val="single"/>
              </w:rPr>
              <w:t>ASSETS</w:t>
            </w:r>
          </w:p>
        </w:tc>
        <w:tc>
          <w:tcPr>
            <w:tcW w:w="181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50"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CURRENT ASSETS</w:t>
            </w:r>
          </w:p>
        </w:tc>
        <w:tc>
          <w:tcPr>
            <w:tcW w:w="181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Cash and cash equivalents</w:t>
            </w: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194,017,041</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85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569,734,496</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Short-term investments</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143,623,541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152,538,054</w:t>
            </w:r>
          </w:p>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Accounts receivable, net</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247,322,101</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231,121,788</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Inventories</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213,394,037</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216,765,583</w:t>
            </w:r>
          </w:p>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Prepaid expenses and other</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29,201,873</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14,403,902</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Total current assets</w:t>
            </w:r>
          </w:p>
        </w:tc>
        <w:tc>
          <w:tcPr>
            <w:tcW w:w="181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827,558,593</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1,184,563,823</w:t>
            </w:r>
          </w:p>
        </w:tc>
      </w:tr>
      <w:tr w:rsidR="0073293D">
        <w:trPr>
          <w:trHeight w:hRule="exact" w:val="270"/>
        </w:trPr>
        <w:tc>
          <w:tcPr>
            <w:tcW w:w="62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PLANT AND EQUIPMENT—NET</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497,305,597</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492,479,330</w:t>
            </w:r>
          </w:p>
        </w:tc>
      </w:tr>
      <w:tr w:rsidR="0073293D">
        <w:trPr>
          <w:trHeight w:hRule="exact" w:val="270"/>
        </w:trPr>
        <w:tc>
          <w:tcPr>
            <w:tcW w:w="62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OTHER ASSETS</w:t>
            </w:r>
          </w:p>
        </w:tc>
        <w:tc>
          <w:tcPr>
            <w:tcW w:w="181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Goodwill</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307,365,845</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307,365,845</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Long-term investments</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141,631,510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57,782,418</w:t>
            </w:r>
          </w:p>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Intangible assets, net</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274,500,000</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288,975,000</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Patents and other assets, net</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21,027,381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20,887,496</w:t>
            </w:r>
          </w:p>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Total other assets</w:t>
            </w:r>
          </w:p>
        </w:tc>
        <w:tc>
          <w:tcPr>
            <w:tcW w:w="1815"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744,524,736</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675,010,759</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ind w:left="240"/>
            </w:pPr>
            <w:r>
              <w:rPr>
                <w:rFonts w:ascii="Arial" w:eastAsia="Arial" w:hAnsi="Arial" w:cs="Arial"/>
                <w:sz w:val="20"/>
              </w:rPr>
              <w:t>Total assets</w:t>
            </w:r>
          </w:p>
        </w:tc>
        <w:tc>
          <w:tcPr>
            <w:tcW w:w="100"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1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2,069,388,926</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85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2,352,053,912</w:t>
            </w:r>
          </w:p>
        </w:tc>
      </w:tr>
      <w:tr w:rsidR="0073293D">
        <w:trPr>
          <w:trHeight w:hRule="exact" w:val="270"/>
        </w:trPr>
        <w:tc>
          <w:tcPr>
            <w:tcW w:w="62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jc w:val="center"/>
            </w:pPr>
            <w:r>
              <w:rPr>
                <w:rFonts w:ascii="Arial" w:eastAsia="Arial" w:hAnsi="Arial" w:cs="Arial"/>
                <w:color w:val="000000"/>
                <w:sz w:val="20"/>
                <w:u w:val="single"/>
              </w:rPr>
              <w:t>LIABILITIES AND SHAREHOLDERS’ INVESTMENT</w:t>
            </w:r>
          </w:p>
        </w:tc>
        <w:tc>
          <w:tcPr>
            <w:tcW w:w="181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270"/>
        </w:trPr>
        <w:tc>
          <w:tcPr>
            <w:tcW w:w="6270"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815"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CURRENT LIABILITIES</w:t>
            </w:r>
          </w:p>
        </w:tc>
        <w:tc>
          <w:tcPr>
            <w:tcW w:w="181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Accounts payable</w:t>
            </w: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90,041,982</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85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89,898,467</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Current portion of long-term debt</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78,000,000</w:t>
            </w:r>
          </w:p>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Accrued liabilities</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82,844,508</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75,748,540</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Total current liabilities</w:t>
            </w:r>
          </w:p>
        </w:tc>
        <w:tc>
          <w:tcPr>
            <w:tcW w:w="181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172,886,490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243,647,007</w:t>
            </w:r>
          </w:p>
        </w:tc>
      </w:tr>
      <w:tr w:rsidR="0073293D">
        <w:trPr>
          <w:trHeight w:hRule="exact" w:val="285"/>
        </w:trPr>
        <w:tc>
          <w:tcPr>
            <w:tcW w:w="62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DEFERRED INCOME TAXES</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53,398,181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58,888,644</w:t>
            </w:r>
          </w:p>
        </w:tc>
      </w:tr>
      <w:tr w:rsidR="0073293D">
        <w:trPr>
          <w:trHeight w:hRule="exact" w:val="270"/>
        </w:trPr>
        <w:tc>
          <w:tcPr>
            <w:tcW w:w="62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TOTAL LIABILITIES</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226,284,671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302,535,651</w:t>
            </w:r>
          </w:p>
        </w:tc>
      </w:tr>
      <w:tr w:rsidR="0073293D">
        <w:trPr>
          <w:trHeight w:hRule="exact" w:val="270"/>
        </w:trPr>
        <w:tc>
          <w:tcPr>
            <w:tcW w:w="62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SHAREHOLDERS’ INVESTMENT</w:t>
            </w:r>
          </w:p>
        </w:tc>
        <w:tc>
          <w:tcPr>
            <w:tcW w:w="181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Common stock</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15,727,030</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16,816,879</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Additional paid-in capital</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743,495,999</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723,510,672</w:t>
            </w:r>
          </w:p>
        </w:tc>
      </w:tr>
      <w:tr w:rsidR="0073293D">
        <w:trPr>
          <w:trHeight w:hRule="exact" w:val="270"/>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Retained earnings</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1,086,003,216</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1,301,997,327</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Accumulated other comprehensive (loss) income</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(2,121,990)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7,193,383</w:t>
            </w:r>
          </w:p>
        </w:tc>
      </w:tr>
      <w:tr w:rsidR="0073293D">
        <w:trPr>
          <w:trHeight w:hRule="exact" w:val="285"/>
        </w:trPr>
        <w:tc>
          <w:tcPr>
            <w:tcW w:w="62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Total shareholders’ investment</w:t>
            </w:r>
          </w:p>
        </w:tc>
        <w:tc>
          <w:tcPr>
            <w:tcW w:w="1815"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1,843,104,255</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5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2,049,518,261</w:t>
            </w:r>
          </w:p>
        </w:tc>
      </w:tr>
      <w:tr w:rsidR="0073293D">
        <w:trPr>
          <w:trHeight w:hRule="exact" w:val="270"/>
        </w:trPr>
        <w:tc>
          <w:tcPr>
            <w:tcW w:w="627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Total liabilities and shareholders’ investment</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15"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2,069,388,926</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85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2,352,053,912</w:t>
            </w:r>
          </w:p>
        </w:tc>
      </w:tr>
    </w:tbl>
    <w:p w:rsidR="0073293D" w:rsidRDefault="0073293D">
      <w:pPr>
        <w:spacing w:before="120"/>
      </w:pPr>
    </w:p>
    <w:p w:rsidR="0073293D" w:rsidRDefault="00CC4FC6">
      <w:r>
        <w:rPr>
          <w:rFonts w:ascii="Arial" w:eastAsia="Arial" w:hAnsi="Arial" w:cs="Arial"/>
          <w:sz w:val="14"/>
        </w:rPr>
        <w:t>Note:  The condensed consolidated balance sheet at December 31, 2017 has been derived from the audited financial statements at that date but does not include all of the information and footnotes required by accounting principles generally accepted in the United States for complete financial statements.</w:t>
      </w:r>
    </w:p>
    <w:p w:rsidR="0073293D" w:rsidRDefault="0073293D">
      <w:pPr>
        <w:sectPr w:rsidR="0073293D">
          <w:type w:val="continuous"/>
          <w:pgSz w:w="12240" w:h="15840"/>
          <w:pgMar w:top="900" w:right="990" w:bottom="900" w:left="990" w:header="270" w:footer="270" w:gutter="0"/>
          <w:cols w:space="720"/>
        </w:sectPr>
      </w:pPr>
    </w:p>
    <w:p w:rsidR="0073293D" w:rsidRDefault="00CC4FC6">
      <w:pPr>
        <w:jc w:val="center"/>
      </w:pPr>
      <w:bookmarkStart w:id="6" w:name="Section6"/>
      <w:bookmarkEnd w:id="6"/>
      <w:r>
        <w:rPr>
          <w:rFonts w:ascii="Arial" w:eastAsia="Arial" w:hAnsi="Arial" w:cs="Arial"/>
          <w:b/>
          <w:sz w:val="20"/>
        </w:rPr>
        <w:lastRenderedPageBreak/>
        <w:t>GENTEX CORPORATION AND SUBSIDIARIES</w:t>
      </w:r>
    </w:p>
    <w:p w:rsidR="0073293D" w:rsidRDefault="00CC4FC6">
      <w:pPr>
        <w:spacing w:before="180"/>
        <w:jc w:val="center"/>
      </w:pPr>
      <w:r>
        <w:rPr>
          <w:rFonts w:ascii="Arial" w:eastAsia="Arial" w:hAnsi="Arial" w:cs="Arial"/>
          <w:b/>
          <w:sz w:val="20"/>
        </w:rPr>
        <w:t>UNAUDITED CONDENSED CONSOLIDATED STATEMENTS OF INCOME</w:t>
      </w:r>
    </w:p>
    <w:p w:rsidR="0073293D" w:rsidRDefault="00CC4FC6">
      <w:pPr>
        <w:spacing w:before="180"/>
        <w:jc w:val="center"/>
      </w:pPr>
      <w:r>
        <w:rPr>
          <w:rFonts w:ascii="Arial" w:eastAsia="Arial" w:hAnsi="Arial" w:cs="Arial"/>
          <w:b/>
          <w:sz w:val="20"/>
        </w:rPr>
        <w:t xml:space="preserve">For the Three and Nine Months Ended September 30, 2018 and 2017  </w:t>
      </w:r>
    </w:p>
    <w:p w:rsidR="0073293D" w:rsidRDefault="00CC4FC6">
      <w:r>
        <w:rPr>
          <w:rFonts w:ascii="Arial" w:eastAsia="Arial" w:hAnsi="Arial" w:cs="Arial"/>
          <w:sz w:val="18"/>
        </w:rPr>
        <w:t>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218"/>
        <w:gridCol w:w="1332"/>
        <w:gridCol w:w="71"/>
        <w:gridCol w:w="112"/>
        <w:gridCol w:w="1326"/>
        <w:gridCol w:w="71"/>
        <w:gridCol w:w="112"/>
        <w:gridCol w:w="1378"/>
        <w:gridCol w:w="71"/>
        <w:gridCol w:w="112"/>
        <w:gridCol w:w="1378"/>
      </w:tblGrid>
      <w:tr w:rsidR="0073293D">
        <w:trPr>
          <w:trHeight w:hRule="exact" w:val="255"/>
        </w:trPr>
        <w:tc>
          <w:tcPr>
            <w:tcW w:w="418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95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304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w:t>
            </w:r>
          </w:p>
        </w:tc>
      </w:tr>
      <w:tr w:rsidR="0073293D">
        <w:trPr>
          <w:trHeight w:hRule="exact" w:val="255"/>
        </w:trPr>
        <w:tc>
          <w:tcPr>
            <w:tcW w:w="418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NET SALES</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460,253,433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438,627,786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1,380,654,978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1,335,302,109</w:t>
            </w:r>
          </w:p>
        </w:tc>
      </w:tr>
      <w:tr w:rsidR="0073293D">
        <w:trPr>
          <w:trHeight w:hRule="exact" w:val="270"/>
        </w:trPr>
        <w:tc>
          <w:tcPr>
            <w:tcW w:w="418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COST OF GOODS SOLD</w:t>
            </w:r>
          </w:p>
        </w:tc>
        <w:tc>
          <w:tcPr>
            <w:tcW w:w="14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287,263,147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267,398,126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862,231,819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821,063,869</w:t>
            </w:r>
          </w:p>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Gross profit</w:t>
            </w:r>
          </w:p>
        </w:tc>
        <w:tc>
          <w:tcPr>
            <w:tcW w:w="144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172,990,286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171,229,660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518,423,159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514,238,240</w:t>
            </w:r>
          </w:p>
        </w:tc>
      </w:tr>
      <w:tr w:rsidR="0073293D">
        <w:trPr>
          <w:trHeight w:hRule="exact" w:val="270"/>
        </w:trPr>
        <w:tc>
          <w:tcPr>
            <w:tcW w:w="41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OPERATING EXPENSES:</w:t>
            </w:r>
          </w:p>
        </w:tc>
        <w:tc>
          <w:tcPr>
            <w:tcW w:w="144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Engineering, research and development</w:t>
            </w:r>
          </w:p>
        </w:tc>
        <w:tc>
          <w:tcPr>
            <w:tcW w:w="14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26,888,999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24,770,279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80,138,722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75,165,946</w:t>
            </w:r>
          </w:p>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Selling, general &amp; administrative</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18,673,376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17,386,729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55,658,189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49,708,008</w:t>
            </w:r>
          </w:p>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Total operating expenses</w:t>
            </w:r>
          </w:p>
        </w:tc>
        <w:tc>
          <w:tcPr>
            <w:tcW w:w="1440"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45,562,375</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42,157,008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135,796,911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124,873,954</w:t>
            </w:r>
          </w:p>
        </w:tc>
      </w:tr>
      <w:tr w:rsidR="0073293D">
        <w:trPr>
          <w:trHeight w:hRule="exact" w:val="270"/>
        </w:trPr>
        <w:tc>
          <w:tcPr>
            <w:tcW w:w="418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Income from operations</w:t>
            </w:r>
          </w:p>
        </w:tc>
        <w:tc>
          <w:tcPr>
            <w:tcW w:w="14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127,427,911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129,072,652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382,626,248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389,364,286</w:t>
            </w:r>
          </w:p>
        </w:tc>
      </w:tr>
      <w:tr w:rsidR="0073293D">
        <w:trPr>
          <w:trHeight w:hRule="exact" w:val="270"/>
        </w:trPr>
        <w:tc>
          <w:tcPr>
            <w:tcW w:w="418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pPr>
            <w:r>
              <w:rPr>
                <w:rFonts w:ascii="Arial" w:eastAsia="Arial" w:hAnsi="Arial" w:cs="Arial"/>
                <w:sz w:val="20"/>
              </w:rPr>
              <w:t>OTHER INCOME (LOSS)</w:t>
            </w:r>
          </w:p>
        </w:tc>
        <w:tc>
          <w:tcPr>
            <w:tcW w:w="144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Investment income</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3,180,683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2,139,387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8,062,421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5,348,052</w:t>
            </w:r>
          </w:p>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 income (loss), net</w:t>
            </w:r>
          </w:p>
        </w:tc>
        <w:tc>
          <w:tcPr>
            <w:tcW w:w="14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(73,979)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(379,996)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578,655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(1,071,628)</w:t>
            </w:r>
          </w:p>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Total Other Income</w:t>
            </w:r>
          </w:p>
        </w:tc>
        <w:tc>
          <w:tcPr>
            <w:tcW w:w="144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3,106,704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1,759,391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8,641,076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4,276,424</w:t>
            </w:r>
          </w:p>
        </w:tc>
      </w:tr>
      <w:tr w:rsidR="0073293D">
        <w:trPr>
          <w:trHeight w:hRule="exact" w:val="270"/>
        </w:trPr>
        <w:tc>
          <w:tcPr>
            <w:tcW w:w="41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Income before provision for income taxes</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130,534,615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130,832,043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391,267,324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393,640,710</w:t>
            </w:r>
          </w:p>
        </w:tc>
      </w:tr>
      <w:tr w:rsidR="0073293D">
        <w:trPr>
          <w:trHeight w:hRule="exact" w:val="270"/>
        </w:trPr>
        <w:tc>
          <w:tcPr>
            <w:tcW w:w="41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PROVISION FOR INCOME TAXES</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19,198,798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40,601,708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59,658,782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117,317,687</w:t>
            </w:r>
          </w:p>
        </w:tc>
      </w:tr>
      <w:tr w:rsidR="0073293D">
        <w:trPr>
          <w:trHeight w:hRule="exact" w:val="270"/>
        </w:trPr>
        <w:tc>
          <w:tcPr>
            <w:tcW w:w="41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NET INCOME</w:t>
            </w:r>
          </w:p>
        </w:tc>
        <w:tc>
          <w:tcPr>
            <w:tcW w:w="100"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111,335,817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90,230,335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331,608,542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276,323,023</w:t>
            </w:r>
          </w:p>
        </w:tc>
      </w:tr>
      <w:tr w:rsidR="0073293D">
        <w:trPr>
          <w:trHeight w:hRule="exact" w:val="270"/>
        </w:trPr>
        <w:tc>
          <w:tcPr>
            <w:tcW w:w="41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EARNINGS PER SHARE:</w:t>
            </w:r>
          </w:p>
        </w:tc>
        <w:tc>
          <w:tcPr>
            <w:tcW w:w="144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48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300"/>
        </w:trPr>
        <w:tc>
          <w:tcPr>
            <w:tcW w:w="418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Basic</w:t>
            </w: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0.42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0.32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0.97</w:t>
            </w:r>
          </w:p>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Diluted</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0.42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0.31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0.96</w:t>
            </w:r>
          </w:p>
        </w:tc>
      </w:tr>
      <w:tr w:rsidR="0073293D">
        <w:trPr>
          <w:trHeight w:hRule="exact" w:val="270"/>
        </w:trPr>
        <w:tc>
          <w:tcPr>
            <w:tcW w:w="41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8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18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Cash Dividends Declared per Share</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0.11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0.10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0.33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0.29</w:t>
            </w:r>
          </w:p>
        </w:tc>
      </w:tr>
    </w:tbl>
    <w:p w:rsidR="0073293D" w:rsidRDefault="0073293D">
      <w:pPr>
        <w:spacing w:before="120"/>
      </w:pPr>
    </w:p>
    <w:p w:rsidR="0073293D" w:rsidRDefault="0073293D">
      <w:pPr>
        <w:spacing w:before="120"/>
        <w:sectPr w:rsidR="0073293D">
          <w:pgSz w:w="12240" w:h="15840"/>
          <w:pgMar w:top="900" w:right="990" w:bottom="900" w:left="990" w:header="270" w:footer="270" w:gutter="0"/>
          <w:cols w:space="720"/>
        </w:sectPr>
      </w:pPr>
    </w:p>
    <w:p w:rsidR="0073293D" w:rsidRDefault="00CC4FC6">
      <w:pPr>
        <w:spacing w:before="360"/>
        <w:jc w:val="center"/>
      </w:pPr>
      <w:bookmarkStart w:id="7" w:name="Section7"/>
      <w:bookmarkEnd w:id="7"/>
      <w:r>
        <w:rPr>
          <w:rFonts w:ascii="Arial" w:eastAsia="Arial" w:hAnsi="Arial" w:cs="Arial"/>
          <w:b/>
          <w:sz w:val="20"/>
        </w:rPr>
        <w:t>GENTEX CORPORATION AND SUBSIDIARIES</w:t>
      </w:r>
    </w:p>
    <w:p w:rsidR="0073293D" w:rsidRDefault="00CC4FC6">
      <w:pPr>
        <w:spacing w:before="180"/>
        <w:jc w:val="center"/>
      </w:pPr>
      <w:r>
        <w:rPr>
          <w:rFonts w:ascii="Arial" w:eastAsia="Arial" w:hAnsi="Arial" w:cs="Arial"/>
          <w:b/>
          <w:sz w:val="20"/>
        </w:rPr>
        <w:t>UNAUDITED CONDENSED CONSOLIDATED STATEMENTS OF COMPREHENSIVE INCOME</w:t>
      </w:r>
    </w:p>
    <w:p w:rsidR="0073293D" w:rsidRDefault="00CC4FC6">
      <w:pPr>
        <w:spacing w:before="180" w:after="180"/>
        <w:jc w:val="center"/>
      </w:pPr>
      <w:r>
        <w:rPr>
          <w:rFonts w:ascii="Arial" w:eastAsia="Arial" w:hAnsi="Arial" w:cs="Arial"/>
          <w:b/>
          <w:sz w:val="20"/>
        </w:rPr>
        <w:t xml:space="preserve">For the Three and Nine Months Ended September 30, 2018 and 2017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18"/>
        <w:gridCol w:w="1319"/>
        <w:gridCol w:w="71"/>
        <w:gridCol w:w="112"/>
        <w:gridCol w:w="1307"/>
        <w:gridCol w:w="114"/>
        <w:gridCol w:w="112"/>
        <w:gridCol w:w="1317"/>
        <w:gridCol w:w="71"/>
        <w:gridCol w:w="112"/>
        <w:gridCol w:w="1317"/>
      </w:tblGrid>
      <w:tr w:rsidR="0073293D">
        <w:trPr>
          <w:trHeight w:hRule="exact" w:val="255"/>
          <w:jc w:val="center"/>
        </w:trPr>
        <w:tc>
          <w:tcPr>
            <w:tcW w:w="42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92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92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w:t>
            </w:r>
          </w:p>
        </w:tc>
      </w:tr>
      <w:tr w:rsidR="0073293D">
        <w:trPr>
          <w:trHeight w:hRule="exact" w:val="255"/>
          <w:jc w:val="center"/>
        </w:trPr>
        <w:tc>
          <w:tcPr>
            <w:tcW w:w="42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r>
      <w:tr w:rsidR="0073293D">
        <w:trPr>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Net Income</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2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111,335,817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90,230,335</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center"/>
            </w:pPr>
            <w:r>
              <w:rPr>
                <w:rFonts w:ascii="Arial" w:eastAsia="Arial" w:hAnsi="Arial" w:cs="Arial"/>
                <w:color w:val="000000"/>
                <w:sz w:val="20"/>
              </w:rPr>
              <w:t>$331,608,542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center"/>
            </w:pPr>
            <w:r>
              <w:rPr>
                <w:rFonts w:ascii="Arial" w:eastAsia="Arial" w:hAnsi="Arial" w:cs="Arial"/>
                <w:color w:val="000000"/>
                <w:sz w:val="20"/>
              </w:rPr>
              <w:t>$276,323,023</w:t>
            </w:r>
          </w:p>
        </w:tc>
      </w:tr>
      <w:tr w:rsidR="0073293D">
        <w:trPr>
          <w:trHeight w:hRule="exact" w:val="300"/>
          <w:jc w:val="center"/>
        </w:trPr>
        <w:tc>
          <w:tcPr>
            <w:tcW w:w="42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495"/>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Other comprehensive income (loss) before tax:</w:t>
            </w:r>
          </w:p>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jc w:val="center"/>
        </w:trPr>
        <w:tc>
          <w:tcPr>
            <w:tcW w:w="429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Foreign currency translation adjustments</w:t>
            </w:r>
          </w:p>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(1,174,213)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1,182,152</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(2,013,638)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2,865,952</w:t>
            </w:r>
          </w:p>
        </w:tc>
      </w:tr>
      <w:tr w:rsidR="0073293D">
        <w:trPr>
          <w:trHeight w:hRule="exact" w:val="300"/>
          <w:jc w:val="center"/>
        </w:trPr>
        <w:tc>
          <w:tcPr>
            <w:tcW w:w="429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Unrealized gains on derivatives</w:t>
            </w:r>
          </w:p>
        </w:tc>
        <w:tc>
          <w:tcPr>
            <w:tcW w:w="142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16,165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239,215</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98,769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1,376,077</w:t>
            </w:r>
          </w:p>
        </w:tc>
      </w:tr>
      <w:tr w:rsidR="0073293D">
        <w:trPr>
          <w:trHeight w:hRule="exact" w:val="495"/>
          <w:jc w:val="center"/>
        </w:trPr>
        <w:tc>
          <w:tcPr>
            <w:tcW w:w="429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Unrealized (losses) gains on debt securities, net</w:t>
            </w:r>
          </w:p>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(609,422)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2,287,103</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(932,953)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5,409,722</w:t>
            </w:r>
          </w:p>
        </w:tc>
      </w:tr>
      <w:tr w:rsidR="0073293D">
        <w:trPr>
          <w:trHeight w:hRule="exact" w:val="300"/>
          <w:jc w:val="center"/>
        </w:trPr>
        <w:tc>
          <w:tcPr>
            <w:tcW w:w="42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jc w:val="center"/>
        </w:trPr>
        <w:tc>
          <w:tcPr>
            <w:tcW w:w="429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Other comprehensive (loss) income, before tax</w:t>
            </w:r>
          </w:p>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(1,767,470)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3,708,470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(2,847,822)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9,651,751</w:t>
            </w:r>
          </w:p>
        </w:tc>
      </w:tr>
      <w:tr w:rsidR="0073293D">
        <w:trPr>
          <w:trHeight w:hRule="exact" w:val="300"/>
          <w:jc w:val="center"/>
        </w:trPr>
        <w:tc>
          <w:tcPr>
            <w:tcW w:w="42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690"/>
          <w:jc w:val="center"/>
        </w:trPr>
        <w:tc>
          <w:tcPr>
            <w:tcW w:w="429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(Benefit) Expense for income taxes related to components of other comprehensive income (loss)</w:t>
            </w:r>
          </w:p>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(124,584)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884,211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(175,177)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2,375,031</w:t>
            </w:r>
          </w:p>
        </w:tc>
      </w:tr>
      <w:tr w:rsidR="0073293D">
        <w:trPr>
          <w:trHeight w:hRule="exact" w:val="300"/>
          <w:jc w:val="center"/>
        </w:trPr>
        <w:tc>
          <w:tcPr>
            <w:tcW w:w="42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jc w:val="center"/>
        </w:trPr>
        <w:tc>
          <w:tcPr>
            <w:tcW w:w="429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Other comprehensive (loss) income, net of tax</w:t>
            </w:r>
          </w:p>
        </w:tc>
        <w:tc>
          <w:tcPr>
            <w:tcW w:w="142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(1,642,886)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2,824,259</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(2,672,645)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2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7,276,720</w:t>
            </w:r>
          </w:p>
        </w:tc>
      </w:tr>
      <w:tr w:rsidR="0073293D">
        <w:trPr>
          <w:trHeight w:hRule="exact" w:val="300"/>
          <w:jc w:val="center"/>
        </w:trPr>
        <w:tc>
          <w:tcPr>
            <w:tcW w:w="42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2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jc w:val="center"/>
        </w:trPr>
        <w:tc>
          <w:tcPr>
            <w:tcW w:w="429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Comprehensive Income</w:t>
            </w:r>
          </w:p>
        </w:tc>
        <w:tc>
          <w:tcPr>
            <w:tcW w:w="100" w:type="dxa"/>
            <w:tcBorders>
              <w:top w:val="nil"/>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25" w:type="dxa"/>
            <w:tcBorders>
              <w:top w:val="nil"/>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109,692,931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25" w:type="dxa"/>
            <w:tcBorders>
              <w:top w:val="nil"/>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93,054,594</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25" w:type="dxa"/>
            <w:tcBorders>
              <w:top w:val="nil"/>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328,935,897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325" w:type="dxa"/>
            <w:tcBorders>
              <w:top w:val="nil"/>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283,599,743</w:t>
            </w:r>
          </w:p>
        </w:tc>
      </w:tr>
    </w:tbl>
    <w:p w:rsidR="0073293D" w:rsidRDefault="0073293D">
      <w:pPr>
        <w:spacing w:before="120"/>
        <w:jc w:val="center"/>
      </w:pPr>
    </w:p>
    <w:p w:rsidR="0073293D" w:rsidRDefault="0073293D">
      <w:pPr>
        <w:spacing w:before="120"/>
        <w:jc w:val="center"/>
        <w:sectPr w:rsidR="0073293D">
          <w:pgSz w:w="12240" w:h="15840"/>
          <w:pgMar w:top="900" w:right="990" w:bottom="900" w:left="990" w:header="270" w:footer="270" w:gutter="0"/>
          <w:cols w:space="720"/>
        </w:sectPr>
      </w:pPr>
    </w:p>
    <w:p w:rsidR="0073293D" w:rsidRDefault="00CC4FC6">
      <w:pPr>
        <w:jc w:val="center"/>
      </w:pPr>
      <w:bookmarkStart w:id="8" w:name="Section8"/>
      <w:bookmarkEnd w:id="8"/>
      <w:r>
        <w:rPr>
          <w:rFonts w:ascii="Arial" w:eastAsia="Arial" w:hAnsi="Arial" w:cs="Arial"/>
          <w:b/>
          <w:sz w:val="20"/>
        </w:rPr>
        <w:t>GENTEX CORPORATION AND SUBSIDIARIES</w:t>
      </w:r>
    </w:p>
    <w:p w:rsidR="0073293D" w:rsidRDefault="00CC4FC6">
      <w:pPr>
        <w:spacing w:before="180"/>
        <w:jc w:val="center"/>
      </w:pPr>
      <w:r>
        <w:rPr>
          <w:rFonts w:ascii="Arial" w:eastAsia="Arial" w:hAnsi="Arial" w:cs="Arial"/>
          <w:b/>
          <w:sz w:val="20"/>
        </w:rPr>
        <w:t>UNAUDITED CONDENSED CONSOLIDATED STATEMENTS OF CASH FLOWS</w:t>
      </w:r>
    </w:p>
    <w:p w:rsidR="0073293D" w:rsidRDefault="00CC4FC6">
      <w:pPr>
        <w:spacing w:before="180"/>
        <w:jc w:val="center"/>
      </w:pPr>
      <w:r>
        <w:rPr>
          <w:rFonts w:ascii="Arial" w:eastAsia="Arial" w:hAnsi="Arial" w:cs="Arial"/>
          <w:b/>
          <w:sz w:val="20"/>
        </w:rPr>
        <w:t xml:space="preserve">For the Nine Months Ended September 30, 2018 and 2017 </w:t>
      </w:r>
    </w:p>
    <w:p w:rsidR="0073293D" w:rsidRDefault="00CC4FC6">
      <w:r>
        <w:rPr>
          <w:rFonts w:ascii="Arial" w:eastAsia="Arial" w:hAnsi="Arial" w:cs="Arial"/>
          <w:sz w:val="18"/>
        </w:rPr>
        <w:t> </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1"/>
        <w:gridCol w:w="218"/>
        <w:gridCol w:w="1540"/>
        <w:gridCol w:w="73"/>
        <w:gridCol w:w="112"/>
        <w:gridCol w:w="1566"/>
      </w:tblGrid>
      <w:tr w:rsidR="0073293D">
        <w:trPr>
          <w:trHeight w:hRule="exact" w:val="240"/>
        </w:trPr>
        <w:tc>
          <w:tcPr>
            <w:tcW w:w="67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r>
      <w:tr w:rsidR="0073293D">
        <w:trPr>
          <w:trHeight w:hRule="exact" w:val="300"/>
        </w:trPr>
        <w:tc>
          <w:tcPr>
            <w:tcW w:w="67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CASH FLOWS FROM OPERATING ACTIVITIES:</w:t>
            </w:r>
          </w:p>
        </w:tc>
        <w:tc>
          <w:tcPr>
            <w:tcW w:w="1650" w:type="dxa"/>
            <w:gridSpan w:val="2"/>
            <w:tcBorders>
              <w:top w:val="single" w:sz="8" w:space="0" w:color="000000"/>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680" w:type="dxa"/>
            <w:gridSpan w:val="2"/>
            <w:tcBorders>
              <w:top w:val="single" w:sz="8" w:space="0" w:color="000000"/>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Net income</w:t>
            </w: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55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331,608,542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5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276,323,023</w:t>
            </w:r>
          </w:p>
        </w:tc>
      </w:tr>
      <w:tr w:rsidR="0073293D">
        <w:trPr>
          <w:trHeight w:hRule="exact" w:val="48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Adjustments to reconcile net income to net cash provided by operating activities:</w:t>
            </w:r>
          </w:p>
        </w:tc>
        <w:tc>
          <w:tcPr>
            <w:tcW w:w="16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Depreciation and amortization</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80,748,272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74,858,551</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Gain on disposal of assets</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(145,777)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(163,984)</w:t>
            </w:r>
          </w:p>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Loss on disposal of assets</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26,839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288,323</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Gain on sale of investments</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(1,508,411)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(1,028,505)</w:t>
            </w:r>
          </w:p>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Loss on sale of investments</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532,494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113,091</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Deferred income taxes</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(5,538,048)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6,855,507</w:t>
            </w:r>
          </w:p>
        </w:tc>
      </w:tr>
      <w:tr w:rsidR="0073293D">
        <w:trPr>
          <w:trHeight w:hRule="exact" w:val="495"/>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Stock-based compensation expense related to employee stock options, employee stock purchases and restricted stock</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13,558,557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13,090,804</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600"/>
            </w:pPr>
            <w:r>
              <w:rPr>
                <w:rFonts w:ascii="Arial" w:eastAsia="Arial" w:hAnsi="Arial" w:cs="Arial"/>
                <w:sz w:val="20"/>
              </w:rPr>
              <w:t>Change in operating assets and liabilities:</w:t>
            </w:r>
          </w:p>
        </w:tc>
        <w:tc>
          <w:tcPr>
            <w:tcW w:w="16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840"/>
            </w:pPr>
            <w:r>
              <w:rPr>
                <w:rFonts w:ascii="Arial" w:eastAsia="Arial" w:hAnsi="Arial" w:cs="Arial"/>
                <w:sz w:val="20"/>
              </w:rPr>
              <w:t>Accounts receivable, net</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(16,200,315)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(28,914,071)</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840"/>
            </w:pPr>
            <w:r>
              <w:rPr>
                <w:rFonts w:ascii="Arial" w:eastAsia="Arial" w:hAnsi="Arial" w:cs="Arial"/>
                <w:sz w:val="20"/>
              </w:rPr>
              <w:t>Inventories</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3,371,546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(17,346,380)</w:t>
            </w:r>
          </w:p>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840"/>
            </w:pPr>
            <w:r>
              <w:rPr>
                <w:rFonts w:ascii="Arial" w:eastAsia="Arial" w:hAnsi="Arial" w:cs="Arial"/>
                <w:sz w:val="20"/>
              </w:rPr>
              <w:t>Prepaid expenses and other</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(14,797,969)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14,540,408</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840"/>
            </w:pPr>
            <w:r>
              <w:rPr>
                <w:rFonts w:ascii="Arial" w:eastAsia="Arial" w:hAnsi="Arial" w:cs="Arial"/>
                <w:sz w:val="20"/>
              </w:rPr>
              <w:t>Accounts payable</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143,514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(60,096)</w:t>
            </w:r>
          </w:p>
        </w:tc>
      </w:tr>
      <w:tr w:rsidR="0073293D">
        <w:trPr>
          <w:trHeight w:hRule="exact" w:val="48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840"/>
            </w:pPr>
            <w:r>
              <w:rPr>
                <w:rFonts w:ascii="Arial" w:eastAsia="Arial" w:hAnsi="Arial" w:cs="Arial"/>
                <w:sz w:val="20"/>
              </w:rPr>
              <w:t>Accrued liabilities, excluding dividends declared and short-term debt</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6,408,044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13,999,423</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1080"/>
            </w:pPr>
            <w:r>
              <w:rPr>
                <w:rFonts w:ascii="Arial" w:eastAsia="Arial" w:hAnsi="Arial" w:cs="Arial"/>
                <w:sz w:val="20"/>
              </w:rPr>
              <w:t>Net cash provided by operating activities</w:t>
            </w:r>
          </w:p>
        </w:tc>
        <w:tc>
          <w:tcPr>
            <w:tcW w:w="165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398,207,288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352,556,094</w:t>
            </w:r>
          </w:p>
        </w:tc>
      </w:tr>
      <w:tr w:rsidR="0073293D">
        <w:trPr>
          <w:trHeight w:hRule="exact" w:val="21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73293D">
            <w:pPr>
              <w:spacing w:before="55" w:after="10"/>
            </w:pPr>
          </w:p>
        </w:tc>
        <w:tc>
          <w:tcPr>
            <w:tcW w:w="165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CASH FLOWS USED FOR INVESTING ACTIVITIES:</w:t>
            </w:r>
          </w:p>
        </w:tc>
        <w:tc>
          <w:tcPr>
            <w:tcW w:w="16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Activity in available-for-sale securities:</w:t>
            </w:r>
          </w:p>
        </w:tc>
        <w:tc>
          <w:tcPr>
            <w:tcW w:w="165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360"/>
            </w:pPr>
            <w:r>
              <w:rPr>
                <w:rFonts w:ascii="Arial" w:eastAsia="Arial" w:hAnsi="Arial" w:cs="Arial"/>
                <w:sz w:val="20"/>
              </w:rPr>
              <w:t>Sales proceeds</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54,078,232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2,888,493</w:t>
            </w:r>
          </w:p>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360"/>
            </w:pPr>
            <w:r>
              <w:rPr>
                <w:rFonts w:ascii="Arial" w:eastAsia="Arial" w:hAnsi="Arial" w:cs="Arial"/>
                <w:sz w:val="20"/>
              </w:rPr>
              <w:t>Maturities and calls</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51,892,136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18,100,000</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360"/>
            </w:pPr>
            <w:r>
              <w:rPr>
                <w:rFonts w:ascii="Arial" w:eastAsia="Arial" w:hAnsi="Arial" w:cs="Arial"/>
                <w:sz w:val="20"/>
              </w:rPr>
              <w:t>Purchases</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(180,657,259)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(18,062,164)</w:t>
            </w:r>
          </w:p>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Plant and equipment additions</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(68,771,193)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(86,111,836)</w:t>
            </w:r>
          </w:p>
        </w:tc>
      </w:tr>
      <w:tr w:rsidR="0073293D">
        <w:trPr>
          <w:trHeight w:hRule="exact" w:val="30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Proceeds from sale of plant and equipment</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194,200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192,756</w:t>
            </w:r>
          </w:p>
        </w:tc>
      </w:tr>
      <w:tr w:rsidR="0073293D">
        <w:trPr>
          <w:trHeight w:hRule="exact" w:val="30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Decrease (increase) in other assets</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(4,557,125)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2,432,320</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840"/>
            </w:pPr>
            <w:r>
              <w:rPr>
                <w:rFonts w:ascii="Arial" w:eastAsia="Arial" w:hAnsi="Arial" w:cs="Arial"/>
                <w:sz w:val="20"/>
              </w:rPr>
              <w:t>Net cash used for investing activities</w:t>
            </w:r>
          </w:p>
        </w:tc>
        <w:tc>
          <w:tcPr>
            <w:tcW w:w="165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(147,821,009)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(80,560,431)</w:t>
            </w:r>
          </w:p>
        </w:tc>
      </w:tr>
      <w:tr w:rsidR="0073293D">
        <w:trPr>
          <w:trHeight w:hRule="exact" w:val="255"/>
        </w:trPr>
        <w:tc>
          <w:tcPr>
            <w:tcW w:w="67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5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CASH FLOWS USED FOR FINANCING ACTIVITIES:</w:t>
            </w:r>
          </w:p>
        </w:tc>
        <w:tc>
          <w:tcPr>
            <w:tcW w:w="16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Repayment of debt</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(78,000,000)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(78,125,000)</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Issuance of common stock from stock plan transactions</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61,379,666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31,896,752</w:t>
            </w:r>
          </w:p>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Cash dividends paid</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(87,733,776)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(80,417,057)</w:t>
            </w:r>
          </w:p>
        </w:tc>
      </w:tr>
      <w:tr w:rsidR="0073293D">
        <w:trPr>
          <w:trHeight w:hRule="exact" w:val="270"/>
        </w:trPr>
        <w:tc>
          <w:tcPr>
            <w:tcW w:w="67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Repurchases of common stock</w:t>
            </w:r>
          </w:p>
        </w:tc>
        <w:tc>
          <w:tcPr>
            <w:tcW w:w="165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(521,749,624)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(129,827,666)</w:t>
            </w:r>
          </w:p>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840"/>
            </w:pPr>
            <w:r>
              <w:rPr>
                <w:rFonts w:ascii="Arial" w:eastAsia="Arial" w:hAnsi="Arial" w:cs="Arial"/>
                <w:sz w:val="20"/>
              </w:rPr>
              <w:t>Net cash used for financing activities</w:t>
            </w:r>
          </w:p>
        </w:tc>
        <w:tc>
          <w:tcPr>
            <w:tcW w:w="1650"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(626,103,734)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(256,472,971)</w:t>
            </w:r>
          </w:p>
        </w:tc>
      </w:tr>
      <w:tr w:rsidR="0073293D">
        <w:trPr>
          <w:trHeight w:hRule="exact" w:val="255"/>
        </w:trPr>
        <w:tc>
          <w:tcPr>
            <w:tcW w:w="67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5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pPr>
            <w:r>
              <w:rPr>
                <w:rFonts w:ascii="Arial" w:eastAsia="Arial" w:hAnsi="Arial" w:cs="Arial"/>
                <w:sz w:val="20"/>
              </w:rPr>
              <w:t>NET (DECREASE) INCREASE IN CASH AND CASH EQUIVALENTS</w:t>
            </w:r>
          </w:p>
        </w:tc>
        <w:tc>
          <w:tcPr>
            <w:tcW w:w="165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(375,717,455)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15,522,692</w:t>
            </w:r>
          </w:p>
        </w:tc>
      </w:tr>
      <w:tr w:rsidR="0073293D">
        <w:trPr>
          <w:trHeight w:hRule="exact" w:val="270"/>
        </w:trPr>
        <w:tc>
          <w:tcPr>
            <w:tcW w:w="67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5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pPr>
            <w:r>
              <w:rPr>
                <w:rFonts w:ascii="Arial" w:eastAsia="Arial" w:hAnsi="Arial" w:cs="Arial"/>
                <w:sz w:val="20"/>
              </w:rPr>
              <w:t>CASH AND CASH EQUIVALENTS, beginning of period</w:t>
            </w:r>
          </w:p>
        </w:tc>
        <w:tc>
          <w:tcPr>
            <w:tcW w:w="1650"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569,734,496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546,477,075</w:t>
            </w:r>
          </w:p>
        </w:tc>
      </w:tr>
      <w:tr w:rsidR="0073293D">
        <w:trPr>
          <w:trHeight w:hRule="exact" w:val="315"/>
        </w:trPr>
        <w:tc>
          <w:tcPr>
            <w:tcW w:w="67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5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8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70"/>
        </w:trPr>
        <w:tc>
          <w:tcPr>
            <w:tcW w:w="6735"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pPr>
            <w:r>
              <w:rPr>
                <w:rFonts w:ascii="Arial" w:eastAsia="Arial" w:hAnsi="Arial" w:cs="Arial"/>
                <w:sz w:val="20"/>
              </w:rPr>
              <w:t>CASH AND CASH EQUIVALENTS, end of period</w:t>
            </w:r>
          </w:p>
        </w:tc>
        <w:tc>
          <w:tcPr>
            <w:tcW w:w="100"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550"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194,017,041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58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561,999,767</w:t>
            </w:r>
          </w:p>
        </w:tc>
      </w:tr>
    </w:tbl>
    <w:p w:rsidR="0073293D" w:rsidRDefault="0073293D">
      <w:pPr>
        <w:spacing w:before="120"/>
      </w:pPr>
    </w:p>
    <w:p w:rsidR="0073293D" w:rsidRDefault="0073293D">
      <w:pPr>
        <w:spacing w:before="120"/>
        <w:sectPr w:rsidR="0073293D">
          <w:headerReference w:type="default" r:id="rId11"/>
          <w:footerReference w:type="default" r:id="rId12"/>
          <w:pgSz w:w="12240" w:h="15840"/>
          <w:pgMar w:top="720" w:right="990" w:bottom="810" w:left="990" w:header="270" w:footer="270" w:gutter="0"/>
          <w:cols w:space="720"/>
        </w:sectPr>
      </w:pPr>
    </w:p>
    <w:p w:rsidR="0073293D" w:rsidRDefault="0073293D">
      <w:bookmarkStart w:id="9" w:name="Section9"/>
      <w:bookmarkEnd w:id="9"/>
    </w:p>
    <w:p w:rsidR="0073293D" w:rsidRDefault="0073293D">
      <w:pPr>
        <w:sectPr w:rsidR="0073293D">
          <w:headerReference w:type="default" r:id="rId13"/>
          <w:footerReference w:type="default" r:id="rId14"/>
          <w:pgSz w:w="12240" w:h="15840"/>
          <w:pgMar w:top="1620" w:right="990" w:bottom="900" w:left="990" w:header="270" w:footer="270" w:gutter="0"/>
          <w:cols w:space="720"/>
        </w:sectPr>
      </w:pPr>
    </w:p>
    <w:p w:rsidR="0073293D" w:rsidRDefault="0073293D">
      <w:bookmarkStart w:id="10" w:name="Section10"/>
      <w:bookmarkEnd w:id="10"/>
    </w:p>
    <w:p w:rsidR="0073293D" w:rsidRDefault="00CC4FC6">
      <w:r>
        <w:rPr>
          <w:rFonts w:ascii="Arial" w:eastAsia="Arial" w:hAnsi="Arial" w:cs="Arial"/>
          <w:sz w:val="20"/>
        </w:rPr>
        <w:t>(1)</w:t>
      </w:r>
      <w:r>
        <w:rPr>
          <w:rFonts w:ascii="Arial" w:eastAsia="Arial" w:hAnsi="Arial" w:cs="Arial"/>
          <w:sz w:val="20"/>
        </w:rPr>
        <w:tab/>
        <w:t>Basis of Presentation</w:t>
      </w:r>
    </w:p>
    <w:p w:rsidR="0073293D" w:rsidRDefault="0073293D">
      <w:pPr>
        <w:ind w:left="720"/>
      </w:pPr>
    </w:p>
    <w:p w:rsidR="0073293D" w:rsidRDefault="00CC4FC6">
      <w:pPr>
        <w:ind w:left="720"/>
        <w:jc w:val="both"/>
      </w:pPr>
      <w:r>
        <w:rPr>
          <w:rFonts w:ascii="Arial" w:eastAsia="Arial" w:hAnsi="Arial" w:cs="Arial"/>
          <w:sz w:val="20"/>
        </w:rPr>
        <w:t>The unaudited condensed consolidated financial statements included herein have been prepared by the Company, pursuant to the rules and regulations of the Securities and Exchange Commission. Certain information and footnote disclosures normally included in financial statements prepared in accordance with accounting principles generally accepted in the United States have been condensed or omitted pursuant to such rules and regulations, although the Company believes that the disclosures are adequate to make the information presented not misleading. It is suggested that these unaudited condensed consolidated financial statements be read in conjunction with the financial statements and notes thereto included in the Company's 2017 annual report on Form 10-K.  In the opinion of management, the accompanying unaudited condensed consolidated financial statements contain all adjustments, consisting of only a normal and recurring nature, necessary to present fairly the financial position of the Company as of September 30, 2018, and the results of operations and cash flows for the interim periods presented.</w:t>
      </w:r>
    </w:p>
    <w:p w:rsidR="0073293D" w:rsidRDefault="0073293D">
      <w:pPr>
        <w:ind w:left="720"/>
        <w:jc w:val="both"/>
        <w:sectPr w:rsidR="0073293D">
          <w:type w:val="continuous"/>
          <w:pgSz w:w="12240" w:h="15840"/>
          <w:pgMar w:top="1620" w:right="990" w:bottom="900" w:left="990" w:header="270" w:footer="270" w:gutter="0"/>
          <w:cols w:space="720"/>
        </w:sectPr>
      </w:pPr>
    </w:p>
    <w:p w:rsidR="0073293D" w:rsidRDefault="0073293D">
      <w:pPr>
        <w:ind w:left="600"/>
      </w:pPr>
      <w:bookmarkStart w:id="11" w:name="Section11"/>
      <w:bookmarkEnd w:id="11"/>
    </w:p>
    <w:p w:rsidR="0073293D" w:rsidRDefault="00CC4FC6">
      <w:r>
        <w:rPr>
          <w:rFonts w:ascii="Arial" w:eastAsia="Arial" w:hAnsi="Arial" w:cs="Arial"/>
          <w:sz w:val="20"/>
        </w:rPr>
        <w:t>(2)</w:t>
      </w:r>
      <w:r>
        <w:rPr>
          <w:rFonts w:ascii="Arial" w:eastAsia="Arial" w:hAnsi="Arial" w:cs="Arial"/>
          <w:sz w:val="20"/>
        </w:rPr>
        <w:tab/>
        <w:t>Adoption of New Accounting Pronouncements</w:t>
      </w:r>
    </w:p>
    <w:p w:rsidR="0073293D" w:rsidRDefault="0073293D">
      <w:pPr>
        <w:ind w:left="720"/>
      </w:pPr>
    </w:p>
    <w:p w:rsidR="0073293D" w:rsidRDefault="00CC4FC6">
      <w:pPr>
        <w:ind w:left="720"/>
      </w:pPr>
      <w:r>
        <w:rPr>
          <w:rFonts w:ascii="Arial" w:eastAsia="Arial" w:hAnsi="Arial" w:cs="Arial"/>
          <w:color w:val="000000"/>
          <w:sz w:val="20"/>
          <w:u w:val="single"/>
        </w:rPr>
        <w:t>New Accounting Pronouncements Adopted in Fiscal Year 2018</w:t>
      </w:r>
    </w:p>
    <w:p w:rsidR="0073293D" w:rsidRDefault="0073293D">
      <w:pPr>
        <w:ind w:left="720"/>
      </w:pPr>
    </w:p>
    <w:p w:rsidR="0073293D" w:rsidRDefault="00CC4FC6">
      <w:pPr>
        <w:ind w:left="720"/>
        <w:rPr>
          <w:sz w:val="20"/>
        </w:rPr>
      </w:pPr>
      <w:r>
        <w:rPr>
          <w:rFonts w:ascii="Arial" w:eastAsia="Arial" w:hAnsi="Arial" w:cs="Arial"/>
          <w:sz w:val="20"/>
        </w:rPr>
        <w:t xml:space="preserve">Effective January 1, 2018, the Company adopted Accounting Standards Codification ("ASC") Topic 606, </w:t>
      </w:r>
      <w:r>
        <w:rPr>
          <w:rFonts w:ascii="Arial" w:eastAsia="Arial" w:hAnsi="Arial" w:cs="Arial"/>
          <w:i/>
          <w:sz w:val="20"/>
        </w:rPr>
        <w:t>Revenue from Contracts with Customers</w:t>
      </w:r>
      <w:r>
        <w:rPr>
          <w:rFonts w:ascii="Arial" w:eastAsia="Arial" w:hAnsi="Arial" w:cs="Arial"/>
          <w:sz w:val="20"/>
        </w:rPr>
        <w:t xml:space="preserve">, using the modified retrospective method as applied to customer contracts that were not completed as January 1, 2018. As a result, financial information for reporting periods beginning after January 1, 2018 are presented under ASC 606, while comparative financial information has not been adjusted and continues to be reported in accordance with the Company’s historical accounting policy for revenue recognition prior to the adoption of ASC 606. This guidance supersedes nearly all existing revenue recognition guidance under US GAAP. The core principle of the guidance is that an entity should recognize revenue when it transfers promised goods or services to customers in an amount that reflects the consideration to which the company expects to be entitled in exchange for those goods or services. In addition, Accounting Standards Update ("ASU") 2014-09 requires certain additional disclosures around the nature, amount, timing, and uncertainty of revenues and cash flows arising from contracts with customers.  The Company has documented its accounting policy for the new standard based on a detailed review of its business and contracts. Based on the new guidance, the Company continues to recognize revenue at a particular point in time for the majority of its contracts with customers, which is generally when products are either shipped or delivered, as customer contracts did not meet the criteria in ASC 606 for over-time revenue recognition, specifically the over-time revenue recognition criteria of creating an asset with no alternative use and having an enforceable right to payment for progress towards completion. Therefore, the adoption of ASC 606 did not have a material impact on the consolidated financial statements. The Company has expanded its consolidated financial statement disclosures in order to comply with the disclosure requirements of the ASU.  See </w:t>
      </w:r>
      <w:hyperlink w:anchor="Section23" w:history="1">
        <w:r>
          <w:rPr>
            <w:rFonts w:ascii="Arial" w:eastAsia="Arial" w:hAnsi="Arial" w:cs="Arial"/>
            <w:color w:val="0000FF"/>
            <w:sz w:val="20"/>
            <w:u w:val="single"/>
          </w:rPr>
          <w:t>Note 14</w:t>
        </w:r>
      </w:hyperlink>
      <w:r>
        <w:rPr>
          <w:rFonts w:ascii="Arial" w:eastAsia="Arial" w:hAnsi="Arial" w:cs="Arial"/>
          <w:sz w:val="20"/>
        </w:rPr>
        <w:t xml:space="preserve"> to the Unaudited Condensed Consolidated Financial Statements for additional disclosures regarding the Company’s revenue.</w:t>
      </w:r>
    </w:p>
    <w:p w:rsidR="0073293D" w:rsidRDefault="0073293D">
      <w:pPr>
        <w:ind w:left="720"/>
        <w:jc w:val="both"/>
        <w:rPr>
          <w:sz w:val="20"/>
        </w:rPr>
      </w:pPr>
    </w:p>
    <w:p w:rsidR="0073293D" w:rsidRDefault="00CC4FC6">
      <w:pPr>
        <w:ind w:left="720"/>
        <w:jc w:val="both"/>
        <w:rPr>
          <w:sz w:val="20"/>
        </w:rPr>
      </w:pPr>
      <w:r>
        <w:rPr>
          <w:rFonts w:ascii="Arial" w:eastAsia="Arial" w:hAnsi="Arial" w:cs="Arial"/>
          <w:sz w:val="20"/>
        </w:rPr>
        <w:t xml:space="preserve">Effective January 1, 2018, the Company adopted ASU 2016-01, </w:t>
      </w:r>
      <w:r>
        <w:rPr>
          <w:rFonts w:ascii="Arial" w:eastAsia="Arial" w:hAnsi="Arial" w:cs="Arial"/>
          <w:i/>
          <w:sz w:val="20"/>
        </w:rPr>
        <w:t>Recognition and Measurement of Financial Assets and Financial Liabilitie</w:t>
      </w:r>
      <w:r>
        <w:rPr>
          <w:rFonts w:ascii="Arial" w:eastAsia="Arial" w:hAnsi="Arial" w:cs="Arial"/>
          <w:sz w:val="20"/>
        </w:rPr>
        <w:t xml:space="preserve">s.  The standard amends various aspects of the recognition, measurement, presentation, and disclosure of financial instruments. The most significant impact to the Company's consolidated financial statements relates to the recognition and measurement of equity investments at fair value with changes recognized in net income.  The amendment also updates certain presentation and disclosure requirements.  The Company had a cumulative-effect adjustment in the first quarter of 2018 of approximately $6.6 million related to the reclassification of the net unrealized gain on available-for-sale securities as of January 1, 2018 from other comprehensive income to retained earnings due to the adoption of this guidance. </w:t>
      </w:r>
    </w:p>
    <w:p w:rsidR="0073293D" w:rsidRDefault="0073293D">
      <w:pPr>
        <w:ind w:left="720"/>
        <w:jc w:val="both"/>
        <w:rPr>
          <w:sz w:val="20"/>
        </w:rPr>
      </w:pPr>
    </w:p>
    <w:p w:rsidR="0073293D" w:rsidRDefault="0073293D">
      <w:pPr>
        <w:ind w:left="720"/>
        <w:jc w:val="both"/>
        <w:rPr>
          <w:sz w:val="20"/>
        </w:rPr>
      </w:pPr>
    </w:p>
    <w:p w:rsidR="0073293D" w:rsidRDefault="0073293D">
      <w:pPr>
        <w:ind w:left="720"/>
        <w:jc w:val="both"/>
        <w:rPr>
          <w:sz w:val="20"/>
        </w:rPr>
      </w:pPr>
    </w:p>
    <w:p w:rsidR="0073293D" w:rsidRDefault="0073293D">
      <w:pPr>
        <w:ind w:left="720"/>
        <w:jc w:val="both"/>
        <w:rPr>
          <w:sz w:val="20"/>
        </w:rPr>
      </w:pPr>
    </w:p>
    <w:p w:rsidR="0073293D" w:rsidRDefault="00CC4FC6">
      <w:pPr>
        <w:ind w:left="720"/>
        <w:jc w:val="both"/>
        <w:rPr>
          <w:sz w:val="20"/>
        </w:rPr>
      </w:pPr>
      <w:r>
        <w:rPr>
          <w:rFonts w:ascii="Arial" w:eastAsia="Arial" w:hAnsi="Arial" w:cs="Arial"/>
          <w:color w:val="000000"/>
          <w:sz w:val="20"/>
          <w:u w:val="single"/>
        </w:rPr>
        <w:t>New Accounting Pronouncements Not Yet Adopted</w:t>
      </w:r>
    </w:p>
    <w:p w:rsidR="0073293D" w:rsidRDefault="0073293D">
      <w:pPr>
        <w:ind w:left="720"/>
        <w:jc w:val="both"/>
        <w:rPr>
          <w:sz w:val="20"/>
        </w:rPr>
      </w:pPr>
    </w:p>
    <w:p w:rsidR="0073293D" w:rsidRDefault="00CC4FC6">
      <w:pPr>
        <w:ind w:left="720"/>
        <w:jc w:val="both"/>
        <w:rPr>
          <w:sz w:val="20"/>
        </w:rPr>
      </w:pPr>
      <w:r>
        <w:rPr>
          <w:rFonts w:ascii="Arial" w:eastAsia="Arial" w:hAnsi="Arial" w:cs="Arial"/>
          <w:sz w:val="20"/>
        </w:rPr>
        <w:t>In February 2016, the FASB issued ASU 2016-02,</w:t>
      </w:r>
      <w:r>
        <w:rPr>
          <w:rFonts w:ascii="Arial" w:eastAsia="Arial" w:hAnsi="Arial" w:cs="Arial"/>
          <w:i/>
          <w:sz w:val="20"/>
        </w:rPr>
        <w:t xml:space="preserve"> Leases</w:t>
      </w:r>
      <w:r>
        <w:rPr>
          <w:rFonts w:ascii="Arial" w:eastAsia="Arial" w:hAnsi="Arial" w:cs="Arial"/>
          <w:sz w:val="20"/>
        </w:rPr>
        <w:t>, which provides guidance for lease accounting. The new guidance contained in the ASU stipulates that lessees will need to recognize a right-of-use asset and a lease liability for substantially all leases (other than leases that meet the definition of a short-term lease). The liability will be equal to the present value of lease payments. Treatment in the consolidated statements of income will be similar to the current treatment of operating and capital leases. The new guidance is effective on a modified retrospective basis for the Company in the first quarter of its fiscal year ending December 31, 2019. The Company is currently in the process of evaluating the impact of adoption of this standard on its consolidated financial statements, including reviewing all of the available practical expedients for transition. Upon adoption, the Company does not anticipate a material impact on the Company's Consolidated Financial Statements.</w:t>
      </w:r>
    </w:p>
    <w:p w:rsidR="0073293D" w:rsidRDefault="0073293D">
      <w:pPr>
        <w:ind w:left="720"/>
        <w:jc w:val="both"/>
        <w:rPr>
          <w:sz w:val="20"/>
        </w:rPr>
      </w:pPr>
    </w:p>
    <w:p w:rsidR="0073293D" w:rsidRDefault="0073293D">
      <w:pPr>
        <w:ind w:left="720"/>
        <w:jc w:val="both"/>
        <w:rPr>
          <w:sz w:val="20"/>
        </w:rPr>
        <w:sectPr w:rsidR="0073293D">
          <w:type w:val="continuous"/>
          <w:pgSz w:w="12240" w:h="15840"/>
          <w:pgMar w:top="1620" w:right="990" w:bottom="900" w:left="990" w:header="270" w:footer="270" w:gutter="0"/>
          <w:cols w:space="720"/>
        </w:sectPr>
      </w:pPr>
    </w:p>
    <w:p w:rsidR="0073293D" w:rsidRDefault="0073293D">
      <w:bookmarkStart w:id="12" w:name="Section12"/>
      <w:bookmarkEnd w:id="12"/>
    </w:p>
    <w:p w:rsidR="0073293D" w:rsidRDefault="00CC4FC6">
      <w:r>
        <w:rPr>
          <w:rFonts w:ascii="Arial" w:eastAsia="Arial" w:hAnsi="Arial" w:cs="Arial"/>
          <w:sz w:val="20"/>
        </w:rPr>
        <w:t>(3)</w:t>
      </w:r>
      <w:r>
        <w:rPr>
          <w:rFonts w:ascii="Arial" w:eastAsia="Arial" w:hAnsi="Arial" w:cs="Arial"/>
          <w:sz w:val="20"/>
        </w:rPr>
        <w:tab/>
        <w:t>Goodwill and Other Intangible Assets</w:t>
      </w:r>
    </w:p>
    <w:p w:rsidR="0073293D" w:rsidRDefault="0073293D">
      <w:pPr>
        <w:ind w:left="720"/>
      </w:pPr>
    </w:p>
    <w:p w:rsidR="0073293D" w:rsidRDefault="00CC4FC6">
      <w:pPr>
        <w:ind w:left="720"/>
        <w:jc w:val="both"/>
      </w:pPr>
      <w:r>
        <w:rPr>
          <w:rFonts w:ascii="Arial" w:eastAsia="Arial" w:hAnsi="Arial" w:cs="Arial"/>
          <w:sz w:val="20"/>
        </w:rPr>
        <w:t>Goodwill represents the cost of an acquisition in excess of the fair values assigned to identifiable net assets acquired.  The Company recorded Goodwill of $307.4 million as part of the HomeLink</w:t>
      </w:r>
      <w:r>
        <w:rPr>
          <w:rFonts w:ascii="Arial" w:eastAsia="Arial" w:hAnsi="Arial" w:cs="Arial"/>
          <w:sz w:val="20"/>
          <w:vertAlign w:val="superscript"/>
        </w:rPr>
        <w:t xml:space="preserve">® </w:t>
      </w:r>
      <w:r>
        <w:rPr>
          <w:rFonts w:ascii="Arial" w:eastAsia="Arial" w:hAnsi="Arial" w:cs="Arial"/>
          <w:sz w:val="20"/>
        </w:rPr>
        <w:t>acquisition. The carrying value of Goodwill as of December 31, 2017 and September 30, 2018 was $307.4 million.</w:t>
      </w:r>
    </w:p>
    <w:p w:rsidR="0073293D" w:rsidRDefault="0073293D">
      <w:pPr>
        <w:ind w:left="720"/>
        <w:jc w:val="both"/>
      </w:pPr>
    </w:p>
    <w:p w:rsidR="0073293D" w:rsidRDefault="00CC4FC6">
      <w:pPr>
        <w:ind w:left="720"/>
        <w:jc w:val="both"/>
      </w:pPr>
      <w:r>
        <w:rPr>
          <w:rFonts w:ascii="Arial" w:eastAsia="Arial" w:hAnsi="Arial" w:cs="Arial"/>
          <w:sz w:val="20"/>
        </w:rPr>
        <w:t>In addition to annual impairment testing, which is performed as of the first day of the fourth quarter, the Company continuously monitors for events and circumstances that could negatively impact the key assumptions in determining fair value thus resulting in the need for interim impairment testing, including long-term revenue growth projections, profitability, discount rates, recent market valuations from transactions by comparable companies, volatility in the Company's market capitalization, and general industry, market and macroeconomic conditions.  No such events or circumstances in the most recently completed quarter indicated the need for interim impairment testing.</w:t>
      </w:r>
    </w:p>
    <w:p w:rsidR="0073293D" w:rsidRDefault="0073293D">
      <w:pPr>
        <w:ind w:left="720"/>
        <w:jc w:val="both"/>
      </w:pPr>
    </w:p>
    <w:p w:rsidR="0073293D" w:rsidRDefault="00CC4FC6">
      <w:pPr>
        <w:ind w:left="720"/>
        <w:jc w:val="both"/>
      </w:pPr>
      <w:r>
        <w:rPr>
          <w:rFonts w:ascii="Arial" w:eastAsia="Arial" w:hAnsi="Arial" w:cs="Arial"/>
          <w:sz w:val="20"/>
        </w:rPr>
        <w:t xml:space="preserve">The patents and intangible assets and related change in carrying values are set forth in the tables below: </w:t>
      </w:r>
    </w:p>
    <w:p w:rsidR="0073293D" w:rsidRDefault="0073293D">
      <w:pPr>
        <w:ind w:left="720"/>
        <w:jc w:val="both"/>
      </w:pPr>
    </w:p>
    <w:p w:rsidR="0073293D" w:rsidRDefault="00CC4FC6">
      <w:pPr>
        <w:ind w:left="720"/>
      </w:pPr>
      <w:r>
        <w:rPr>
          <w:rFonts w:ascii="Arial" w:eastAsia="Arial" w:hAnsi="Arial" w:cs="Arial"/>
          <w:sz w:val="20"/>
        </w:rPr>
        <w:t>As of September 30, 2018:</w:t>
      </w:r>
    </w:p>
    <w:p w:rsidR="0073293D" w:rsidRDefault="00CC4FC6">
      <w:pPr>
        <w:ind w:left="720"/>
      </w:pPr>
      <w:r>
        <w:rPr>
          <w:sz w:val="20"/>
        </w:rPr>
        <w:t xml:space="preserve">            </w:t>
      </w:r>
    </w:p>
    <w:tbl>
      <w:tblPr>
        <w:tblW w:w="94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218"/>
        <w:gridCol w:w="1341"/>
        <w:gridCol w:w="180"/>
        <w:gridCol w:w="1458"/>
        <w:gridCol w:w="180"/>
        <w:gridCol w:w="1283"/>
        <w:gridCol w:w="1076"/>
      </w:tblGrid>
      <w:tr w:rsidR="0073293D">
        <w:trPr>
          <w:trHeight w:hRule="exact" w:val="42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Other Intangible Assets</w:t>
            </w:r>
          </w:p>
        </w:tc>
        <w:tc>
          <w:tcPr>
            <w:tcW w:w="145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Gross</w:t>
            </w:r>
          </w:p>
        </w:tc>
        <w:tc>
          <w:tcPr>
            <w:tcW w:w="157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Accumulated Amortization</w:t>
            </w:r>
          </w:p>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Net</w:t>
            </w:r>
          </w:p>
        </w:tc>
        <w:tc>
          <w:tcPr>
            <w:tcW w:w="10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Assumed Useful Life</w:t>
            </w:r>
          </w:p>
        </w:tc>
      </w:tr>
      <w:tr w:rsidR="0073293D">
        <w:trPr>
          <w:trHeight w:hRule="exact" w:val="300"/>
        </w:trPr>
        <w:tc>
          <w:tcPr>
            <w:tcW w:w="402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Gentex Patents</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5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36,152,904</w:t>
            </w:r>
          </w:p>
        </w:tc>
        <w:tc>
          <w:tcPr>
            <w:tcW w:w="1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(20,336,961)</w:t>
            </w:r>
          </w:p>
        </w:tc>
        <w:tc>
          <w:tcPr>
            <w:tcW w:w="1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15,815,943</w:t>
            </w:r>
          </w:p>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various</w:t>
            </w:r>
          </w:p>
        </w:tc>
      </w:tr>
      <w:tr w:rsidR="0073293D">
        <w:trPr>
          <w:trHeight w:hRule="exact" w:val="300"/>
        </w:trPr>
        <w:tc>
          <w:tcPr>
            <w:tcW w:w="40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5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40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Other Intangible Assets</w:t>
            </w:r>
          </w:p>
        </w:tc>
        <w:tc>
          <w:tcPr>
            <w:tcW w:w="145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120" w:right="-120"/>
            </w:pPr>
            <w:r>
              <w:rPr>
                <w:rFonts w:ascii="Arial" w:eastAsia="Arial" w:hAnsi="Arial" w:cs="Arial"/>
                <w:sz w:val="20"/>
              </w:rPr>
              <w:t>HomeLink</w:t>
            </w:r>
            <w:r>
              <w:rPr>
                <w:rFonts w:ascii="Arial" w:eastAsia="Arial" w:hAnsi="Arial" w:cs="Arial"/>
                <w:sz w:val="20"/>
                <w:vertAlign w:val="superscript"/>
              </w:rPr>
              <w:t xml:space="preserve">® </w:t>
            </w:r>
            <w:r>
              <w:rPr>
                <w:rFonts w:ascii="Arial" w:eastAsia="Arial" w:hAnsi="Arial" w:cs="Arial"/>
                <w:sz w:val="20"/>
              </w:rPr>
              <w:t>Trade Names and Trademarks</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5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52,000,000</w:t>
            </w:r>
          </w:p>
        </w:tc>
        <w:tc>
          <w:tcPr>
            <w:tcW w:w="10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10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52,000,000</w:t>
            </w:r>
          </w:p>
        </w:tc>
        <w:tc>
          <w:tcPr>
            <w:tcW w:w="10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Indefinite</w:t>
            </w:r>
          </w:p>
        </w:tc>
      </w:tr>
      <w:tr w:rsidR="0073293D">
        <w:trPr>
          <w:trHeight w:hRule="exact" w:val="300"/>
        </w:trPr>
        <w:tc>
          <w:tcPr>
            <w:tcW w:w="40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HomeLink® Technology</w:t>
            </w:r>
          </w:p>
        </w:tc>
        <w:tc>
          <w:tcPr>
            <w:tcW w:w="145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180,000,000</w:t>
            </w:r>
          </w:p>
        </w:tc>
        <w:tc>
          <w:tcPr>
            <w:tcW w:w="1575" w:type="dxa"/>
            <w:gridSpan w:val="2"/>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sz w:val="20"/>
              </w:rPr>
              <w:t>(75,000,000)</w:t>
            </w:r>
          </w:p>
        </w:tc>
        <w:tc>
          <w:tcPr>
            <w:tcW w:w="1395" w:type="dxa"/>
            <w:gridSpan w:val="2"/>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105,000,000</w:t>
            </w: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center"/>
            </w:pPr>
            <w:r>
              <w:rPr>
                <w:rFonts w:ascii="Arial" w:eastAsia="Arial" w:hAnsi="Arial" w:cs="Arial"/>
                <w:color w:val="000000"/>
                <w:sz w:val="20"/>
              </w:rPr>
              <w:t>12 years</w:t>
            </w:r>
          </w:p>
        </w:tc>
      </w:tr>
      <w:tr w:rsidR="0073293D">
        <w:trPr>
          <w:trHeight w:hRule="exact" w:val="30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Existing Customer Platforms</w:t>
            </w:r>
          </w:p>
        </w:tc>
        <w:tc>
          <w:tcPr>
            <w:tcW w:w="145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43,000,000</w:t>
            </w:r>
          </w:p>
        </w:tc>
        <w:tc>
          <w:tcPr>
            <w:tcW w:w="1575" w:type="dxa"/>
            <w:gridSpan w:val="2"/>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(21,500,000)</w:t>
            </w:r>
          </w:p>
        </w:tc>
        <w:tc>
          <w:tcPr>
            <w:tcW w:w="1395" w:type="dxa"/>
            <w:gridSpan w:val="2"/>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21,500,000</w:t>
            </w:r>
          </w:p>
        </w:tc>
        <w:tc>
          <w:tcPr>
            <w:tcW w:w="10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color w:val="000000"/>
                <w:sz w:val="20"/>
              </w:rPr>
              <w:t>10 years</w:t>
            </w:r>
          </w:p>
        </w:tc>
      </w:tr>
      <w:tr w:rsidR="0073293D">
        <w:trPr>
          <w:trHeight w:hRule="exact" w:val="300"/>
        </w:trPr>
        <w:tc>
          <w:tcPr>
            <w:tcW w:w="40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Exclusive Licensing Agreement</w:t>
            </w:r>
          </w:p>
        </w:tc>
        <w:tc>
          <w:tcPr>
            <w:tcW w:w="145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96,000,000</w:t>
            </w:r>
          </w:p>
        </w:tc>
        <w:tc>
          <w:tcPr>
            <w:tcW w:w="1575" w:type="dxa"/>
            <w:gridSpan w:val="2"/>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1395" w:type="dxa"/>
            <w:gridSpan w:val="2"/>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96,000,000</w:t>
            </w: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Indefinite</w:t>
            </w:r>
          </w:p>
        </w:tc>
      </w:tr>
      <w:tr w:rsidR="0073293D">
        <w:trPr>
          <w:trHeight w:hRule="exact" w:val="30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 Other Intangible Assets</w:t>
            </w:r>
          </w:p>
        </w:tc>
        <w:tc>
          <w:tcPr>
            <w:tcW w:w="100"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5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371,000,000</w:t>
            </w:r>
          </w:p>
        </w:tc>
        <w:tc>
          <w:tcPr>
            <w:tcW w:w="100"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(96,500,000)</w:t>
            </w:r>
          </w:p>
        </w:tc>
        <w:tc>
          <w:tcPr>
            <w:tcW w:w="100"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274,500,000</w:t>
            </w:r>
          </w:p>
        </w:tc>
        <w:tc>
          <w:tcPr>
            <w:tcW w:w="10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40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5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0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 Patents &amp; Other Intangible Assets</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55"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407,152,904</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(116,836,961)</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290,315,943</w:t>
            </w:r>
          </w:p>
        </w:tc>
        <w:tc>
          <w:tcPr>
            <w:tcW w:w="10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bl>
    <w:p w:rsidR="0073293D" w:rsidRDefault="0073293D">
      <w:pPr>
        <w:spacing w:before="120"/>
        <w:ind w:left="720"/>
      </w:pPr>
    </w:p>
    <w:p w:rsidR="0073293D" w:rsidRDefault="0073293D">
      <w:pPr>
        <w:ind w:left="720"/>
        <w:jc w:val="both"/>
      </w:pPr>
    </w:p>
    <w:p w:rsidR="0073293D" w:rsidRDefault="0073293D">
      <w:pPr>
        <w:ind w:left="720"/>
        <w:jc w:val="both"/>
      </w:pPr>
    </w:p>
    <w:p w:rsidR="0073293D" w:rsidRDefault="0073293D">
      <w:pPr>
        <w:ind w:left="720"/>
        <w:jc w:val="both"/>
      </w:pPr>
    </w:p>
    <w:p w:rsidR="0073293D" w:rsidRDefault="0073293D">
      <w:pPr>
        <w:ind w:left="720"/>
        <w:jc w:val="both"/>
      </w:pPr>
    </w:p>
    <w:p w:rsidR="0073293D" w:rsidRDefault="0073293D">
      <w:pPr>
        <w:ind w:left="720"/>
        <w:jc w:val="both"/>
      </w:pPr>
    </w:p>
    <w:p w:rsidR="0073293D" w:rsidRDefault="0073293D">
      <w:pPr>
        <w:ind w:left="720"/>
        <w:jc w:val="both"/>
      </w:pPr>
    </w:p>
    <w:p w:rsidR="0073293D" w:rsidRDefault="0073293D">
      <w:pPr>
        <w:ind w:left="720"/>
        <w:jc w:val="both"/>
      </w:pPr>
    </w:p>
    <w:p w:rsidR="0073293D" w:rsidRDefault="00CC4FC6">
      <w:pPr>
        <w:ind w:left="720"/>
        <w:jc w:val="both"/>
      </w:pPr>
      <w:r>
        <w:rPr>
          <w:rFonts w:ascii="Arial" w:eastAsia="Arial" w:hAnsi="Arial" w:cs="Arial"/>
          <w:sz w:val="20"/>
        </w:rPr>
        <w:t>As of December 31, 2017:</w:t>
      </w:r>
    </w:p>
    <w:tbl>
      <w:tblPr>
        <w:tblW w:w="95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218"/>
        <w:gridCol w:w="1330"/>
        <w:gridCol w:w="180"/>
        <w:gridCol w:w="1338"/>
        <w:gridCol w:w="180"/>
        <w:gridCol w:w="1327"/>
        <w:gridCol w:w="1149"/>
      </w:tblGrid>
      <w:tr w:rsidR="0073293D">
        <w:trPr>
          <w:trHeight w:hRule="exact" w:val="42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Other Intangible Assets</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Gross</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Accumulated Amortization</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Net</w:t>
            </w:r>
          </w:p>
        </w:tc>
        <w:tc>
          <w:tcPr>
            <w:tcW w:w="11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Assumed Useful Life</w:t>
            </w:r>
          </w:p>
        </w:tc>
      </w:tr>
      <w:tr w:rsidR="0073293D">
        <w:trPr>
          <w:trHeight w:hRule="exact" w:val="300"/>
        </w:trPr>
        <w:tc>
          <w:tcPr>
            <w:tcW w:w="402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Gentex Patents</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34,847,029</w:t>
            </w:r>
          </w:p>
        </w:tc>
        <w:tc>
          <w:tcPr>
            <w:tcW w:w="1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(18,943,554)</w:t>
            </w:r>
          </w:p>
        </w:tc>
        <w:tc>
          <w:tcPr>
            <w:tcW w:w="1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15,903,475</w:t>
            </w:r>
          </w:p>
        </w:tc>
        <w:tc>
          <w:tcPr>
            <w:tcW w:w="117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various</w:t>
            </w:r>
          </w:p>
        </w:tc>
      </w:tr>
      <w:tr w:rsidR="0073293D">
        <w:trPr>
          <w:trHeight w:hRule="exact" w:val="300"/>
        </w:trPr>
        <w:tc>
          <w:tcPr>
            <w:tcW w:w="40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17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40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HomeLink® Trade Names and Trademarks</w:t>
            </w: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52,000,000</w:t>
            </w:r>
          </w:p>
        </w:tc>
        <w:tc>
          <w:tcPr>
            <w:tcW w:w="10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10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52,000,000</w:t>
            </w:r>
          </w:p>
        </w:tc>
        <w:tc>
          <w:tcPr>
            <w:tcW w:w="11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Indefinite</w:t>
            </w:r>
          </w:p>
        </w:tc>
      </w:tr>
      <w:tr w:rsidR="0073293D">
        <w:trPr>
          <w:trHeight w:hRule="exact" w:val="30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HomeLink® Technology</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180,000,000</w:t>
            </w:r>
          </w:p>
        </w:tc>
        <w:tc>
          <w:tcPr>
            <w:tcW w:w="1440" w:type="dxa"/>
            <w:gridSpan w:val="2"/>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(63,750,000)</w:t>
            </w:r>
          </w:p>
        </w:tc>
        <w:tc>
          <w:tcPr>
            <w:tcW w:w="1440" w:type="dxa"/>
            <w:gridSpan w:val="2"/>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116,250,000</w:t>
            </w:r>
          </w:p>
        </w:tc>
        <w:tc>
          <w:tcPr>
            <w:tcW w:w="11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color w:val="000000"/>
                <w:sz w:val="20"/>
              </w:rPr>
              <w:t>12 years</w:t>
            </w:r>
          </w:p>
        </w:tc>
      </w:tr>
      <w:tr w:rsidR="0073293D">
        <w:trPr>
          <w:trHeight w:hRule="exact" w:val="300"/>
        </w:trPr>
        <w:tc>
          <w:tcPr>
            <w:tcW w:w="40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Existing Customer Platforms</w:t>
            </w:r>
          </w:p>
        </w:tc>
        <w:tc>
          <w:tcPr>
            <w:tcW w:w="14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43,000,000</w:t>
            </w:r>
          </w:p>
        </w:tc>
        <w:tc>
          <w:tcPr>
            <w:tcW w:w="1440" w:type="dxa"/>
            <w:gridSpan w:val="2"/>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(18,275,000)</w:t>
            </w:r>
          </w:p>
        </w:tc>
        <w:tc>
          <w:tcPr>
            <w:tcW w:w="1440" w:type="dxa"/>
            <w:gridSpan w:val="2"/>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24,725,000</w:t>
            </w:r>
          </w:p>
        </w:tc>
        <w:tc>
          <w:tcPr>
            <w:tcW w:w="11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center"/>
            </w:pPr>
            <w:r>
              <w:rPr>
                <w:rFonts w:ascii="Arial" w:eastAsia="Arial" w:hAnsi="Arial" w:cs="Arial"/>
                <w:color w:val="000000"/>
                <w:sz w:val="20"/>
              </w:rPr>
              <w:t>10 years</w:t>
            </w:r>
          </w:p>
        </w:tc>
      </w:tr>
      <w:tr w:rsidR="0073293D">
        <w:trPr>
          <w:trHeight w:hRule="exact" w:val="300"/>
        </w:trPr>
        <w:tc>
          <w:tcPr>
            <w:tcW w:w="40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Exclusive Licensing Agreement</w:t>
            </w:r>
          </w:p>
        </w:tc>
        <w:tc>
          <w:tcPr>
            <w:tcW w:w="14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96,000,000</w:t>
            </w:r>
          </w:p>
        </w:tc>
        <w:tc>
          <w:tcPr>
            <w:tcW w:w="1440" w:type="dxa"/>
            <w:gridSpan w:val="2"/>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1440" w:type="dxa"/>
            <w:gridSpan w:val="2"/>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96,000,000</w:t>
            </w:r>
          </w:p>
        </w:tc>
        <w:tc>
          <w:tcPr>
            <w:tcW w:w="11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Indefinite</w:t>
            </w:r>
          </w:p>
        </w:tc>
      </w:tr>
      <w:tr w:rsidR="0073293D">
        <w:trPr>
          <w:trHeight w:hRule="exact" w:val="300"/>
        </w:trPr>
        <w:tc>
          <w:tcPr>
            <w:tcW w:w="40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Total other identifiable intangible assets</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371,000,000</w:t>
            </w:r>
          </w:p>
        </w:tc>
        <w:tc>
          <w:tcPr>
            <w:tcW w:w="1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(82,025,000)</w:t>
            </w:r>
          </w:p>
        </w:tc>
        <w:tc>
          <w:tcPr>
            <w:tcW w:w="1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288,975,000</w:t>
            </w:r>
          </w:p>
        </w:tc>
        <w:tc>
          <w:tcPr>
            <w:tcW w:w="11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40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doub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doub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440" w:type="dxa"/>
            <w:gridSpan w:val="2"/>
            <w:tcBorders>
              <w:top w:val="doub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17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40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color w:val="000000"/>
                <w:sz w:val="20"/>
              </w:rPr>
              <w:t>Total Patents &amp; Other Intangible Assets</w:t>
            </w:r>
          </w:p>
        </w:tc>
        <w:tc>
          <w:tcPr>
            <w:tcW w:w="10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405,847,029</w:t>
            </w:r>
          </w:p>
        </w:tc>
        <w:tc>
          <w:tcPr>
            <w:tcW w:w="100"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(100,968,554)</w:t>
            </w:r>
          </w:p>
        </w:tc>
        <w:tc>
          <w:tcPr>
            <w:tcW w:w="100"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73293D" w:rsidRDefault="00CC4FC6">
            <w:r>
              <w:rPr>
                <w:rFonts w:ascii="Arial" w:eastAsia="Arial" w:hAnsi="Arial" w:cs="Arial"/>
                <w:color w:val="000000"/>
                <w:sz w:val="20"/>
              </w:rPr>
              <w:t>$</w:t>
            </w:r>
          </w:p>
        </w:tc>
        <w:tc>
          <w:tcPr>
            <w:tcW w:w="1340"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304,878,475</w:t>
            </w:r>
          </w:p>
        </w:tc>
        <w:tc>
          <w:tcPr>
            <w:tcW w:w="11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bl>
    <w:p w:rsidR="0073293D" w:rsidRDefault="0073293D">
      <w:pPr>
        <w:spacing w:before="120"/>
        <w:ind w:left="720"/>
        <w:jc w:val="both"/>
      </w:pPr>
    </w:p>
    <w:p w:rsidR="0073293D" w:rsidRDefault="00CC4FC6">
      <w:pPr>
        <w:ind w:left="720"/>
        <w:jc w:val="both"/>
      </w:pPr>
      <w:r>
        <w:rPr>
          <w:rFonts w:ascii="Arial" w:eastAsia="Arial" w:hAnsi="Arial" w:cs="Arial"/>
          <w:sz w:val="20"/>
        </w:rPr>
        <w:t>Amortization expense on patents and intangible assets was approximately $5.6 million and $16.9 million during the three and nine month periods ended September 30, 2018, respectively, compared to approximately $5.6 million and $16.9 million for the same periods ended September 30, 2017, respectively.</w:t>
      </w:r>
    </w:p>
    <w:p w:rsidR="0073293D" w:rsidRDefault="0073293D">
      <w:pPr>
        <w:ind w:left="720"/>
        <w:jc w:val="both"/>
      </w:pPr>
    </w:p>
    <w:p w:rsidR="0073293D" w:rsidRDefault="00CC4FC6">
      <w:pPr>
        <w:ind w:left="720"/>
        <w:jc w:val="both"/>
      </w:pPr>
      <w:r>
        <w:rPr>
          <w:rFonts w:ascii="Arial" w:eastAsia="Arial" w:hAnsi="Arial" w:cs="Arial"/>
          <w:sz w:val="20"/>
        </w:rPr>
        <w:t>Excluding the impact of any future acquisitions, the Company continues to estimate amortization expense for each of the years ended December 31, 2018, 2019, 2020, 2021, and 2022 to be approximately $22 million  annually.</w:t>
      </w:r>
    </w:p>
    <w:p w:rsidR="0073293D" w:rsidRDefault="0073293D">
      <w:pPr>
        <w:ind w:left="720"/>
        <w:jc w:val="both"/>
        <w:sectPr w:rsidR="0073293D">
          <w:type w:val="continuous"/>
          <w:pgSz w:w="12240" w:h="15840"/>
          <w:pgMar w:top="1620" w:right="990" w:bottom="900" w:left="990" w:header="270" w:footer="270" w:gutter="0"/>
          <w:cols w:space="720"/>
        </w:sectPr>
      </w:pPr>
    </w:p>
    <w:p w:rsidR="0073293D" w:rsidRDefault="0073293D">
      <w:pPr>
        <w:ind w:left="720"/>
      </w:pPr>
      <w:bookmarkStart w:id="13" w:name="Section13"/>
      <w:bookmarkEnd w:id="13"/>
    </w:p>
    <w:p w:rsidR="0073293D" w:rsidRDefault="00CC4FC6">
      <w:r>
        <w:rPr>
          <w:rFonts w:ascii="Arial" w:eastAsia="Arial" w:hAnsi="Arial" w:cs="Arial"/>
          <w:sz w:val="20"/>
        </w:rPr>
        <w:t>(4)</w:t>
      </w:r>
      <w:r>
        <w:rPr>
          <w:rFonts w:ascii="Arial" w:eastAsia="Arial" w:hAnsi="Arial" w:cs="Arial"/>
          <w:sz w:val="20"/>
        </w:rPr>
        <w:tab/>
        <w:t>Investments</w:t>
      </w:r>
    </w:p>
    <w:p w:rsidR="0073293D" w:rsidRDefault="00CC4FC6">
      <w:pPr>
        <w:spacing w:before="160"/>
        <w:ind w:left="720"/>
        <w:jc w:val="both"/>
      </w:pPr>
      <w:r>
        <w:rPr>
          <w:rFonts w:ascii="Arial" w:eastAsia="Arial" w:hAnsi="Arial" w:cs="Arial"/>
          <w:sz w:val="20"/>
        </w:rPr>
        <w:t>The Company follows the provisions of ASC 820, “Fair Value Measurements and Disclosures” for its financial assets and liabilities, and for its non-financial assets and liabilities subject to fair value measurements. ASC 820 provides a framework for measuring the fair value of assets and liabilities. This framework is intended to provide increased consistency in how fair value determinations are made under various existing accounting standards that permit, or in some cases, require estimates of fair-market value. This standard also expanded financial statement disclosure requirements about a company’s use of fair-value measurements, including the effect of such measurement on earnings.  The cost of securities sold is based on the specific identification method.</w:t>
      </w:r>
    </w:p>
    <w:p w:rsidR="0073293D" w:rsidRDefault="00CC4FC6">
      <w:pPr>
        <w:spacing w:before="160"/>
        <w:ind w:left="720"/>
        <w:jc w:val="both"/>
      </w:pPr>
      <w:r>
        <w:rPr>
          <w:rFonts w:ascii="Arial" w:eastAsia="Arial" w:hAnsi="Arial" w:cs="Arial"/>
          <w:sz w:val="20"/>
        </w:rPr>
        <w:t xml:space="preserve">The Company’s investments in common stock are stated at fair value based on quoted market prices, and as such are classified as Level 1 assets.  The Company determines the fair value of its government securities and corporate bonds by utilizing monthly valuation statements that are provided by its broker.  The broker determines the investment valuation by utilizing the bid price in the market and also refers to third party sources to validate valuations, and as such are classified as Level 2 assets.  </w:t>
      </w:r>
    </w:p>
    <w:p w:rsidR="0073293D" w:rsidRDefault="00CC4FC6">
      <w:pPr>
        <w:spacing w:before="160"/>
        <w:ind w:left="720"/>
        <w:jc w:val="both"/>
      </w:pPr>
      <w:r>
        <w:rPr>
          <w:rFonts w:ascii="Arial" w:eastAsia="Arial" w:hAnsi="Arial" w:cs="Arial"/>
          <w:sz w:val="20"/>
        </w:rPr>
        <w:t>The Company's certificates of deposit have remaining maturities of less than one year and are considered as Level 1 assets.  These investments are carried at cost, which approximates fair value.</w:t>
      </w:r>
    </w:p>
    <w:p w:rsidR="0073293D" w:rsidRDefault="0073293D">
      <w:pPr>
        <w:ind w:left="720"/>
      </w:pPr>
    </w:p>
    <w:p w:rsidR="0073293D" w:rsidRDefault="00CC4FC6">
      <w:pPr>
        <w:ind w:left="720"/>
        <w:jc w:val="both"/>
      </w:pPr>
      <w:r>
        <w:rPr>
          <w:rFonts w:ascii="Arial" w:eastAsia="Arial" w:hAnsi="Arial" w:cs="Arial"/>
          <w:sz w:val="20"/>
        </w:rPr>
        <w:t>During the year ended December 31, 2017, the Company made technology investments in certain non-consolidated third- parties for ownership interests of less than 20%.  These investments do not have readily determinable fair values, and the Company has not identified any observable events that would cause adjustment of the valuation to date, and therefore these investments are held at cost at a total of $3.2 million as of September 30, 2018.  These investments are classified within Long-Term Investments in the consolidated balance sheet. </w:t>
      </w:r>
    </w:p>
    <w:p w:rsidR="0073293D" w:rsidRDefault="00CC4FC6">
      <w:pPr>
        <w:spacing w:before="160"/>
        <w:ind w:left="720"/>
        <w:jc w:val="both"/>
      </w:pPr>
      <w:r>
        <w:rPr>
          <w:rFonts w:ascii="Arial" w:eastAsia="Arial" w:hAnsi="Arial" w:cs="Arial"/>
          <w:sz w:val="20"/>
        </w:rPr>
        <w:t>Assets or liabilities that have recurring fair value measurements are shown below as of September 30, 2018 and December 31, 2017:</w:t>
      </w:r>
    </w:p>
    <w:p w:rsidR="0073293D" w:rsidRDefault="0073293D">
      <w:pPr>
        <w:spacing w:before="160"/>
        <w:ind w:left="720"/>
        <w:jc w:val="both"/>
      </w:pPr>
    </w:p>
    <w:p w:rsidR="0073293D" w:rsidRDefault="0073293D">
      <w:pPr>
        <w:spacing w:before="100"/>
        <w:ind w:left="720"/>
      </w:pPr>
    </w:p>
    <w:p w:rsidR="0073293D" w:rsidRDefault="0073293D">
      <w:pPr>
        <w:spacing w:before="100"/>
        <w:ind w:left="720"/>
      </w:pPr>
    </w:p>
    <w:p w:rsidR="0073293D" w:rsidRDefault="00CC4FC6">
      <w:pPr>
        <w:spacing w:before="100" w:after="100"/>
        <w:ind w:left="720"/>
      </w:pPr>
      <w:r>
        <w:rPr>
          <w:rFonts w:ascii="Arial" w:eastAsia="Arial" w:hAnsi="Arial" w:cs="Arial"/>
          <w:sz w:val="20"/>
        </w:rPr>
        <w:t>As of September 30, 2018</w:t>
      </w:r>
    </w:p>
    <w:tbl>
      <w:tblPr>
        <w:tblW w:w="94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18"/>
        <w:gridCol w:w="1581"/>
        <w:gridCol w:w="112"/>
        <w:gridCol w:w="218"/>
        <w:gridCol w:w="1460"/>
        <w:gridCol w:w="119"/>
        <w:gridCol w:w="112"/>
        <w:gridCol w:w="1280"/>
        <w:gridCol w:w="132"/>
        <w:gridCol w:w="112"/>
        <w:gridCol w:w="1145"/>
      </w:tblGrid>
      <w:tr w:rsidR="0073293D">
        <w:trPr>
          <w:trHeight w:hRule="exact" w:val="240"/>
          <w:tblHeader/>
        </w:trPr>
        <w:tc>
          <w:tcPr>
            <w:tcW w:w="324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74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4455" w:type="dxa"/>
            <w:gridSpan w:val="8"/>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Fair Value Measurements at Reporting Date Using</w:t>
            </w:r>
          </w:p>
        </w:tc>
      </w:tr>
      <w:tr w:rsidR="0073293D">
        <w:trPr>
          <w:trHeight w:hRule="exact" w:val="570"/>
          <w:tblHeader/>
        </w:trPr>
        <w:tc>
          <w:tcPr>
            <w:tcW w:w="324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7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Total as of</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Quoted Prices in</w:t>
            </w:r>
          </w:p>
          <w:p w:rsidR="0073293D" w:rsidRDefault="00CC4FC6">
            <w:pPr>
              <w:jc w:val="center"/>
            </w:pPr>
            <w:r>
              <w:rPr>
                <w:rFonts w:ascii="Arial" w:eastAsia="Arial" w:hAnsi="Arial" w:cs="Arial"/>
                <w:b/>
                <w:sz w:val="16"/>
              </w:rPr>
              <w:t>Active Markets for</w:t>
            </w:r>
          </w:p>
          <w:p w:rsidR="0073293D" w:rsidRDefault="00CC4FC6">
            <w:pPr>
              <w:spacing w:after="10"/>
              <w:jc w:val="center"/>
            </w:pPr>
            <w:r>
              <w:rPr>
                <w:rFonts w:ascii="Arial" w:eastAsia="Arial" w:hAnsi="Arial" w:cs="Arial"/>
                <w:b/>
                <w:sz w:val="16"/>
              </w:rPr>
              <w:t>Identical Assets</w:t>
            </w:r>
          </w:p>
        </w:tc>
        <w:tc>
          <w:tcPr>
            <w:tcW w:w="12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Significant </w:t>
            </w:r>
          </w:p>
          <w:p w:rsidR="0073293D" w:rsidRDefault="00CC4FC6">
            <w:pPr>
              <w:jc w:val="center"/>
            </w:pPr>
            <w:r>
              <w:rPr>
                <w:rFonts w:ascii="Arial" w:eastAsia="Arial" w:hAnsi="Arial" w:cs="Arial"/>
                <w:b/>
                <w:sz w:val="16"/>
              </w:rPr>
              <w:t>Other</w:t>
            </w:r>
          </w:p>
          <w:p w:rsidR="0073293D" w:rsidRDefault="00CC4FC6">
            <w:pPr>
              <w:spacing w:after="10"/>
              <w:jc w:val="center"/>
            </w:pPr>
            <w:r>
              <w:rPr>
                <w:rFonts w:ascii="Arial" w:eastAsia="Arial" w:hAnsi="Arial" w:cs="Arial"/>
                <w:b/>
                <w:sz w:val="16"/>
              </w:rPr>
              <w:t>Observable</w:t>
            </w:r>
          </w:p>
        </w:tc>
        <w:tc>
          <w:tcPr>
            <w:tcW w:w="13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26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Significant</w:t>
            </w:r>
          </w:p>
          <w:p w:rsidR="0073293D" w:rsidRDefault="00CC4FC6">
            <w:pPr>
              <w:jc w:val="center"/>
            </w:pPr>
            <w:r>
              <w:rPr>
                <w:rFonts w:ascii="Arial" w:eastAsia="Arial" w:hAnsi="Arial" w:cs="Arial"/>
                <w:b/>
                <w:sz w:val="16"/>
              </w:rPr>
              <w:t>Unobservable</w:t>
            </w:r>
          </w:p>
          <w:p w:rsidR="0073293D" w:rsidRDefault="00CC4FC6">
            <w:pPr>
              <w:spacing w:after="10"/>
              <w:jc w:val="center"/>
            </w:pPr>
            <w:r>
              <w:rPr>
                <w:rFonts w:ascii="Arial" w:eastAsia="Arial" w:hAnsi="Arial" w:cs="Arial"/>
                <w:b/>
                <w:sz w:val="16"/>
              </w:rPr>
              <w:t>Inputs</w:t>
            </w:r>
          </w:p>
        </w:tc>
      </w:tr>
      <w:tr w:rsidR="0073293D">
        <w:trPr>
          <w:trHeight w:hRule="exact" w:val="240"/>
          <w:tblHeader/>
        </w:trPr>
        <w:tc>
          <w:tcPr>
            <w:tcW w:w="32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Description</w:t>
            </w:r>
          </w:p>
        </w:tc>
        <w:tc>
          <w:tcPr>
            <w:tcW w:w="174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September 30, 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(Level 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(Level 2)</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6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(Level 3)</w:t>
            </w:r>
          </w:p>
        </w:tc>
      </w:tr>
      <w:tr w:rsidR="0073293D">
        <w:trPr>
          <w:trHeight w:hRule="exact" w:val="270"/>
        </w:trPr>
        <w:tc>
          <w:tcPr>
            <w:tcW w:w="324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Cash &amp; Cash Equivalents</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64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194,017,041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194,017,041</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1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Short-Term Investments:</w:t>
            </w:r>
          </w:p>
        </w:tc>
        <w:tc>
          <w:tcPr>
            <w:tcW w:w="174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3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26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270"/>
        </w:trPr>
        <w:tc>
          <w:tcPr>
            <w:tcW w:w="32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Certificate of Deposit</w:t>
            </w:r>
          </w:p>
        </w:tc>
        <w:tc>
          <w:tcPr>
            <w:tcW w:w="17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130,000,000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130,000,000</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Corporate Bonds</w:t>
            </w:r>
          </w:p>
        </w:tc>
        <w:tc>
          <w:tcPr>
            <w:tcW w:w="17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4,994,018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4,994,018</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55"/>
        </w:trPr>
        <w:tc>
          <w:tcPr>
            <w:tcW w:w="32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20" w:after="20"/>
              <w:ind w:left="240"/>
            </w:pPr>
            <w:r>
              <w:rPr>
                <w:rFonts w:ascii="Arial" w:eastAsia="Arial" w:hAnsi="Arial" w:cs="Arial"/>
                <w:sz w:val="20"/>
              </w:rPr>
              <w:t>Government Securities</w:t>
            </w:r>
          </w:p>
        </w:tc>
        <w:tc>
          <w:tcPr>
            <w:tcW w:w="17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6,691,949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6,691,949</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w:t>
            </w:r>
          </w:p>
        </w:tc>
        <w:tc>
          <w:tcPr>
            <w:tcW w:w="17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1,937,574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1,937,574</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pPr>
            <w:r>
              <w:rPr>
                <w:rFonts w:ascii="Arial" w:eastAsia="Arial" w:hAnsi="Arial" w:cs="Arial"/>
                <w:sz w:val="20"/>
              </w:rPr>
              <w:t>Long-Term Investments:</w:t>
            </w:r>
          </w:p>
        </w:tc>
        <w:tc>
          <w:tcPr>
            <w:tcW w:w="174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26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270"/>
        </w:trPr>
        <w:tc>
          <w:tcPr>
            <w:tcW w:w="32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Corporate Bonds</w:t>
            </w:r>
          </w:p>
        </w:tc>
        <w:tc>
          <w:tcPr>
            <w:tcW w:w="17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62,393,073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62,393,073</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Government Securities</w:t>
            </w:r>
          </w:p>
        </w:tc>
        <w:tc>
          <w:tcPr>
            <w:tcW w:w="174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58,331,619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58,331,619</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Common Stocks</w:t>
            </w:r>
          </w:p>
        </w:tc>
        <w:tc>
          <w:tcPr>
            <w:tcW w:w="174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40,000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40,000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Municipal Bonds</w:t>
            </w: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6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17,666,818</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73293D">
            <w:pPr>
              <w:spacing w:before="55" w:after="10"/>
            </w:pP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46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17,666,818</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16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24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Total</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64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476,072,092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6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343,661,433</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132,410,659</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16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bl>
    <w:p w:rsidR="0073293D" w:rsidRDefault="0073293D">
      <w:pPr>
        <w:spacing w:before="120"/>
        <w:ind w:left="720"/>
      </w:pPr>
    </w:p>
    <w:p w:rsidR="0073293D" w:rsidRDefault="00CC4FC6">
      <w:pPr>
        <w:spacing w:before="100" w:after="100"/>
        <w:ind w:left="720"/>
      </w:pPr>
      <w:r>
        <w:rPr>
          <w:rFonts w:ascii="Arial" w:eastAsia="Arial" w:hAnsi="Arial" w:cs="Arial"/>
          <w:sz w:val="20"/>
        </w:rPr>
        <w:t>As of December 31, 2017</w:t>
      </w:r>
    </w:p>
    <w:tbl>
      <w:tblPr>
        <w:tblW w:w="94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218"/>
        <w:gridCol w:w="1663"/>
        <w:gridCol w:w="70"/>
        <w:gridCol w:w="112"/>
        <w:gridCol w:w="1460"/>
        <w:gridCol w:w="120"/>
        <w:gridCol w:w="112"/>
        <w:gridCol w:w="1280"/>
        <w:gridCol w:w="120"/>
        <w:gridCol w:w="112"/>
        <w:gridCol w:w="1166"/>
      </w:tblGrid>
      <w:tr w:rsidR="0073293D">
        <w:trPr>
          <w:trHeight w:hRule="exact" w:val="255"/>
          <w:tblHeader/>
        </w:trPr>
        <w:tc>
          <w:tcPr>
            <w:tcW w:w="3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4455" w:type="dxa"/>
            <w:gridSpan w:val="8"/>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Fair Value Measurements at Reporting Date Using</w:t>
            </w:r>
          </w:p>
        </w:tc>
      </w:tr>
      <w:tr w:rsidR="0073293D">
        <w:trPr>
          <w:trHeight w:hRule="exact" w:val="720"/>
          <w:tblHeader/>
        </w:trPr>
        <w:tc>
          <w:tcPr>
            <w:tcW w:w="3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Total as of</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Quoted Prices in</w:t>
            </w:r>
          </w:p>
          <w:p w:rsidR="0073293D" w:rsidRDefault="00CC4FC6">
            <w:pPr>
              <w:jc w:val="center"/>
            </w:pPr>
            <w:r>
              <w:rPr>
                <w:rFonts w:ascii="Arial" w:eastAsia="Arial" w:hAnsi="Arial" w:cs="Arial"/>
                <w:b/>
                <w:sz w:val="16"/>
              </w:rPr>
              <w:t>Active Markets for</w:t>
            </w:r>
          </w:p>
          <w:p w:rsidR="0073293D" w:rsidRDefault="00CC4FC6">
            <w:pPr>
              <w:spacing w:after="10"/>
              <w:jc w:val="center"/>
            </w:pPr>
            <w:r>
              <w:rPr>
                <w:rFonts w:ascii="Arial" w:eastAsia="Arial" w:hAnsi="Arial" w:cs="Arial"/>
                <w:b/>
                <w:sz w:val="16"/>
              </w:rPr>
              <w:t>Identical Assets</w:t>
            </w:r>
          </w:p>
        </w:tc>
        <w:tc>
          <w:tcPr>
            <w:tcW w:w="12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Significant Other</w:t>
            </w:r>
          </w:p>
          <w:p w:rsidR="0073293D" w:rsidRDefault="00CC4FC6">
            <w:pPr>
              <w:jc w:val="center"/>
            </w:pPr>
            <w:r>
              <w:rPr>
                <w:rFonts w:ascii="Arial" w:eastAsia="Arial" w:hAnsi="Arial" w:cs="Arial"/>
                <w:b/>
                <w:sz w:val="16"/>
              </w:rPr>
              <w:t>Observable</w:t>
            </w:r>
          </w:p>
          <w:p w:rsidR="0073293D" w:rsidRDefault="00CC4FC6">
            <w:pPr>
              <w:spacing w:after="10"/>
              <w:jc w:val="center"/>
            </w:pPr>
            <w:r>
              <w:rPr>
                <w:rFonts w:ascii="Arial" w:eastAsia="Arial" w:hAnsi="Arial" w:cs="Arial"/>
                <w:b/>
                <w:sz w:val="16"/>
              </w:rPr>
              <w:t>Inputs</w:t>
            </w:r>
          </w:p>
        </w:tc>
        <w:tc>
          <w:tcPr>
            <w:tcW w:w="12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Significant</w:t>
            </w:r>
          </w:p>
          <w:p w:rsidR="0073293D" w:rsidRDefault="00CC4FC6">
            <w:pPr>
              <w:jc w:val="center"/>
            </w:pPr>
            <w:r>
              <w:rPr>
                <w:rFonts w:ascii="Arial" w:eastAsia="Arial" w:hAnsi="Arial" w:cs="Arial"/>
                <w:b/>
                <w:sz w:val="16"/>
              </w:rPr>
              <w:t>Unobservable</w:t>
            </w:r>
          </w:p>
          <w:p w:rsidR="0073293D" w:rsidRDefault="00CC4FC6">
            <w:pPr>
              <w:spacing w:after="10"/>
              <w:jc w:val="center"/>
            </w:pPr>
            <w:r>
              <w:rPr>
                <w:rFonts w:ascii="Arial" w:eastAsia="Arial" w:hAnsi="Arial" w:cs="Arial"/>
                <w:b/>
                <w:sz w:val="16"/>
              </w:rPr>
              <w:t>Inputs</w:t>
            </w:r>
          </w:p>
        </w:tc>
      </w:tr>
      <w:tr w:rsidR="0073293D">
        <w:trPr>
          <w:trHeight w:hRule="exact" w:val="255"/>
          <w:tblHeader/>
        </w:trPr>
        <w:tc>
          <w:tcPr>
            <w:tcW w:w="318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Description</w:t>
            </w:r>
          </w:p>
        </w:tc>
        <w:tc>
          <w:tcPr>
            <w:tcW w:w="180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December 31, 2017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(Level 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(Level 2)</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(Level 3)</w:t>
            </w:r>
          </w:p>
        </w:tc>
      </w:tr>
      <w:tr w:rsidR="0073293D">
        <w:trPr>
          <w:trHeight w:hRule="exact" w:val="300"/>
        </w:trPr>
        <w:tc>
          <w:tcPr>
            <w:tcW w:w="318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Cash &amp; Cash Equivalents</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569,734,496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569,734,496</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1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Short-Term Investments:</w:t>
            </w:r>
          </w:p>
        </w:tc>
        <w:tc>
          <w:tcPr>
            <w:tcW w:w="180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300"/>
        </w:trPr>
        <w:tc>
          <w:tcPr>
            <w:tcW w:w="3180"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ind w:left="240"/>
            </w:pPr>
            <w:r>
              <w:rPr>
                <w:rFonts w:ascii="Arial" w:eastAsia="Arial" w:hAnsi="Arial" w:cs="Arial"/>
                <w:sz w:val="20"/>
              </w:rPr>
              <w:t>Certificate of Deposit</w:t>
            </w:r>
          </w:p>
        </w:tc>
        <w:tc>
          <w:tcPr>
            <w:tcW w:w="180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130,000,000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130,000,000</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ind w:left="240"/>
            </w:pPr>
            <w:r>
              <w:rPr>
                <w:rFonts w:ascii="Arial" w:eastAsia="Arial" w:hAnsi="Arial" w:cs="Arial"/>
                <w:sz w:val="20"/>
              </w:rPr>
              <w:t>Government Securities</w:t>
            </w:r>
          </w:p>
        </w:tc>
        <w:tc>
          <w:tcPr>
            <w:tcW w:w="18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9,011,130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9,011,130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ind w:left="240"/>
            </w:pPr>
            <w:r>
              <w:rPr>
                <w:rFonts w:ascii="Arial" w:eastAsia="Arial" w:hAnsi="Arial" w:cs="Arial"/>
                <w:sz w:val="20"/>
              </w:rPr>
              <w:t>Mutual Funds</w:t>
            </w:r>
          </w:p>
        </w:tc>
        <w:tc>
          <w:tcPr>
            <w:tcW w:w="180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393,581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393,581</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ind w:left="240"/>
            </w:pPr>
            <w:r>
              <w:rPr>
                <w:rFonts w:ascii="Arial" w:eastAsia="Arial" w:hAnsi="Arial" w:cs="Arial"/>
                <w:sz w:val="20"/>
              </w:rPr>
              <w:t>Corporate Bonds</w:t>
            </w:r>
          </w:p>
        </w:tc>
        <w:tc>
          <w:tcPr>
            <w:tcW w:w="18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12,944,999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12,944,999</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15"/>
        </w:trPr>
        <w:tc>
          <w:tcPr>
            <w:tcW w:w="3180"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ind w:left="240"/>
            </w:pPr>
            <w:r>
              <w:rPr>
                <w:rFonts w:ascii="Arial" w:eastAsia="Arial" w:hAnsi="Arial" w:cs="Arial"/>
                <w:sz w:val="20"/>
              </w:rPr>
              <w:t>Other</w:t>
            </w:r>
          </w:p>
        </w:tc>
        <w:tc>
          <w:tcPr>
            <w:tcW w:w="180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188,344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188,344</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Long-Term Investments:</w:t>
            </w:r>
          </w:p>
        </w:tc>
        <w:tc>
          <w:tcPr>
            <w:tcW w:w="180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12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300"/>
        </w:trPr>
        <w:tc>
          <w:tcPr>
            <w:tcW w:w="3180"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ind w:left="240"/>
            </w:pPr>
            <w:r>
              <w:rPr>
                <w:rFonts w:ascii="Arial" w:eastAsia="Arial" w:hAnsi="Arial" w:cs="Arial"/>
                <w:sz w:val="20"/>
              </w:rPr>
              <w:t>Corporate Bonds</w:t>
            </w:r>
          </w:p>
        </w:tc>
        <w:tc>
          <w:tcPr>
            <w:tcW w:w="180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3,018,720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3,018,720</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ind w:left="240"/>
            </w:pPr>
            <w:r>
              <w:rPr>
                <w:rFonts w:ascii="Arial" w:eastAsia="Arial" w:hAnsi="Arial" w:cs="Arial"/>
                <w:sz w:val="20"/>
              </w:rPr>
              <w:t>Common Stocks</w:t>
            </w:r>
          </w:p>
        </w:tc>
        <w:tc>
          <w:tcPr>
            <w:tcW w:w="18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15,703,371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15,703,371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ind w:left="240"/>
            </w:pPr>
            <w:r>
              <w:rPr>
                <w:rFonts w:ascii="Arial" w:eastAsia="Arial" w:hAnsi="Arial" w:cs="Arial"/>
                <w:sz w:val="20"/>
              </w:rPr>
              <w:t>Mutual Funds</w:t>
            </w:r>
          </w:p>
        </w:tc>
        <w:tc>
          <w:tcPr>
            <w:tcW w:w="180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34,681,337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34,681,337</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300"/>
        </w:trPr>
        <w:tc>
          <w:tcPr>
            <w:tcW w:w="3180"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ind w:left="240"/>
            </w:pPr>
            <w:r>
              <w:rPr>
                <w:rFonts w:ascii="Arial" w:eastAsia="Arial" w:hAnsi="Arial" w:cs="Arial"/>
                <w:sz w:val="20"/>
              </w:rPr>
              <w:t>Preferred Stock</w:t>
            </w:r>
          </w:p>
        </w:tc>
        <w:tc>
          <w:tcPr>
            <w:tcW w:w="18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1,178,991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6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1,178,991</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318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776,854,969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6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751,486,539</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25,368,430</w:t>
            </w:r>
          </w:p>
        </w:tc>
        <w:tc>
          <w:tcPr>
            <w:tcW w:w="1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17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bl>
    <w:p w:rsidR="0073293D" w:rsidRDefault="0073293D">
      <w:pPr>
        <w:spacing w:before="120"/>
        <w:ind w:left="720"/>
      </w:pPr>
    </w:p>
    <w:p w:rsidR="0073293D" w:rsidRDefault="00CC4FC6">
      <w:pPr>
        <w:spacing w:before="100"/>
        <w:ind w:left="720"/>
      </w:pPr>
      <w:r>
        <w:rPr>
          <w:rFonts w:ascii="Arial" w:eastAsia="Arial" w:hAnsi="Arial" w:cs="Arial"/>
          <w:sz w:val="20"/>
        </w:rPr>
        <w:t>The amortized cost, unrealized gains and losses, and market value of investment securities are shown as of September 30, 2018, and December 31, 2017</w:t>
      </w:r>
    </w:p>
    <w:p w:rsidR="0073293D" w:rsidRDefault="0073293D">
      <w:pPr>
        <w:spacing w:before="100"/>
        <w:ind w:left="720"/>
      </w:pPr>
    </w:p>
    <w:p w:rsidR="0073293D" w:rsidRDefault="0073293D">
      <w:pPr>
        <w:spacing w:before="100"/>
        <w:ind w:left="720"/>
      </w:pPr>
    </w:p>
    <w:p w:rsidR="0073293D" w:rsidRDefault="0073293D">
      <w:pPr>
        <w:spacing w:before="100"/>
        <w:ind w:left="720"/>
      </w:pPr>
    </w:p>
    <w:p w:rsidR="0073293D" w:rsidRDefault="0073293D">
      <w:pPr>
        <w:spacing w:before="100"/>
        <w:ind w:left="720"/>
      </w:pPr>
    </w:p>
    <w:p w:rsidR="0073293D" w:rsidRDefault="0073293D">
      <w:pPr>
        <w:spacing w:before="100"/>
        <w:ind w:left="720"/>
      </w:pPr>
    </w:p>
    <w:p w:rsidR="0073293D" w:rsidRDefault="00CC4FC6">
      <w:pPr>
        <w:spacing w:before="100" w:after="100"/>
        <w:ind w:left="720"/>
      </w:pPr>
      <w:r>
        <w:rPr>
          <w:rFonts w:ascii="Arial" w:eastAsia="Arial" w:hAnsi="Arial" w:cs="Arial"/>
          <w:sz w:val="20"/>
        </w:rPr>
        <w:t>As of September 30, 2018:</w:t>
      </w:r>
    </w:p>
    <w:tbl>
      <w:tblPr>
        <w:tblW w:w="93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18"/>
        <w:gridCol w:w="1290"/>
        <w:gridCol w:w="70"/>
        <w:gridCol w:w="112"/>
        <w:gridCol w:w="1236"/>
        <w:gridCol w:w="70"/>
        <w:gridCol w:w="112"/>
        <w:gridCol w:w="1265"/>
        <w:gridCol w:w="70"/>
        <w:gridCol w:w="112"/>
        <w:gridCol w:w="1282"/>
      </w:tblGrid>
      <w:tr w:rsidR="0073293D">
        <w:trPr>
          <w:trHeight w:hRule="exact" w:val="240"/>
          <w:tblHeader/>
        </w:trPr>
        <w:tc>
          <w:tcPr>
            <w:tcW w:w="36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86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Unrealized</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40"/>
          <w:tblHeader/>
        </w:trPr>
        <w:tc>
          <w:tcPr>
            <w:tcW w:w="36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Cost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Gains</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Losses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Market Value</w:t>
            </w:r>
          </w:p>
        </w:tc>
      </w:tr>
      <w:tr w:rsidR="0073293D">
        <w:trPr>
          <w:trHeight w:hRule="exact" w:val="300"/>
        </w:trPr>
        <w:tc>
          <w:tcPr>
            <w:tcW w:w="36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Short-Term Investments:</w:t>
            </w:r>
          </w:p>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270"/>
        </w:trPr>
        <w:tc>
          <w:tcPr>
            <w:tcW w:w="36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Certificate of Deposit</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130,000,000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130,000,000</w:t>
            </w:r>
          </w:p>
        </w:tc>
      </w:tr>
      <w:tr w:rsidR="0073293D">
        <w:trPr>
          <w:trHeight w:hRule="exact" w:val="270"/>
        </w:trPr>
        <w:tc>
          <w:tcPr>
            <w:tcW w:w="36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Government Securities</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6,699,555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(7,606)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6,691,949</w:t>
            </w:r>
          </w:p>
        </w:tc>
      </w:tr>
      <w:tr w:rsidR="0073293D">
        <w:trPr>
          <w:trHeight w:hRule="exact" w:val="270"/>
        </w:trPr>
        <w:tc>
          <w:tcPr>
            <w:tcW w:w="36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Corporate Bonds</w:t>
            </w:r>
          </w:p>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4,998,499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(4,481)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4,994,018</w:t>
            </w:r>
          </w:p>
        </w:tc>
      </w:tr>
      <w:tr w:rsidR="0073293D">
        <w:trPr>
          <w:trHeight w:hRule="exact" w:val="300"/>
        </w:trPr>
        <w:tc>
          <w:tcPr>
            <w:tcW w:w="36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1,937,574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1,937,574</w:t>
            </w:r>
          </w:p>
        </w:tc>
      </w:tr>
      <w:tr w:rsidR="0073293D">
        <w:trPr>
          <w:trHeight w:hRule="exact" w:val="300"/>
        </w:trPr>
        <w:tc>
          <w:tcPr>
            <w:tcW w:w="367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sz w:val="20"/>
              </w:rPr>
              <w:t>Long-Term Investments:</w:t>
            </w:r>
          </w:p>
        </w:tc>
        <w:tc>
          <w:tcPr>
            <w:tcW w:w="139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270"/>
        </w:trPr>
        <w:tc>
          <w:tcPr>
            <w:tcW w:w="36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Corporate Bonds</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62,619,934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(226,917)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62,393,073</w:t>
            </w:r>
          </w:p>
        </w:tc>
      </w:tr>
      <w:tr w:rsidR="0073293D">
        <w:trPr>
          <w:trHeight w:hRule="exact" w:val="270"/>
        </w:trPr>
        <w:tc>
          <w:tcPr>
            <w:tcW w:w="36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Government Securities</w:t>
            </w:r>
          </w:p>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58,671,384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(339,765)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58,331,619</w:t>
            </w:r>
          </w:p>
        </w:tc>
      </w:tr>
      <w:tr w:rsidR="0073293D">
        <w:trPr>
          <w:trHeight w:hRule="exact" w:val="300"/>
        </w:trPr>
        <w:tc>
          <w:tcPr>
            <w:tcW w:w="36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Common Stocks</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40,000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40,000</w:t>
            </w:r>
          </w:p>
        </w:tc>
      </w:tr>
      <w:tr w:rsidR="0073293D">
        <w:trPr>
          <w:trHeight w:hRule="exact" w:val="270"/>
        </w:trPr>
        <w:tc>
          <w:tcPr>
            <w:tcW w:w="36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Municipal Bonds</w:t>
            </w:r>
          </w:p>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17,841,486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(174,668)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17,666,818</w:t>
            </w:r>
          </w:p>
        </w:tc>
      </w:tr>
      <w:tr w:rsidR="0073293D">
        <w:trPr>
          <w:trHeight w:hRule="exact" w:val="270"/>
        </w:trPr>
        <w:tc>
          <w:tcPr>
            <w:tcW w:w="36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Total</w:t>
            </w:r>
          </w:p>
        </w:tc>
        <w:tc>
          <w:tcPr>
            <w:tcW w:w="10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282,808,432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(753,437)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282,055,051</w:t>
            </w:r>
          </w:p>
        </w:tc>
      </w:tr>
    </w:tbl>
    <w:p w:rsidR="0073293D" w:rsidRDefault="0073293D">
      <w:pPr>
        <w:spacing w:before="120"/>
        <w:ind w:left="720"/>
      </w:pPr>
    </w:p>
    <w:p w:rsidR="0073293D" w:rsidRDefault="00CC4FC6">
      <w:pPr>
        <w:ind w:left="720"/>
      </w:pPr>
      <w:r>
        <w:rPr>
          <w:rFonts w:ascii="Arial" w:eastAsia="Arial" w:hAnsi="Arial" w:cs="Arial"/>
          <w:sz w:val="20"/>
        </w:rPr>
        <w:t>As of December 31, 2017:</w:t>
      </w:r>
      <w:r>
        <w:rPr>
          <w:rFonts w:ascii="Arial" w:eastAsia="Arial" w:hAnsi="Arial" w:cs="Arial"/>
          <w:sz w:val="20"/>
        </w:rPr>
        <w:tab/>
      </w:r>
    </w:p>
    <w:tbl>
      <w:tblPr>
        <w:tblW w:w="94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218"/>
        <w:gridCol w:w="1276"/>
        <w:gridCol w:w="70"/>
        <w:gridCol w:w="112"/>
        <w:gridCol w:w="1275"/>
        <w:gridCol w:w="84"/>
        <w:gridCol w:w="112"/>
        <w:gridCol w:w="1153"/>
        <w:gridCol w:w="70"/>
        <w:gridCol w:w="112"/>
        <w:gridCol w:w="1269"/>
      </w:tblGrid>
      <w:tr w:rsidR="0073293D">
        <w:trPr>
          <w:trHeight w:hRule="exact" w:val="210"/>
          <w:tblHeader/>
        </w:trPr>
        <w:tc>
          <w:tcPr>
            <w:tcW w:w="381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60"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jc w:val="center"/>
            </w:pPr>
            <w:r>
              <w:rPr>
                <w:rFonts w:ascii="Arial" w:eastAsia="Arial" w:hAnsi="Arial" w:cs="Arial"/>
                <w:b/>
                <w:color w:val="000000"/>
                <w:sz w:val="16"/>
              </w:rPr>
              <w:t>Unrealized</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10"/>
          <w:tblHeader/>
        </w:trPr>
        <w:tc>
          <w:tcPr>
            <w:tcW w:w="381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jc w:val="center"/>
            </w:pPr>
            <w:r>
              <w:rPr>
                <w:rFonts w:ascii="Arial" w:eastAsia="Arial" w:hAnsi="Arial" w:cs="Arial"/>
                <w:b/>
                <w:color w:val="000000"/>
                <w:sz w:val="16"/>
              </w:rPr>
              <w:t>Cost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jc w:val="center"/>
            </w:pPr>
            <w:r>
              <w:rPr>
                <w:rFonts w:ascii="Arial" w:eastAsia="Arial" w:hAnsi="Arial" w:cs="Arial"/>
                <w:b/>
                <w:color w:val="000000"/>
                <w:sz w:val="16"/>
              </w:rPr>
              <w:t>Gains</w:t>
            </w:r>
          </w:p>
        </w:tc>
        <w:tc>
          <w:tcPr>
            <w:tcW w:w="9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jc w:val="center"/>
            </w:pPr>
            <w:r>
              <w:rPr>
                <w:rFonts w:ascii="Arial" w:eastAsia="Arial" w:hAnsi="Arial" w:cs="Arial"/>
                <w:b/>
                <w:color w:val="000000"/>
                <w:sz w:val="16"/>
              </w:rPr>
              <w:t>Losses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jc w:val="center"/>
            </w:pPr>
            <w:r>
              <w:rPr>
                <w:rFonts w:ascii="Arial" w:eastAsia="Arial" w:hAnsi="Arial" w:cs="Arial"/>
                <w:b/>
                <w:color w:val="000000"/>
                <w:sz w:val="16"/>
              </w:rPr>
              <w:t>Market Value</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Short-Term Investments:</w:t>
            </w:r>
          </w:p>
        </w:tc>
        <w:tc>
          <w:tcPr>
            <w:tcW w:w="138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Certificate of Deposit</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28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130,000,000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1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130,000,000</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Government Securities</w:t>
            </w:r>
          </w:p>
        </w:tc>
        <w:tc>
          <w:tcPr>
            <w:tcW w:w="138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9,024,777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(13,647)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9,011,130</w:t>
            </w:r>
          </w:p>
        </w:tc>
      </w:tr>
      <w:tr w:rsidR="0073293D">
        <w:trPr>
          <w:trHeight w:hRule="exact" w:val="300"/>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Mutual Funds</w:t>
            </w:r>
          </w:p>
        </w:tc>
        <w:tc>
          <w:tcPr>
            <w:tcW w:w="13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392,482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1,575</w:t>
            </w:r>
          </w:p>
        </w:tc>
        <w:tc>
          <w:tcPr>
            <w:tcW w:w="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(476)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393,581</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Corporate Bonds</w:t>
            </w:r>
          </w:p>
        </w:tc>
        <w:tc>
          <w:tcPr>
            <w:tcW w:w="138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12,952,229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(7,230)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12,944,999</w:t>
            </w:r>
          </w:p>
        </w:tc>
      </w:tr>
      <w:tr w:rsidR="0073293D">
        <w:trPr>
          <w:trHeight w:hRule="exact" w:val="300"/>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w:t>
            </w:r>
          </w:p>
        </w:tc>
        <w:tc>
          <w:tcPr>
            <w:tcW w:w="13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188,344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188,344</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Long-Term Investments:</w:t>
            </w:r>
          </w:p>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Corporate Bonds</w:t>
            </w:r>
          </w:p>
        </w:tc>
        <w:tc>
          <w:tcPr>
            <w:tcW w:w="13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3,022,994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(4,274)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3,018,720</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Common Stocks</w:t>
            </w:r>
          </w:p>
        </w:tc>
        <w:tc>
          <w:tcPr>
            <w:tcW w:w="138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10,897,219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5,079,815</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(273,663)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15,703,371</w:t>
            </w:r>
          </w:p>
        </w:tc>
      </w:tr>
      <w:tr w:rsidR="0073293D">
        <w:trPr>
          <w:trHeight w:hRule="exact" w:val="300"/>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Mutual Funds</w:t>
            </w:r>
          </w:p>
        </w:tc>
        <w:tc>
          <w:tcPr>
            <w:tcW w:w="13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29,306,540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5,440,344</w:t>
            </w:r>
          </w:p>
        </w:tc>
        <w:tc>
          <w:tcPr>
            <w:tcW w:w="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(65,547)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34,681,337</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Preferred Stock</w:t>
            </w:r>
          </w:p>
        </w:tc>
        <w:tc>
          <w:tcPr>
            <w:tcW w:w="138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1,141,458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40,533</w:t>
            </w:r>
          </w:p>
        </w:tc>
        <w:tc>
          <w:tcPr>
            <w:tcW w:w="9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2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1,178,991</w:t>
            </w:r>
          </w:p>
        </w:tc>
      </w:tr>
      <w:tr w:rsidR="0073293D">
        <w:trPr>
          <w:trHeight w:hRule="exact" w:val="300"/>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Total</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28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196,926,043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10,562,267</w:t>
            </w:r>
          </w:p>
        </w:tc>
        <w:tc>
          <w:tcPr>
            <w:tcW w:w="9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17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(367,837)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207,120,473</w:t>
            </w:r>
          </w:p>
        </w:tc>
      </w:tr>
    </w:tbl>
    <w:p w:rsidR="0073293D" w:rsidRDefault="0073293D">
      <w:pPr>
        <w:spacing w:before="120"/>
        <w:ind w:left="720" w:firstLine="360"/>
      </w:pPr>
    </w:p>
    <w:p w:rsidR="0073293D" w:rsidRDefault="00CC4FC6">
      <w:pPr>
        <w:ind w:left="720"/>
      </w:pPr>
      <w:r>
        <w:rPr>
          <w:rFonts w:ascii="Arial" w:eastAsia="Arial" w:hAnsi="Arial" w:cs="Arial"/>
          <w:sz w:val="20"/>
        </w:rPr>
        <w:t>Unrealized losses on investments as of September 30, 2018, are as follows:</w:t>
      </w:r>
    </w:p>
    <w:tbl>
      <w:tblPr>
        <w:tblW w:w="9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349"/>
        <w:gridCol w:w="1998"/>
        <w:gridCol w:w="67"/>
        <w:gridCol w:w="112"/>
        <w:gridCol w:w="1767"/>
      </w:tblGrid>
      <w:tr w:rsidR="0073293D">
        <w:trPr>
          <w:trHeight w:hRule="exact" w:val="420"/>
        </w:trPr>
        <w:tc>
          <w:tcPr>
            <w:tcW w:w="576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77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Aggregate Unrealized Losses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9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Aggregate Fair Value</w:t>
            </w:r>
          </w:p>
        </w:tc>
      </w:tr>
      <w:tr w:rsidR="0073293D">
        <w:trPr>
          <w:trHeight w:hRule="exact" w:val="270"/>
        </w:trPr>
        <w:tc>
          <w:tcPr>
            <w:tcW w:w="576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Less than one year</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67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753,437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79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148,084,928</w:t>
            </w:r>
          </w:p>
        </w:tc>
      </w:tr>
      <w:tr w:rsidR="0073293D">
        <w:trPr>
          <w:trHeight w:hRule="exact" w:val="270"/>
        </w:trPr>
        <w:tc>
          <w:tcPr>
            <w:tcW w:w="576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Greater than one year</w:t>
            </w:r>
          </w:p>
        </w:tc>
        <w:tc>
          <w:tcPr>
            <w:tcW w:w="177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9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r>
      <w:tr w:rsidR="0073293D">
        <w:trPr>
          <w:trHeight w:hRule="exact" w:val="270"/>
        </w:trPr>
        <w:tc>
          <w:tcPr>
            <w:tcW w:w="576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 xml:space="preserve">       Total</w:t>
            </w:r>
          </w:p>
        </w:tc>
        <w:tc>
          <w:tcPr>
            <w:tcW w:w="10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67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753,437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79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148,084,928</w:t>
            </w:r>
          </w:p>
        </w:tc>
      </w:tr>
    </w:tbl>
    <w:p w:rsidR="0073293D" w:rsidRDefault="0073293D">
      <w:pPr>
        <w:spacing w:before="120"/>
      </w:pPr>
    </w:p>
    <w:p w:rsidR="0073293D" w:rsidRDefault="00CC4FC6">
      <w:pPr>
        <w:spacing w:before="180"/>
        <w:ind w:left="720"/>
      </w:pPr>
      <w:r>
        <w:rPr>
          <w:rFonts w:ascii="Arial" w:eastAsia="Arial" w:hAnsi="Arial" w:cs="Arial"/>
          <w:sz w:val="20"/>
        </w:rPr>
        <w:t>Unrealized losses on investments as of December 31, 2017, are as follows:</w:t>
      </w:r>
      <w:r>
        <w:rPr>
          <w:rFonts w:ascii="Arial" w:eastAsia="Arial" w:hAnsi="Arial" w:cs="Arial"/>
          <w:sz w:val="18"/>
        </w:rPr>
        <w:t> </w:t>
      </w:r>
    </w:p>
    <w:tbl>
      <w:tblPr>
        <w:tblW w:w="9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345"/>
        <w:gridCol w:w="2002"/>
        <w:gridCol w:w="67"/>
        <w:gridCol w:w="112"/>
        <w:gridCol w:w="1768"/>
      </w:tblGrid>
      <w:tr w:rsidR="0073293D">
        <w:trPr>
          <w:trHeight w:hRule="exact" w:val="420"/>
        </w:trPr>
        <w:tc>
          <w:tcPr>
            <w:tcW w:w="573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Aggregate Unrealized Losses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9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Aggregate Fair Value</w:t>
            </w:r>
          </w:p>
        </w:tc>
      </w:tr>
      <w:tr w:rsidR="0073293D">
        <w:trPr>
          <w:trHeight w:hRule="exact" w:val="270"/>
        </w:trPr>
        <w:tc>
          <w:tcPr>
            <w:tcW w:w="573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Less than one year</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263,655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79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31,223,557</w:t>
            </w:r>
          </w:p>
        </w:tc>
      </w:tr>
      <w:tr w:rsidR="0073293D">
        <w:trPr>
          <w:trHeight w:hRule="exact" w:val="270"/>
        </w:trPr>
        <w:tc>
          <w:tcPr>
            <w:tcW w:w="573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Greater than one year</w:t>
            </w:r>
          </w:p>
        </w:tc>
        <w:tc>
          <w:tcPr>
            <w:tcW w:w="18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104,182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9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285,077</w:t>
            </w:r>
          </w:p>
        </w:tc>
      </w:tr>
      <w:tr w:rsidR="0073293D">
        <w:trPr>
          <w:trHeight w:hRule="exact" w:val="270"/>
        </w:trPr>
        <w:tc>
          <w:tcPr>
            <w:tcW w:w="573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 xml:space="preserve">       Total</w:t>
            </w:r>
          </w:p>
        </w:tc>
        <w:tc>
          <w:tcPr>
            <w:tcW w:w="10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0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367,837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79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31,508,634</w:t>
            </w:r>
          </w:p>
        </w:tc>
      </w:tr>
    </w:tbl>
    <w:p w:rsidR="0073293D" w:rsidRDefault="0073293D">
      <w:pPr>
        <w:spacing w:before="120"/>
        <w:ind w:left="720"/>
        <w:jc w:val="both"/>
      </w:pPr>
    </w:p>
    <w:p w:rsidR="0073293D" w:rsidRDefault="00CC4FC6">
      <w:pPr>
        <w:spacing w:before="100"/>
        <w:ind w:left="720"/>
        <w:jc w:val="both"/>
      </w:pPr>
      <w:r>
        <w:rPr>
          <w:rFonts w:ascii="Arial" w:eastAsia="Arial" w:hAnsi="Arial" w:cs="Arial"/>
          <w:sz w:val="20"/>
        </w:rPr>
        <w:t xml:space="preserve">ASC 320, “Accounting for Certain Investments in Debt and Equity Securities”, as amended, provides guidance on determining when an investment is other than temporarily impaired. No investment losses were considered to be other than temporary during the periods presented.  The Company has the intention and current ability to hold its debt investments until the amortized cost basis has been recovered.  </w:t>
      </w:r>
    </w:p>
    <w:p w:rsidR="0073293D" w:rsidRDefault="00CC4FC6">
      <w:pPr>
        <w:spacing w:before="100" w:after="100"/>
        <w:ind w:left="720"/>
        <w:jc w:val="both"/>
      </w:pPr>
      <w:r>
        <w:rPr>
          <w:rFonts w:ascii="Arial" w:eastAsia="Arial" w:hAnsi="Arial" w:cs="Arial"/>
          <w:sz w:val="20"/>
        </w:rPr>
        <w:t>Fixed income securities as of September 30, 2018 have contractual maturities as follows:</w:t>
      </w:r>
    </w:p>
    <w:tbl>
      <w:tblPr>
        <w:tblW w:w="95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2"/>
        <w:gridCol w:w="218"/>
        <w:gridCol w:w="1720"/>
      </w:tblGrid>
      <w:tr w:rsidR="0073293D">
        <w:trPr>
          <w:trHeight w:hRule="exact" w:val="300"/>
        </w:trPr>
        <w:tc>
          <w:tcPr>
            <w:tcW w:w="769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Due within one year</w:t>
            </w:r>
          </w:p>
        </w:tc>
        <w:tc>
          <w:tcPr>
            <w:tcW w:w="1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3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141,685,968</w:t>
            </w:r>
          </w:p>
        </w:tc>
      </w:tr>
      <w:tr w:rsidR="0073293D">
        <w:trPr>
          <w:trHeight w:hRule="exact" w:val="300"/>
        </w:trPr>
        <w:tc>
          <w:tcPr>
            <w:tcW w:w="769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Due between one and five years</w:t>
            </w:r>
          </w:p>
        </w:tc>
        <w:tc>
          <w:tcPr>
            <w:tcW w:w="1830" w:type="dxa"/>
            <w:gridSpan w:val="2"/>
            <w:tcBorders>
              <w:top w:val="nil"/>
              <w:left w:val="nil"/>
              <w:bottom w:val="nil"/>
              <w:right w:val="nil"/>
            </w:tcBorders>
            <w:shd w:val="clear" w:color="auto" w:fill="auto"/>
            <w:tcMar>
              <w:top w:w="0" w:type="dxa"/>
              <w:left w:w="53" w:type="dxa"/>
              <w:bottom w:w="0" w:type="dxa"/>
              <w:right w:w="53" w:type="dxa"/>
            </w:tcMar>
          </w:tcPr>
          <w:p w:rsidR="0073293D" w:rsidRDefault="00CC4FC6">
            <w:pPr>
              <w:jc w:val="right"/>
            </w:pPr>
            <w:r>
              <w:rPr>
                <w:rFonts w:ascii="Arial" w:eastAsia="Arial" w:hAnsi="Arial" w:cs="Arial"/>
                <w:color w:val="000000"/>
                <w:sz w:val="20"/>
              </w:rPr>
              <w:t>129,595,580</w:t>
            </w:r>
          </w:p>
        </w:tc>
      </w:tr>
      <w:tr w:rsidR="0073293D">
        <w:trPr>
          <w:trHeight w:hRule="exact" w:val="300"/>
        </w:trPr>
        <w:tc>
          <w:tcPr>
            <w:tcW w:w="769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Due over five years</w:t>
            </w:r>
          </w:p>
        </w:tc>
        <w:tc>
          <w:tcPr>
            <w:tcW w:w="1830" w:type="dxa"/>
            <w:gridSpan w:val="2"/>
            <w:tcBorders>
              <w:top w:val="nil"/>
              <w:left w:val="nil"/>
              <w:bottom w:val="nil"/>
              <w:right w:val="nil"/>
            </w:tcBorders>
            <w:shd w:val="clear" w:color="auto" w:fill="CCEEFF"/>
            <w:tcMar>
              <w:top w:w="0" w:type="dxa"/>
              <w:left w:w="53" w:type="dxa"/>
              <w:bottom w:w="0" w:type="dxa"/>
              <w:right w:w="53" w:type="dxa"/>
            </w:tcMar>
          </w:tcPr>
          <w:p w:rsidR="0073293D" w:rsidRDefault="00CC4FC6">
            <w:pPr>
              <w:jc w:val="right"/>
            </w:pPr>
            <w:r>
              <w:rPr>
                <w:rFonts w:ascii="Arial" w:eastAsia="Arial" w:hAnsi="Arial" w:cs="Arial"/>
                <w:color w:val="000000"/>
                <w:sz w:val="20"/>
              </w:rPr>
              <w:t>8,795,930</w:t>
            </w:r>
          </w:p>
        </w:tc>
      </w:tr>
      <w:tr w:rsidR="0073293D">
        <w:trPr>
          <w:trHeight w:hRule="exact" w:val="300"/>
        </w:trPr>
        <w:tc>
          <w:tcPr>
            <w:tcW w:w="769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tcPr>
          <w:p w:rsidR="0073293D" w:rsidRDefault="00CC4FC6">
            <w:r>
              <w:rPr>
                <w:rFonts w:ascii="Arial" w:eastAsia="Arial" w:hAnsi="Arial" w:cs="Arial"/>
                <w:color w:val="000000"/>
                <w:sz w:val="20"/>
              </w:rPr>
              <w:t>$</w:t>
            </w:r>
          </w:p>
        </w:tc>
        <w:tc>
          <w:tcPr>
            <w:tcW w:w="1730" w:type="dxa"/>
            <w:tcBorders>
              <w:top w:val="single" w:sz="8" w:space="0" w:color="000000"/>
              <w:left w:val="nil"/>
              <w:bottom w:val="nil"/>
              <w:right w:val="nil"/>
            </w:tcBorders>
            <w:shd w:val="clear" w:color="auto" w:fill="auto"/>
            <w:tcMar>
              <w:top w:w="0" w:type="dxa"/>
              <w:left w:w="0" w:type="dxa"/>
              <w:bottom w:w="0" w:type="dxa"/>
              <w:right w:w="0" w:type="dxa"/>
            </w:tcMar>
          </w:tcPr>
          <w:p w:rsidR="0073293D" w:rsidRDefault="00CC4FC6">
            <w:pPr>
              <w:jc w:val="right"/>
            </w:pPr>
            <w:r>
              <w:rPr>
                <w:rFonts w:ascii="Arial" w:eastAsia="Arial" w:hAnsi="Arial" w:cs="Arial"/>
                <w:color w:val="000000"/>
                <w:sz w:val="20"/>
              </w:rPr>
              <w:t>280,077,478</w:t>
            </w:r>
          </w:p>
        </w:tc>
      </w:tr>
    </w:tbl>
    <w:p w:rsidR="0073293D" w:rsidRDefault="0073293D">
      <w:pPr>
        <w:spacing w:before="120"/>
        <w:ind w:left="720"/>
        <w:jc w:val="both"/>
      </w:pPr>
    </w:p>
    <w:p w:rsidR="0073293D" w:rsidRDefault="0073293D">
      <w:pPr>
        <w:spacing w:before="120"/>
        <w:ind w:left="720"/>
        <w:jc w:val="both"/>
        <w:sectPr w:rsidR="0073293D">
          <w:type w:val="continuous"/>
          <w:pgSz w:w="12240" w:h="15840"/>
          <w:pgMar w:top="1620" w:right="990" w:bottom="900" w:left="990" w:header="270" w:footer="270" w:gutter="0"/>
          <w:cols w:space="720"/>
        </w:sectPr>
      </w:pPr>
    </w:p>
    <w:p w:rsidR="0073293D" w:rsidRDefault="00CC4FC6">
      <w:pPr>
        <w:spacing w:before="160"/>
      </w:pPr>
      <w:bookmarkStart w:id="14" w:name="Section14"/>
      <w:bookmarkEnd w:id="14"/>
      <w:r>
        <w:rPr>
          <w:rFonts w:ascii="Arial" w:eastAsia="Arial" w:hAnsi="Arial" w:cs="Arial"/>
          <w:sz w:val="20"/>
        </w:rPr>
        <w:t>(5)</w:t>
      </w:r>
      <w:r>
        <w:rPr>
          <w:rFonts w:ascii="Arial" w:eastAsia="Arial" w:hAnsi="Arial" w:cs="Arial"/>
          <w:sz w:val="20"/>
        </w:rPr>
        <w:tab/>
        <w:t>Inventories</w:t>
      </w:r>
    </w:p>
    <w:p w:rsidR="0073293D" w:rsidRDefault="00CC4FC6">
      <w:pPr>
        <w:spacing w:before="160" w:after="160"/>
        <w:ind w:left="720"/>
      </w:pPr>
      <w:r>
        <w:rPr>
          <w:rFonts w:ascii="Arial" w:eastAsia="Arial" w:hAnsi="Arial" w:cs="Arial"/>
          <w:sz w:val="20"/>
        </w:rPr>
        <w:t>Inventories consisted of the following at the respective balance sheet dates:</w:t>
      </w:r>
    </w:p>
    <w:tbl>
      <w:tblPr>
        <w:tblW w:w="94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218"/>
        <w:gridCol w:w="1657"/>
        <w:gridCol w:w="73"/>
        <w:gridCol w:w="112"/>
        <w:gridCol w:w="1479"/>
      </w:tblGrid>
      <w:tr w:rsidR="0073293D">
        <w:trPr>
          <w:trHeight w:hRule="exact" w:val="255"/>
          <w:tblHeader/>
        </w:trPr>
        <w:tc>
          <w:tcPr>
            <w:tcW w:w="60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77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September 30, 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9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December 31, 2017</w:t>
            </w:r>
          </w:p>
        </w:tc>
      </w:tr>
      <w:tr w:rsidR="0073293D">
        <w:trPr>
          <w:trHeight w:hRule="exact" w:val="270"/>
        </w:trPr>
        <w:tc>
          <w:tcPr>
            <w:tcW w:w="60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Raw materials</w:t>
            </w:r>
          </w:p>
        </w:tc>
        <w:tc>
          <w:tcPr>
            <w:tcW w:w="100" w:type="dxa"/>
            <w:tcBorders>
              <w:top w:val="single" w:sz="8" w:space="0" w:color="000000"/>
              <w:left w:val="nil"/>
              <w:bottom w:val="nil"/>
              <w:right w:val="nil"/>
            </w:tcBorders>
            <w:shd w:val="clear" w:color="auto" w:fill="BFE4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670" w:type="dxa"/>
            <w:tcBorders>
              <w:top w:val="single" w:sz="8" w:space="0" w:color="000000"/>
              <w:left w:val="nil"/>
              <w:bottom w:val="nil"/>
              <w:right w:val="nil"/>
            </w:tcBorders>
            <w:shd w:val="clear" w:color="auto" w:fill="BFE4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134,039,095</w:t>
            </w:r>
          </w:p>
        </w:tc>
        <w:tc>
          <w:tcPr>
            <w:tcW w:w="75" w:type="dxa"/>
            <w:tcBorders>
              <w:top w:val="nil"/>
              <w:left w:val="nil"/>
              <w:bottom w:val="nil"/>
              <w:right w:val="nil"/>
            </w:tcBorders>
            <w:shd w:val="clear" w:color="auto" w:fill="BFE4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BFE4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90" w:type="dxa"/>
            <w:tcBorders>
              <w:top w:val="single" w:sz="8" w:space="0" w:color="000000"/>
              <w:left w:val="nil"/>
              <w:bottom w:val="nil"/>
              <w:right w:val="nil"/>
            </w:tcBorders>
            <w:shd w:val="clear" w:color="auto" w:fill="BFE4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139,272,129</w:t>
            </w:r>
          </w:p>
        </w:tc>
      </w:tr>
      <w:tr w:rsidR="0073293D">
        <w:trPr>
          <w:trHeight w:hRule="exact" w:val="270"/>
        </w:trPr>
        <w:tc>
          <w:tcPr>
            <w:tcW w:w="60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Work-in-process</w:t>
            </w:r>
          </w:p>
        </w:tc>
        <w:tc>
          <w:tcPr>
            <w:tcW w:w="177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33,336,971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9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30,481,192</w:t>
            </w:r>
          </w:p>
        </w:tc>
      </w:tr>
      <w:tr w:rsidR="0073293D">
        <w:trPr>
          <w:trHeight w:hRule="exact" w:val="270"/>
        </w:trPr>
        <w:tc>
          <w:tcPr>
            <w:tcW w:w="60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Finished goods</w:t>
            </w:r>
          </w:p>
        </w:tc>
        <w:tc>
          <w:tcPr>
            <w:tcW w:w="177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46,017,971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9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47,012,262</w:t>
            </w:r>
          </w:p>
        </w:tc>
      </w:tr>
      <w:tr w:rsidR="0073293D">
        <w:trPr>
          <w:trHeight w:hRule="exact" w:val="270"/>
        </w:trPr>
        <w:tc>
          <w:tcPr>
            <w:tcW w:w="60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Total Inventory</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67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213,394,037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9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216,765,583</w:t>
            </w:r>
          </w:p>
        </w:tc>
      </w:tr>
    </w:tbl>
    <w:p w:rsidR="0073293D" w:rsidRDefault="0073293D">
      <w:pPr>
        <w:spacing w:before="120"/>
        <w:jc w:val="center"/>
      </w:pPr>
    </w:p>
    <w:p w:rsidR="0073293D" w:rsidRDefault="0073293D">
      <w:pPr>
        <w:spacing w:before="120"/>
        <w:jc w:val="center"/>
        <w:sectPr w:rsidR="0073293D">
          <w:type w:val="continuous"/>
          <w:pgSz w:w="12240" w:h="15840"/>
          <w:pgMar w:top="1620" w:right="990" w:bottom="900" w:left="990" w:header="270" w:footer="270" w:gutter="0"/>
          <w:cols w:space="720"/>
        </w:sectPr>
      </w:pPr>
    </w:p>
    <w:p w:rsidR="0073293D" w:rsidRDefault="0073293D">
      <w:bookmarkStart w:id="15" w:name="Section15"/>
      <w:bookmarkEnd w:id="15"/>
    </w:p>
    <w:p w:rsidR="0073293D" w:rsidRDefault="00CC4FC6">
      <w:pPr>
        <w:widowControl w:val="0"/>
      </w:pPr>
      <w:r>
        <w:rPr>
          <w:rFonts w:ascii="Arial" w:eastAsia="Arial" w:hAnsi="Arial" w:cs="Arial"/>
          <w:sz w:val="20"/>
        </w:rPr>
        <w:t>(6)</w:t>
      </w:r>
      <w:r>
        <w:rPr>
          <w:rFonts w:ascii="Arial" w:eastAsia="Arial" w:hAnsi="Arial" w:cs="Arial"/>
          <w:sz w:val="20"/>
        </w:rPr>
        <w:tab/>
        <w:t>Earnings Per Share</w:t>
      </w:r>
    </w:p>
    <w:p w:rsidR="0073293D" w:rsidRDefault="0073293D">
      <w:pPr>
        <w:ind w:left="720"/>
      </w:pPr>
    </w:p>
    <w:p w:rsidR="0073293D" w:rsidRDefault="00CC4FC6">
      <w:pPr>
        <w:ind w:left="720"/>
      </w:pPr>
      <w:r>
        <w:rPr>
          <w:rFonts w:ascii="Arial" w:eastAsia="Arial" w:hAnsi="Arial" w:cs="Arial"/>
          <w:sz w:val="20"/>
        </w:rPr>
        <w:t>The following table reconciles the numerators and denominators used in the calculation of basic and diluted earnings per share (EPS):</w:t>
      </w:r>
    </w:p>
    <w:tbl>
      <w:tblPr>
        <w:tblW w:w="94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218"/>
        <w:gridCol w:w="1302"/>
        <w:gridCol w:w="69"/>
        <w:gridCol w:w="112"/>
        <w:gridCol w:w="1257"/>
        <w:gridCol w:w="69"/>
        <w:gridCol w:w="112"/>
        <w:gridCol w:w="1225"/>
        <w:gridCol w:w="69"/>
        <w:gridCol w:w="112"/>
        <w:gridCol w:w="1225"/>
      </w:tblGrid>
      <w:tr w:rsidR="0073293D">
        <w:trPr>
          <w:trHeight w:hRule="exact" w:val="255"/>
          <w:tblHeader/>
        </w:trPr>
        <w:tc>
          <w:tcPr>
            <w:tcW w:w="381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86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w:t>
            </w:r>
          </w:p>
        </w:tc>
      </w:tr>
      <w:tr w:rsidR="0073293D">
        <w:trPr>
          <w:trHeight w:hRule="exact" w:val="255"/>
          <w:tblHeader/>
        </w:trPr>
        <w:tc>
          <w:tcPr>
            <w:tcW w:w="381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1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Numerators:</w:t>
            </w:r>
          </w:p>
        </w:tc>
        <w:tc>
          <w:tcPr>
            <w:tcW w:w="1410"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1380"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133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133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495"/>
        </w:trPr>
        <w:tc>
          <w:tcPr>
            <w:tcW w:w="381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ind w:left="360" w:right="-360"/>
            </w:pPr>
            <w:r>
              <w:rPr>
                <w:rFonts w:ascii="Arial" w:eastAsia="Arial" w:hAnsi="Arial" w:cs="Arial"/>
                <w:color w:val="000000"/>
                <w:sz w:val="20"/>
              </w:rPr>
              <w:t>Numerator for both basic and diluted EPS, net income</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3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111,335,817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8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90,230,335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3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331,608,542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3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276,323,023</w:t>
            </w:r>
          </w:p>
        </w:tc>
      </w:tr>
      <w:tr w:rsidR="0073293D">
        <w:trPr>
          <w:trHeight w:hRule="exact" w:val="300"/>
        </w:trPr>
        <w:tc>
          <w:tcPr>
            <w:tcW w:w="381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Denominators:</w:t>
            </w:r>
          </w:p>
        </w:tc>
        <w:tc>
          <w:tcPr>
            <w:tcW w:w="141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35"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335" w:type="dxa"/>
            <w:gridSpan w:val="2"/>
            <w:tcBorders>
              <w:top w:val="nil"/>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495"/>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360"/>
            </w:pPr>
            <w:r>
              <w:rPr>
                <w:rFonts w:ascii="Arial" w:eastAsia="Arial" w:hAnsi="Arial" w:cs="Arial"/>
                <w:sz w:val="20"/>
              </w:rPr>
              <w:t>Denominator for basic EPS, weighted-average shares outstanding</w:t>
            </w:r>
          </w:p>
        </w:tc>
        <w:tc>
          <w:tcPr>
            <w:tcW w:w="141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265,607,128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284,661,920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270,366,996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285,915,565</w:t>
            </w:r>
          </w:p>
        </w:tc>
      </w:tr>
      <w:tr w:rsidR="0073293D">
        <w:trPr>
          <w:trHeight w:hRule="exact" w:val="495"/>
        </w:trPr>
        <w:tc>
          <w:tcPr>
            <w:tcW w:w="381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360"/>
            </w:pPr>
            <w:r>
              <w:rPr>
                <w:rFonts w:ascii="Arial" w:eastAsia="Arial" w:hAnsi="Arial" w:cs="Arial"/>
                <w:sz w:val="20"/>
              </w:rPr>
              <w:t>Potentially dilutive shares resulting from stock plans</w:t>
            </w:r>
          </w:p>
        </w:tc>
        <w:tc>
          <w:tcPr>
            <w:tcW w:w="141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1,988,014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2,359,030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2,366,506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3,145,936</w:t>
            </w:r>
          </w:p>
        </w:tc>
      </w:tr>
      <w:tr w:rsidR="0073293D">
        <w:trPr>
          <w:trHeight w:hRule="exact" w:val="300"/>
        </w:trPr>
        <w:tc>
          <w:tcPr>
            <w:tcW w:w="381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360"/>
            </w:pPr>
            <w:r>
              <w:rPr>
                <w:rFonts w:ascii="Arial" w:eastAsia="Arial" w:hAnsi="Arial" w:cs="Arial"/>
                <w:sz w:val="20"/>
              </w:rPr>
              <w:t>Denominator for diluted EPS</w:t>
            </w:r>
          </w:p>
        </w:tc>
        <w:tc>
          <w:tcPr>
            <w:tcW w:w="141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267,595,142</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287,020,950</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272,733,502</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289,061,501</w:t>
            </w:r>
          </w:p>
        </w:tc>
      </w:tr>
      <w:tr w:rsidR="0073293D">
        <w:trPr>
          <w:trHeight w:hRule="exact" w:val="270"/>
        </w:trPr>
        <w:tc>
          <w:tcPr>
            <w:tcW w:w="381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1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33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335" w:type="dxa"/>
            <w:gridSpan w:val="2"/>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900"/>
        </w:trPr>
        <w:tc>
          <w:tcPr>
            <w:tcW w:w="381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Shares related to stock plans not included in diluted average common shares outstanding because their effect would be anti-dilutive</w:t>
            </w:r>
          </w:p>
        </w:tc>
        <w:tc>
          <w:tcPr>
            <w:tcW w:w="141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462,631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807,013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24,590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2,847,247</w:t>
            </w:r>
          </w:p>
        </w:tc>
      </w:tr>
    </w:tbl>
    <w:p w:rsidR="0073293D" w:rsidRDefault="0073293D">
      <w:pPr>
        <w:spacing w:before="120"/>
        <w:ind w:left="720"/>
      </w:pPr>
    </w:p>
    <w:p w:rsidR="0073293D" w:rsidRDefault="0073293D">
      <w:pPr>
        <w:spacing w:before="120"/>
        <w:ind w:left="720"/>
        <w:sectPr w:rsidR="0073293D">
          <w:type w:val="continuous"/>
          <w:pgSz w:w="12240" w:h="15840"/>
          <w:pgMar w:top="1620" w:right="990" w:bottom="900" w:left="990" w:header="270" w:footer="270" w:gutter="0"/>
          <w:cols w:space="720"/>
        </w:sectPr>
      </w:pPr>
    </w:p>
    <w:p w:rsidR="0073293D" w:rsidRDefault="0073293D">
      <w:bookmarkStart w:id="16" w:name="Section16"/>
      <w:bookmarkEnd w:id="16"/>
    </w:p>
    <w:p w:rsidR="0073293D" w:rsidRDefault="00CC4FC6">
      <w:r>
        <w:rPr>
          <w:rFonts w:ascii="Arial" w:eastAsia="Arial" w:hAnsi="Arial" w:cs="Arial"/>
          <w:sz w:val="20"/>
        </w:rPr>
        <w:t>(7)</w:t>
      </w:r>
      <w:r>
        <w:rPr>
          <w:rFonts w:ascii="Arial" w:eastAsia="Arial" w:hAnsi="Arial" w:cs="Arial"/>
          <w:sz w:val="20"/>
        </w:rPr>
        <w:tab/>
        <w:t>Stock-Based Compensation Plans</w:t>
      </w:r>
    </w:p>
    <w:p w:rsidR="0073293D" w:rsidRDefault="00CC4FC6">
      <w:pPr>
        <w:spacing w:before="160"/>
        <w:ind w:left="720"/>
        <w:jc w:val="both"/>
      </w:pPr>
      <w:r>
        <w:rPr>
          <w:rFonts w:ascii="Arial" w:eastAsia="Arial" w:hAnsi="Arial" w:cs="Arial"/>
          <w:sz w:val="20"/>
        </w:rPr>
        <w:t xml:space="preserve">As of September 30, 2018, the Company had four equity incentive plans which include two stock option plans, a restricted stock plan and an employee stock purchase plan.  All plans and any prior material amendments thereto have previously been approved by shareholders.  Readers should refer to </w:t>
      </w:r>
      <w:r>
        <w:rPr>
          <w:rFonts w:ascii="Arial" w:eastAsia="Arial" w:hAnsi="Arial" w:cs="Arial"/>
          <w:color w:val="000000"/>
          <w:sz w:val="20"/>
          <w:u w:val="single"/>
        </w:rPr>
        <w:t>Note 5</w:t>
      </w:r>
      <w:r>
        <w:rPr>
          <w:rFonts w:ascii="Arial" w:eastAsia="Arial" w:hAnsi="Arial" w:cs="Arial"/>
          <w:sz w:val="20"/>
        </w:rPr>
        <w:t xml:space="preserve"> of our consolidated financial statements in our Annual Report on Form 10-K for the calendar year ended December 31, 2017, for additional information related to these stock-based compensation plans.</w:t>
      </w:r>
    </w:p>
    <w:p w:rsidR="0073293D" w:rsidRDefault="00CC4FC6">
      <w:pPr>
        <w:spacing w:before="160"/>
        <w:ind w:left="720"/>
        <w:jc w:val="both"/>
      </w:pPr>
      <w:r>
        <w:rPr>
          <w:rFonts w:ascii="Arial" w:eastAsia="Arial" w:hAnsi="Arial" w:cs="Arial"/>
          <w:sz w:val="20"/>
        </w:rPr>
        <w:t>The Company recognized compensation expense for share-based payments of $4,829,463 and $13,196,413 for the three and nine months ended September 30, 2018, respectively, and $3,067,076 and $9,957,687 for the three and nine months ended September 30, 2017, respectively.  Compensation cost for share based payment awards capitalized as part of inventory as of September 30, 2018 and December 31, 2017 was $224,025 and $279,102, respectively.</w:t>
      </w:r>
    </w:p>
    <w:p w:rsidR="0073293D" w:rsidRDefault="00CC4FC6">
      <w:pPr>
        <w:spacing w:before="160"/>
        <w:ind w:left="720"/>
        <w:jc w:val="both"/>
      </w:pPr>
      <w:r>
        <w:rPr>
          <w:rFonts w:ascii="Arial" w:eastAsia="Arial" w:hAnsi="Arial" w:cs="Arial"/>
          <w:color w:val="000000"/>
          <w:sz w:val="20"/>
          <w:u w:val="single"/>
        </w:rPr>
        <w:t>Employee Stock Option Plan</w:t>
      </w:r>
    </w:p>
    <w:p w:rsidR="0073293D" w:rsidRDefault="00CC4FC6">
      <w:pPr>
        <w:spacing w:before="160"/>
        <w:ind w:left="720"/>
        <w:jc w:val="both"/>
      </w:pPr>
      <w:r>
        <w:rPr>
          <w:rFonts w:ascii="Arial" w:eastAsia="Arial" w:hAnsi="Arial" w:cs="Arial"/>
          <w:sz w:val="20"/>
        </w:rPr>
        <w:t xml:space="preserve">The Company has an employee stock option plan covering 24,000,000 shares of common stock.  The purpose of the plan is to provide an opportunity to use stock options as a means of recruiting new managerial and technical personnel and as a means for retaining certain employees of the Company by allowing them to purchase shares of common stock of the Corporation and thereby having an additional incentive to contribute to the prosperity of the Company.  </w:t>
      </w:r>
    </w:p>
    <w:p w:rsidR="0073293D" w:rsidRDefault="00CC4FC6">
      <w:pPr>
        <w:spacing w:before="160" w:after="160"/>
        <w:ind w:left="720"/>
      </w:pPr>
      <w:r>
        <w:rPr>
          <w:rFonts w:ascii="Arial" w:eastAsia="Arial" w:hAnsi="Arial" w:cs="Arial"/>
          <w:sz w:val="20"/>
        </w:rPr>
        <w:t>The fair value of each option grant in the employee stock option plan was estimated on the date of grant using the Black-Scholes option pricing model with the following weighted-average assumptions for the indicated periods:</w:t>
      </w:r>
    </w:p>
    <w:tbl>
      <w:tblPr>
        <w:tblW w:w="94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140"/>
        <w:gridCol w:w="260"/>
        <w:gridCol w:w="74"/>
        <w:gridCol w:w="1138"/>
        <w:gridCol w:w="260"/>
        <w:gridCol w:w="74"/>
        <w:gridCol w:w="1064"/>
        <w:gridCol w:w="260"/>
        <w:gridCol w:w="74"/>
        <w:gridCol w:w="1064"/>
        <w:gridCol w:w="260"/>
      </w:tblGrid>
      <w:tr w:rsidR="0073293D">
        <w:trPr>
          <w:trHeight w:hRule="exact" w:val="255"/>
          <w:tblHeader/>
        </w:trPr>
        <w:tc>
          <w:tcPr>
            <w:tcW w:w="382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89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w:t>
            </w:r>
          </w:p>
        </w:tc>
      </w:tr>
      <w:tr w:rsidR="0073293D">
        <w:trPr>
          <w:trHeight w:hRule="exact" w:val="240"/>
          <w:tblHeader/>
        </w:trPr>
        <w:tc>
          <w:tcPr>
            <w:tcW w:w="382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1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410"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r>
      <w:tr w:rsidR="0073293D">
        <w:trPr>
          <w:trHeight w:hRule="exact" w:val="270"/>
        </w:trPr>
        <w:tc>
          <w:tcPr>
            <w:tcW w:w="382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 xml:space="preserve">Dividend Yield </w:t>
            </w:r>
            <w:r>
              <w:rPr>
                <w:rFonts w:ascii="Arial" w:eastAsia="Arial" w:hAnsi="Arial" w:cs="Arial"/>
                <w:sz w:val="20"/>
                <w:vertAlign w:val="superscript"/>
              </w:rPr>
              <w:t>(1)</w:t>
            </w:r>
          </w:p>
        </w:tc>
        <w:tc>
          <w:tcPr>
            <w:tcW w:w="115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1.99</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15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2.10</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2.09</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2.15</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270"/>
        </w:trPr>
        <w:tc>
          <w:tcPr>
            <w:tcW w:w="382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 xml:space="preserve">Expected volatility </w:t>
            </w:r>
            <w:r>
              <w:rPr>
                <w:rFonts w:ascii="Arial" w:eastAsia="Arial" w:hAnsi="Arial" w:cs="Arial"/>
                <w:sz w:val="20"/>
                <w:vertAlign w:val="superscript"/>
              </w:rPr>
              <w:t>(2)</w:t>
            </w:r>
          </w:p>
        </w:tc>
        <w:tc>
          <w:tcPr>
            <w:tcW w:w="115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23.32</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15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23.09</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26.65</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27.68</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270"/>
        </w:trPr>
        <w:tc>
          <w:tcPr>
            <w:tcW w:w="382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 xml:space="preserve">Risk-free interest rate </w:t>
            </w:r>
            <w:r>
              <w:rPr>
                <w:rFonts w:ascii="Arial" w:eastAsia="Arial" w:hAnsi="Arial" w:cs="Arial"/>
                <w:sz w:val="20"/>
                <w:vertAlign w:val="superscript"/>
              </w:rPr>
              <w:t>(3)</w:t>
            </w:r>
          </w:p>
        </w:tc>
        <w:tc>
          <w:tcPr>
            <w:tcW w:w="115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2.94</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15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1.92</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2.78</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2.00</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270"/>
        </w:trPr>
        <w:tc>
          <w:tcPr>
            <w:tcW w:w="382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 xml:space="preserve">Expected term of options (years) </w:t>
            </w:r>
            <w:r>
              <w:rPr>
                <w:rFonts w:ascii="Arial" w:eastAsia="Arial" w:hAnsi="Arial" w:cs="Arial"/>
                <w:sz w:val="20"/>
                <w:vertAlign w:val="superscript"/>
              </w:rPr>
              <w:t>(4)</w:t>
            </w:r>
          </w:p>
        </w:tc>
        <w:tc>
          <w:tcPr>
            <w:tcW w:w="141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4.19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41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4.25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4.21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4.17</w:t>
            </w:r>
          </w:p>
        </w:tc>
      </w:tr>
      <w:tr w:rsidR="0073293D">
        <w:trPr>
          <w:trHeight w:hRule="exact" w:val="270"/>
        </w:trPr>
        <w:tc>
          <w:tcPr>
            <w:tcW w:w="382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Weighted-avg. grant date fair value</w:t>
            </w:r>
          </w:p>
        </w:tc>
        <w:tc>
          <w:tcPr>
            <w:tcW w:w="141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$4.05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410"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$3.35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$4.70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3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right"/>
            </w:pPr>
            <w:r>
              <w:rPr>
                <w:rFonts w:ascii="Arial" w:eastAsia="Arial" w:hAnsi="Arial" w:cs="Arial"/>
                <w:color w:val="000000"/>
                <w:sz w:val="20"/>
              </w:rPr>
              <w:t>$4.05</w:t>
            </w:r>
          </w:p>
        </w:tc>
      </w:tr>
    </w:tbl>
    <w:p w:rsidR="0073293D" w:rsidRDefault="00CC4FC6">
      <w:pPr>
        <w:numPr>
          <w:ilvl w:val="0"/>
          <w:numId w:val="1"/>
        </w:numPr>
        <w:spacing w:before="120"/>
        <w:ind w:left="1080"/>
      </w:pPr>
      <w:r>
        <w:rPr>
          <w:rFonts w:ascii="Arial" w:eastAsia="Arial" w:hAnsi="Arial" w:cs="Arial"/>
          <w:sz w:val="16"/>
        </w:rPr>
        <w:t>Represents the Company’s estimated cash dividend yield over the expected term of option grant.</w:t>
      </w:r>
    </w:p>
    <w:p w:rsidR="0073293D" w:rsidRDefault="00CC4FC6">
      <w:pPr>
        <w:numPr>
          <w:ilvl w:val="0"/>
          <w:numId w:val="1"/>
        </w:numPr>
        <w:ind w:left="1080"/>
      </w:pPr>
      <w:r>
        <w:rPr>
          <w:rFonts w:ascii="Arial" w:eastAsia="Arial" w:hAnsi="Arial" w:cs="Arial"/>
          <w:sz w:val="16"/>
        </w:rPr>
        <w:t>Amount is determined based on analysis of historical price volatility of the Company’s common stock. The expected volatility is based on the daily percentage change in the price of the stock over a period equal to the expected term of the option grant.</w:t>
      </w:r>
    </w:p>
    <w:p w:rsidR="0073293D" w:rsidRDefault="00CC4FC6">
      <w:pPr>
        <w:numPr>
          <w:ilvl w:val="0"/>
          <w:numId w:val="1"/>
        </w:numPr>
        <w:ind w:left="1080"/>
        <w:jc w:val="both"/>
      </w:pPr>
      <w:r>
        <w:rPr>
          <w:rFonts w:ascii="Arial" w:eastAsia="Arial" w:hAnsi="Arial" w:cs="Arial"/>
          <w:sz w:val="16"/>
        </w:rPr>
        <w:t>Represents the U.S. Treasury yield over the expected term of the option grant.</w:t>
      </w:r>
    </w:p>
    <w:p w:rsidR="0073293D" w:rsidRDefault="00CC4FC6">
      <w:pPr>
        <w:numPr>
          <w:ilvl w:val="0"/>
          <w:numId w:val="1"/>
        </w:numPr>
        <w:ind w:left="1080"/>
        <w:jc w:val="both"/>
      </w:pPr>
      <w:r>
        <w:rPr>
          <w:rFonts w:ascii="Arial" w:eastAsia="Arial" w:hAnsi="Arial" w:cs="Arial"/>
          <w:sz w:val="16"/>
        </w:rPr>
        <w:t>Represents the period of time that options granted are expected to be outstanding. Based on analysis of historical option exercise activity, the Company has determined that all employee groups exhibit similar exercise and post-vesting termination behavior.</w:t>
      </w:r>
    </w:p>
    <w:p w:rsidR="0073293D" w:rsidRDefault="0073293D">
      <w:pPr>
        <w:ind w:left="720"/>
        <w:jc w:val="both"/>
      </w:pPr>
    </w:p>
    <w:p w:rsidR="0073293D" w:rsidRDefault="00CC4FC6">
      <w:pPr>
        <w:ind w:left="720"/>
        <w:jc w:val="both"/>
      </w:pPr>
      <w:r>
        <w:rPr>
          <w:rFonts w:ascii="Arial" w:eastAsia="Arial" w:hAnsi="Arial" w:cs="Arial"/>
          <w:sz w:val="20"/>
        </w:rPr>
        <w:t>Under the employee stock option plan, the option exercise price equals the stock’s market price on date of grant. The options vest after one to five years, and expire after five to ten years.  As of September 30, 2018, there was $9,600,422 of unrecognized compensation cost related to share-based payments which is expected to be recognized over the remaining vesting periods.</w:t>
      </w:r>
    </w:p>
    <w:p w:rsidR="0073293D" w:rsidRDefault="0073293D">
      <w:pPr>
        <w:ind w:left="720"/>
        <w:jc w:val="both"/>
      </w:pPr>
    </w:p>
    <w:p w:rsidR="0073293D" w:rsidRDefault="00CC4FC6">
      <w:pPr>
        <w:ind w:left="720"/>
        <w:jc w:val="both"/>
      </w:pPr>
      <w:r>
        <w:rPr>
          <w:rFonts w:ascii="Arial" w:eastAsia="Arial" w:hAnsi="Arial" w:cs="Arial"/>
          <w:color w:val="000000"/>
          <w:sz w:val="20"/>
          <w:u w:val="single"/>
        </w:rPr>
        <w:t>Non-employee Director Stock Option Plan</w:t>
      </w:r>
    </w:p>
    <w:p w:rsidR="0073293D" w:rsidRDefault="0073293D">
      <w:pPr>
        <w:ind w:left="720"/>
        <w:jc w:val="both"/>
      </w:pPr>
    </w:p>
    <w:p w:rsidR="0073293D" w:rsidRDefault="00CC4FC6">
      <w:pPr>
        <w:ind w:left="720"/>
        <w:jc w:val="both"/>
      </w:pPr>
      <w:r>
        <w:rPr>
          <w:rFonts w:ascii="Arial" w:eastAsia="Arial" w:hAnsi="Arial" w:cs="Arial"/>
          <w:sz w:val="20"/>
        </w:rPr>
        <w:t>The Company has a non-employee director stock option plan covering 1,000,000 shares of common stock.  As of September 30, 2018, there was $87,458 of unrecognized compensation cost under the non-employee director plan related to share-based payments. The Company has granted options on 480,430 shares under the non-employee director plan through September 30, 2018.  Under the non-employee director plan, the option exercise price equals the stock’s market price on the date of grant. The options vest after six months, and expire after ten years.</w:t>
      </w:r>
    </w:p>
    <w:p w:rsidR="0073293D" w:rsidRDefault="0073293D">
      <w:pPr>
        <w:ind w:left="720"/>
        <w:jc w:val="both"/>
      </w:pPr>
    </w:p>
    <w:p w:rsidR="0073293D" w:rsidRDefault="00CC4FC6">
      <w:pPr>
        <w:ind w:left="720"/>
        <w:jc w:val="both"/>
      </w:pPr>
      <w:r>
        <w:rPr>
          <w:rFonts w:ascii="Arial" w:eastAsia="Arial" w:hAnsi="Arial" w:cs="Arial"/>
          <w:color w:val="000000"/>
          <w:sz w:val="20"/>
          <w:u w:val="single"/>
        </w:rPr>
        <w:t>Employee Stock Purchase Plan</w:t>
      </w:r>
    </w:p>
    <w:p w:rsidR="0073293D" w:rsidRDefault="0073293D">
      <w:pPr>
        <w:ind w:left="720"/>
        <w:jc w:val="both"/>
      </w:pPr>
    </w:p>
    <w:p w:rsidR="0073293D" w:rsidRDefault="00CC4FC6">
      <w:pPr>
        <w:ind w:left="720"/>
        <w:jc w:val="both"/>
      </w:pPr>
      <w:r>
        <w:rPr>
          <w:rFonts w:ascii="Arial" w:eastAsia="Arial" w:hAnsi="Arial" w:cs="Arial"/>
          <w:sz w:val="20"/>
        </w:rPr>
        <w:t>The Company has an employee stock purchase plan covering 2,000,000 shares of common stock.  Under the plan, the Company sells shares at 85% of the stock’s market price at date of purchase. Under ASC 718, the 15% discounted value is recognized as compensation expense.  As of September 30, 2018, the Company has granted 924,878 shares under this plan.</w:t>
      </w:r>
    </w:p>
    <w:p w:rsidR="0073293D" w:rsidRDefault="0073293D">
      <w:pPr>
        <w:ind w:left="720"/>
        <w:jc w:val="both"/>
      </w:pPr>
    </w:p>
    <w:p w:rsidR="0073293D" w:rsidRDefault="00CC4FC6">
      <w:pPr>
        <w:ind w:left="720"/>
        <w:jc w:val="both"/>
      </w:pPr>
      <w:r>
        <w:rPr>
          <w:rFonts w:ascii="Arial" w:eastAsia="Arial" w:hAnsi="Arial" w:cs="Arial"/>
          <w:color w:val="000000"/>
          <w:sz w:val="20"/>
          <w:u w:val="single"/>
        </w:rPr>
        <w:t>Restricted Stock Plan</w:t>
      </w:r>
    </w:p>
    <w:p w:rsidR="0073293D" w:rsidRDefault="0073293D">
      <w:pPr>
        <w:ind w:left="720"/>
        <w:jc w:val="both"/>
      </w:pPr>
    </w:p>
    <w:p w:rsidR="0073293D" w:rsidRDefault="00CC4FC6">
      <w:pPr>
        <w:ind w:left="720"/>
        <w:jc w:val="both"/>
      </w:pPr>
      <w:r>
        <w:rPr>
          <w:rFonts w:ascii="Arial" w:eastAsia="Arial" w:hAnsi="Arial" w:cs="Arial"/>
          <w:sz w:val="20"/>
        </w:rPr>
        <w:t>The Company has a restricted stock plan covering 9,000,000 shares of common stock. The purpose of the restricted stock plan is to permit grants of shares, subject to restrictions, to employees of the Company as a means of retaining and rewarding them for performance and to increase their ownership in the Company. Shares awarded under the restricted stock plan entitle the shareholder to all rights of common stock ownership except that the shares may not be sold, transferred, pledged, exchanged or otherwise disposed of during the restriction period.  The restriction period is determined by the Compensation Committee, appointed by the Board of Directors, but may not exceed ten years under the terms of the plan.  As of September 30, 2018, the Company had unearned stock-based compensation of $33,559,239 associated with these restricted stock grants. The unearned stock-based compensation related to these grants is being amortized to compensation expense over the applicable restriction periods. Amortization expense from restricted stock grants in the three and nine months ended September 30, 2018 was $2,480,911 and $6,314,544, respectively, and for the three and nine months ended September 30, 2017 was $1,788,162 and $4,014,820, respectively.</w:t>
      </w:r>
    </w:p>
    <w:p w:rsidR="0073293D" w:rsidRDefault="0073293D">
      <w:pPr>
        <w:ind w:left="720"/>
        <w:jc w:val="both"/>
        <w:sectPr w:rsidR="0073293D">
          <w:type w:val="continuous"/>
          <w:pgSz w:w="12240" w:h="15840"/>
          <w:pgMar w:top="1620" w:right="990" w:bottom="900" w:left="990" w:header="270" w:footer="270" w:gutter="0"/>
          <w:cols w:space="720"/>
        </w:sectPr>
      </w:pPr>
    </w:p>
    <w:p w:rsidR="0073293D" w:rsidRDefault="0073293D">
      <w:bookmarkStart w:id="17" w:name="Section17"/>
      <w:bookmarkEnd w:id="17"/>
    </w:p>
    <w:p w:rsidR="0073293D" w:rsidRDefault="00CC4FC6">
      <w:r>
        <w:rPr>
          <w:rFonts w:ascii="Arial" w:eastAsia="Arial" w:hAnsi="Arial" w:cs="Arial"/>
          <w:sz w:val="20"/>
        </w:rPr>
        <w:t>(8)</w:t>
      </w:r>
      <w:r>
        <w:rPr>
          <w:rFonts w:ascii="Arial" w:eastAsia="Arial" w:hAnsi="Arial" w:cs="Arial"/>
          <w:sz w:val="20"/>
        </w:rPr>
        <w:tab/>
        <w:t>Comprehensive Income</w:t>
      </w:r>
    </w:p>
    <w:p w:rsidR="0073293D" w:rsidRDefault="0073293D">
      <w:pPr>
        <w:ind w:left="720"/>
        <w:jc w:val="both"/>
      </w:pPr>
    </w:p>
    <w:p w:rsidR="0073293D" w:rsidRDefault="00CC4FC6">
      <w:pPr>
        <w:ind w:left="720"/>
        <w:jc w:val="both"/>
      </w:pPr>
      <w:r>
        <w:rPr>
          <w:rFonts w:ascii="Arial" w:eastAsia="Arial" w:hAnsi="Arial" w:cs="Arial"/>
          <w:sz w:val="20"/>
        </w:rPr>
        <w:t xml:space="preserve">Comprehensive income reflects the change in equity of a business enterprise during a period from transactions and other events and circumstances from non-owner sources. For the Company, comprehensive income represents net income adjusted for unrealized gains and losses on certain debt investments, foreign currency translation adjustments, and derivatives. </w:t>
      </w:r>
    </w:p>
    <w:p w:rsidR="0073293D" w:rsidRDefault="0073293D">
      <w:pPr>
        <w:ind w:left="720"/>
        <w:jc w:val="both"/>
      </w:pPr>
    </w:p>
    <w:p w:rsidR="0073293D" w:rsidRDefault="00CC4FC6">
      <w:pPr>
        <w:ind w:left="720"/>
        <w:jc w:val="both"/>
      </w:pPr>
      <w:r>
        <w:rPr>
          <w:rFonts w:ascii="Arial" w:eastAsia="Arial" w:hAnsi="Arial" w:cs="Arial"/>
          <w:sz w:val="20"/>
        </w:rPr>
        <w:t>The following table presents the net changes in the Company's accumulated other comprehensive income (loss) by component:  (All amounts shown are net of tax).</w:t>
      </w:r>
    </w:p>
    <w:p w:rsidR="0073293D" w:rsidRDefault="0073293D">
      <w:pPr>
        <w:ind w:left="720" w:firstLine="360"/>
      </w:pPr>
    </w:p>
    <w:tbl>
      <w:tblPr>
        <w:tblW w:w="94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218"/>
        <w:gridCol w:w="1282"/>
        <w:gridCol w:w="70"/>
        <w:gridCol w:w="112"/>
        <w:gridCol w:w="1274"/>
        <w:gridCol w:w="125"/>
        <w:gridCol w:w="112"/>
        <w:gridCol w:w="1274"/>
        <w:gridCol w:w="166"/>
        <w:gridCol w:w="112"/>
        <w:gridCol w:w="1274"/>
      </w:tblGrid>
      <w:tr w:rsidR="0073293D">
        <w:trPr>
          <w:trHeight w:hRule="exact" w:val="255"/>
          <w:tblHeader/>
        </w:trPr>
        <w:tc>
          <w:tcPr>
            <w:tcW w:w="354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86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970"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w:t>
            </w:r>
          </w:p>
        </w:tc>
      </w:tr>
      <w:tr w:rsidR="0073293D">
        <w:trPr>
          <w:trHeight w:hRule="exact" w:val="255"/>
          <w:tblHeader/>
        </w:trPr>
        <w:tc>
          <w:tcPr>
            <w:tcW w:w="354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r>
      <w:tr w:rsidR="0073293D">
        <w:trPr>
          <w:trHeight w:hRule="exact" w:val="495"/>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Foreign currency translation adjustments:</w:t>
            </w:r>
          </w:p>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Balance at beginning of period</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(194,395)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(1,179,199)</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645,030</w:t>
            </w: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(2,862,999)</w:t>
            </w:r>
          </w:p>
        </w:tc>
      </w:tr>
      <w:tr w:rsidR="0073293D">
        <w:trPr>
          <w:trHeight w:hRule="exact" w:val="495"/>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 Comprehensive (loss) income before reclassifications</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(1,174,213)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1,182,152</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(2,013,638)</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2,865,952</w:t>
            </w:r>
          </w:p>
        </w:tc>
      </w:tr>
      <w:tr w:rsidR="0073293D">
        <w:trPr>
          <w:trHeight w:hRule="exact" w:val="300"/>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Net current-period change</w:t>
            </w:r>
          </w:p>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(1,174,213)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1,182,152</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(2,013,638)</w:t>
            </w: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2,865,952</w:t>
            </w:r>
          </w:p>
        </w:tc>
      </w:tr>
      <w:tr w:rsidR="0073293D">
        <w:trPr>
          <w:trHeight w:hRule="exact" w:val="300"/>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Balance at end of period</w:t>
            </w:r>
          </w:p>
        </w:tc>
        <w:tc>
          <w:tcPr>
            <w:tcW w:w="1395"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(1,368,608)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2,953</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(1,368,608)</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2,953</w:t>
            </w:r>
          </w:p>
        </w:tc>
      </w:tr>
      <w:tr w:rsidR="0073293D">
        <w:trPr>
          <w:trHeight w:hRule="exact" w:val="495"/>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Unrealized gains (losses) on available-for-sale debt securities:</w:t>
            </w:r>
          </w:p>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73293D">
            <w:pPr>
              <w:spacing w:before="55"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73293D">
            <w:pPr>
              <w:spacing w:before="55" w:after="10"/>
            </w:pP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Balance at beginning of period</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(271,939)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4,818,677</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(16,349)</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2,788,975</w:t>
            </w:r>
          </w:p>
        </w:tc>
      </w:tr>
      <w:tr w:rsidR="0073293D">
        <w:trPr>
          <w:trHeight w:hRule="exact" w:val="495"/>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 Comprehensive (loss) income before reclassifications</w:t>
            </w:r>
          </w:p>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(276,010)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1,371,712</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33,941</w:t>
            </w: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4,111,338</w:t>
            </w:r>
          </w:p>
        </w:tc>
      </w:tr>
      <w:tr w:rsidR="0073293D">
        <w:trPr>
          <w:trHeight w:hRule="exact" w:val="690"/>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Amounts reclassified from accumulated other comprehensive income</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(205,433)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114,905</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(770,974)</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(595,019)</w:t>
            </w:r>
          </w:p>
        </w:tc>
      </w:tr>
      <w:tr w:rsidR="0073293D">
        <w:trPr>
          <w:trHeight w:hRule="exact" w:val="300"/>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Net current-period change</w:t>
            </w:r>
          </w:p>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(481,443)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1,486,617</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(737,033)</w:t>
            </w: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3,516,319</w:t>
            </w:r>
          </w:p>
        </w:tc>
      </w:tr>
      <w:tr w:rsidR="0073293D">
        <w:trPr>
          <w:trHeight w:hRule="exact" w:val="300"/>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Balance at end of period</w:t>
            </w:r>
          </w:p>
        </w:tc>
        <w:tc>
          <w:tcPr>
            <w:tcW w:w="1395"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(753,382)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6,305,294</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(753,382)</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6,305,294</w:t>
            </w:r>
          </w:p>
        </w:tc>
      </w:tr>
      <w:tr w:rsidR="0073293D">
        <w:trPr>
          <w:trHeight w:hRule="exact" w:val="495"/>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Unrealized gains (losses) on derivatives:</w:t>
            </w:r>
          </w:p>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73293D">
            <w:pPr>
              <w:spacing w:before="55"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Balance at beginning of period</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(12,770)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(458,322)</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(78,026)</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(1,197,281)</w:t>
            </w:r>
          </w:p>
        </w:tc>
      </w:tr>
      <w:tr w:rsidR="0073293D">
        <w:trPr>
          <w:trHeight w:hRule="exact" w:val="495"/>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 comprehensive income (loss) before reclassifications</w:t>
            </w:r>
          </w:p>
        </w:tc>
        <w:tc>
          <w:tcPr>
            <w:tcW w:w="13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114,889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424</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175,308</w:t>
            </w: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124,124</w:t>
            </w:r>
          </w:p>
        </w:tc>
      </w:tr>
      <w:tr w:rsidR="0073293D">
        <w:trPr>
          <w:trHeight w:hRule="exact" w:val="690"/>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Amounts reclassified from accumulated other comprehensive income</w:t>
            </w:r>
          </w:p>
        </w:tc>
        <w:tc>
          <w:tcPr>
            <w:tcW w:w="13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(102,119)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155,066</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(97,282)</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770,325</w:t>
            </w:r>
          </w:p>
        </w:tc>
      </w:tr>
      <w:tr w:rsidR="0073293D">
        <w:trPr>
          <w:trHeight w:hRule="exact" w:val="300"/>
        </w:trPr>
        <w:tc>
          <w:tcPr>
            <w:tcW w:w="354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Net current-period change</w:t>
            </w:r>
          </w:p>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12,770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155,490</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78,026</w:t>
            </w: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894,449</w:t>
            </w:r>
          </w:p>
        </w:tc>
      </w:tr>
      <w:tr w:rsidR="0073293D">
        <w:trPr>
          <w:trHeight w:hRule="exact" w:val="300"/>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Balance at end of period</w:t>
            </w:r>
          </w:p>
        </w:tc>
        <w:tc>
          <w:tcPr>
            <w:tcW w:w="1395"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(302,832)</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(302,832)</w:t>
            </w:r>
          </w:p>
        </w:tc>
      </w:tr>
      <w:tr w:rsidR="0073293D">
        <w:trPr>
          <w:trHeight w:hRule="exact" w:val="120"/>
        </w:trPr>
        <w:tc>
          <w:tcPr>
            <w:tcW w:w="354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73293D">
            <w:pPr>
              <w:spacing w:before="55" w:after="10"/>
            </w:pP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73293D">
            <w:pPr>
              <w:spacing w:before="55" w:after="10"/>
            </w:pPr>
          </w:p>
        </w:tc>
        <w:tc>
          <w:tcPr>
            <w:tcW w:w="1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95"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495"/>
        </w:trPr>
        <w:tc>
          <w:tcPr>
            <w:tcW w:w="354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Accumulated other comprehensive (loss) income, end of period</w:t>
            </w:r>
          </w:p>
        </w:tc>
        <w:tc>
          <w:tcPr>
            <w:tcW w:w="100"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295" w:type="dxa"/>
            <w:tcBorders>
              <w:top w:val="nil"/>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(2,121,990)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6,005,415</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(2,121,990)</w:t>
            </w:r>
          </w:p>
        </w:tc>
        <w:tc>
          <w:tcPr>
            <w:tcW w:w="1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295" w:type="dxa"/>
            <w:tcBorders>
              <w:top w:val="nil"/>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6,005,415</w:t>
            </w:r>
          </w:p>
        </w:tc>
      </w:tr>
    </w:tbl>
    <w:p w:rsidR="0073293D" w:rsidRDefault="00CC4FC6">
      <w:pPr>
        <w:spacing w:before="120"/>
        <w:ind w:left="720"/>
      </w:pPr>
      <w:r>
        <w:rPr>
          <w:rFonts w:ascii="Arial" w:eastAsia="Arial" w:hAnsi="Arial" w:cs="Arial"/>
          <w:sz w:val="20"/>
        </w:rPr>
        <w:t xml:space="preserve">  </w:t>
      </w:r>
    </w:p>
    <w:p w:rsidR="0073293D" w:rsidRDefault="00CC4FC6">
      <w:pPr>
        <w:ind w:left="720"/>
      </w:pPr>
      <w:r>
        <w:rPr>
          <w:rFonts w:ascii="Arial" w:eastAsia="Arial" w:hAnsi="Arial" w:cs="Arial"/>
          <w:sz w:val="20"/>
        </w:rPr>
        <w:t xml:space="preserve"> </w:t>
      </w:r>
    </w:p>
    <w:p w:rsidR="0073293D" w:rsidRDefault="00CC4FC6">
      <w:pPr>
        <w:ind w:left="720"/>
      </w:pPr>
      <w:r>
        <w:rPr>
          <w:rFonts w:ascii="Arial" w:eastAsia="Arial" w:hAnsi="Arial" w:cs="Arial"/>
          <w:sz w:val="20"/>
        </w:rPr>
        <w:t>The following table presents details of reclassifications out of accumulated other comprehensive income for the nine months ended September 30, 2018 and 2017.</w:t>
      </w:r>
    </w:p>
    <w:p w:rsidR="0073293D" w:rsidRDefault="0073293D">
      <w:pPr>
        <w:ind w:left="720"/>
      </w:pPr>
    </w:p>
    <w:tbl>
      <w:tblPr>
        <w:tblW w:w="94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71"/>
        <w:gridCol w:w="101"/>
        <w:gridCol w:w="792"/>
        <w:gridCol w:w="71"/>
        <w:gridCol w:w="101"/>
        <w:gridCol w:w="798"/>
        <w:gridCol w:w="71"/>
        <w:gridCol w:w="101"/>
        <w:gridCol w:w="793"/>
        <w:gridCol w:w="128"/>
        <w:gridCol w:w="101"/>
        <w:gridCol w:w="921"/>
        <w:gridCol w:w="71"/>
        <w:gridCol w:w="2653"/>
      </w:tblGrid>
      <w:tr w:rsidR="0073293D">
        <w:trPr>
          <w:trHeight w:hRule="exact" w:val="585"/>
          <w:tblHeader/>
        </w:trPr>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Details about Accumulated Other Comprehensive Income Components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3885" w:type="dxa"/>
            <w:gridSpan w:val="11"/>
            <w:vMerge w:val="restart"/>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Amounts Reclassified from Other Comprehensive Income</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Affected Line item in the Statement of Consolidated Income</w:t>
            </w:r>
          </w:p>
        </w:tc>
      </w:tr>
      <w:tr w:rsidR="0073293D">
        <w:trPr>
          <w:trHeight w:hRule="exact" w:val="420"/>
          <w:tblHeader/>
        </w:trPr>
        <w:tc>
          <w:tcPr>
            <w:tcW w:w="274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75" w:type="dxa"/>
            <w:gridSpan w:val="5"/>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935" w:type="dxa"/>
            <w:gridSpan w:val="5"/>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 xml:space="preserve">Nine Months Ended </w:t>
            </w:r>
          </w:p>
          <w:p w:rsidR="0073293D" w:rsidRDefault="00CC4FC6">
            <w:pPr>
              <w:spacing w:after="10"/>
              <w:jc w:val="center"/>
            </w:pPr>
            <w:r>
              <w:rPr>
                <w:rFonts w:ascii="Arial" w:eastAsia="Arial" w:hAnsi="Arial" w:cs="Arial"/>
                <w:b/>
                <w:sz w:val="16"/>
              </w:rPr>
              <w:t>September 30,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85"/>
          <w:tblHeader/>
        </w:trPr>
        <w:tc>
          <w:tcPr>
            <w:tcW w:w="274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465"/>
        </w:trPr>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Unrealized gains (losses) on available-for-sale debt securities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495"/>
        </w:trPr>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Realized gain on sale of securities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260,042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(176,777)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975,917</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915,414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Other income (loss), net</w:t>
            </w:r>
          </w:p>
        </w:tc>
      </w:tr>
      <w:tr w:rsidR="0073293D">
        <w:trPr>
          <w:trHeight w:hRule="exact" w:val="300"/>
        </w:trPr>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Provision for income taxes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(54,609)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61,872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(204,943)</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(320,395)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Provision for income taxes</w:t>
            </w:r>
          </w:p>
        </w:tc>
      </w:tr>
      <w:tr w:rsidR="0073293D">
        <w:trPr>
          <w:trHeight w:hRule="exact" w:val="285"/>
        </w:trPr>
        <w:tc>
          <w:tcPr>
            <w:tcW w:w="274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205,433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(114,905)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770,974</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595,019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Net of tax</w:t>
            </w:r>
          </w:p>
        </w:tc>
      </w:tr>
      <w:tr w:rsidR="0073293D">
        <w:trPr>
          <w:trHeight w:hRule="exact" w:val="315"/>
        </w:trPr>
        <w:tc>
          <w:tcPr>
            <w:tcW w:w="274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465"/>
        </w:trPr>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Unrealized gains (losses) on derivatives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495"/>
        </w:trPr>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Realized gain (loss) on interest rate swap</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129,265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(238,564)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123,142</w:t>
            </w:r>
          </w:p>
        </w:tc>
        <w:tc>
          <w:tcPr>
            <w:tcW w:w="13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(1,185,116)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Other income (loss), net</w:t>
            </w:r>
          </w:p>
        </w:tc>
      </w:tr>
      <w:tr w:rsidR="0073293D">
        <w:trPr>
          <w:trHeight w:hRule="exact" w:val="300"/>
        </w:trPr>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Provision for income taxes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(27,146)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83,498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(25,860)</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414,791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Provision for income taxes</w:t>
            </w:r>
          </w:p>
        </w:tc>
      </w:tr>
      <w:tr w:rsidR="0073293D">
        <w:trPr>
          <w:trHeight w:hRule="exact" w:val="285"/>
        </w:trPr>
        <w:tc>
          <w:tcPr>
            <w:tcW w:w="274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102,119</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(155,066)</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97,282</w:t>
            </w:r>
          </w:p>
        </w:tc>
        <w:tc>
          <w:tcPr>
            <w:tcW w:w="1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(770,325)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Net of tax</w:t>
            </w:r>
          </w:p>
        </w:tc>
      </w:tr>
      <w:tr w:rsidR="0073293D">
        <w:trPr>
          <w:trHeight w:hRule="exact" w:val="315"/>
        </w:trPr>
        <w:tc>
          <w:tcPr>
            <w:tcW w:w="274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3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gridSpan w:val="2"/>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465"/>
        </w:trPr>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Total net reclassifications for the period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307,552</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(269,971)</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868,256</w:t>
            </w:r>
          </w:p>
        </w:tc>
        <w:tc>
          <w:tcPr>
            <w:tcW w:w="1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18"/>
              </w:rPr>
              <w:t>$</w:t>
            </w:r>
          </w:p>
        </w:tc>
        <w:tc>
          <w:tcPr>
            <w:tcW w:w="8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18"/>
              </w:rPr>
              <w:t>(175,306)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27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18"/>
              </w:rPr>
              <w:t>Net of tax</w:t>
            </w:r>
          </w:p>
        </w:tc>
      </w:tr>
    </w:tbl>
    <w:p w:rsidR="0073293D" w:rsidRDefault="0073293D">
      <w:pPr>
        <w:spacing w:before="120"/>
        <w:ind w:left="720"/>
      </w:pPr>
    </w:p>
    <w:p w:rsidR="0073293D" w:rsidRDefault="0073293D">
      <w:pPr>
        <w:spacing w:before="120"/>
        <w:ind w:left="720"/>
        <w:sectPr w:rsidR="0073293D">
          <w:type w:val="continuous"/>
          <w:pgSz w:w="12240" w:h="15840"/>
          <w:pgMar w:top="1620" w:right="990" w:bottom="900" w:left="990" w:header="270" w:footer="270" w:gutter="0"/>
          <w:cols w:space="720"/>
        </w:sectPr>
      </w:pPr>
    </w:p>
    <w:p w:rsidR="0073293D" w:rsidRDefault="0073293D">
      <w:pPr>
        <w:ind w:left="720"/>
      </w:pPr>
      <w:bookmarkStart w:id="18" w:name="Section18"/>
      <w:bookmarkEnd w:id="18"/>
    </w:p>
    <w:p w:rsidR="0073293D" w:rsidRDefault="00CC4FC6">
      <w:r>
        <w:rPr>
          <w:rFonts w:ascii="Arial" w:eastAsia="Arial" w:hAnsi="Arial" w:cs="Arial"/>
          <w:sz w:val="20"/>
        </w:rPr>
        <w:t>(9)</w:t>
      </w:r>
      <w:r>
        <w:rPr>
          <w:rFonts w:ascii="Arial" w:eastAsia="Arial" w:hAnsi="Arial" w:cs="Arial"/>
          <w:sz w:val="20"/>
        </w:rPr>
        <w:tab/>
        <w:t>Debt and Financing Arrangements</w:t>
      </w:r>
    </w:p>
    <w:p w:rsidR="0073293D" w:rsidRDefault="0073293D"/>
    <w:p w:rsidR="0073293D" w:rsidRDefault="00CC4FC6">
      <w:pPr>
        <w:ind w:left="720"/>
        <w:jc w:val="both"/>
      </w:pPr>
      <w:r>
        <w:rPr>
          <w:rFonts w:ascii="Arial" w:eastAsia="Arial" w:hAnsi="Arial" w:cs="Arial"/>
          <w:sz w:val="20"/>
        </w:rPr>
        <w:t xml:space="preserve">On September 27, 2013, the Company entered into a credit agreement with certain banks and agents.  </w:t>
      </w:r>
    </w:p>
    <w:p w:rsidR="0073293D" w:rsidRDefault="0073293D">
      <w:pPr>
        <w:ind w:left="720"/>
        <w:jc w:val="both"/>
      </w:pPr>
    </w:p>
    <w:p w:rsidR="0073293D" w:rsidRDefault="00CC4FC6">
      <w:pPr>
        <w:ind w:left="720"/>
        <w:jc w:val="both"/>
      </w:pPr>
      <w:r>
        <w:rPr>
          <w:rFonts w:ascii="Arial" w:eastAsia="Arial" w:hAnsi="Arial" w:cs="Arial"/>
          <w:sz w:val="20"/>
        </w:rPr>
        <w:t xml:space="preserve">During the three and nine months ended September 30, 2018, the Company made principal repayments of $23.1 million and $78.0 million, respectively, plus accrued interest, on the previously existing term loan, which completed the repayments on the outstanding balance on the credit facility.  The Company used cash and cash equivalents to fund the payments.  As of September 30, 2018, there was no outstanding balance on the revolver or the term loan and such credit facility has expired.  </w:t>
      </w:r>
    </w:p>
    <w:p w:rsidR="0073293D" w:rsidRDefault="0073293D">
      <w:pPr>
        <w:jc w:val="both"/>
      </w:pPr>
    </w:p>
    <w:p w:rsidR="0073293D" w:rsidRDefault="00CC4FC6">
      <w:pPr>
        <w:ind w:left="720"/>
        <w:jc w:val="both"/>
        <w:rPr>
          <w:sz w:val="20"/>
        </w:rPr>
      </w:pPr>
      <w:r>
        <w:rPr>
          <w:rFonts w:ascii="Arial" w:eastAsia="Arial" w:hAnsi="Arial" w:cs="Arial"/>
          <w:sz w:val="20"/>
        </w:rPr>
        <w:t xml:space="preserve">Interest expense is netted within the "Other, net" section of the Condensed </w:t>
      </w:r>
      <w:hyperlink w:anchor="Section6" w:history="1">
        <w:r>
          <w:rPr>
            <w:rFonts w:ascii="Arial" w:eastAsia="Arial" w:hAnsi="Arial" w:cs="Arial"/>
            <w:color w:val="0000FF"/>
            <w:sz w:val="20"/>
          </w:rPr>
          <w:t>Consolidated Statements of Income</w:t>
        </w:r>
      </w:hyperlink>
      <w:r>
        <w:rPr>
          <w:rFonts w:ascii="Arial" w:eastAsia="Arial" w:hAnsi="Arial" w:cs="Arial"/>
          <w:sz w:val="20"/>
        </w:rPr>
        <w:t>, and interest expense associated with the previously existing term loan and revolver was $0.1 million and $0.8 million during the three and nine months ended September 30, 2018, respectively, and $0.7 million and $2.3 million during the three and nine months ended September 30, 2017, respectively.</w:t>
      </w:r>
    </w:p>
    <w:p w:rsidR="0073293D" w:rsidRDefault="0073293D">
      <w:pPr>
        <w:ind w:left="720"/>
        <w:jc w:val="both"/>
        <w:rPr>
          <w:sz w:val="20"/>
        </w:rPr>
      </w:pPr>
    </w:p>
    <w:p w:rsidR="0073293D" w:rsidRDefault="00CC4FC6">
      <w:pPr>
        <w:ind w:left="720"/>
        <w:jc w:val="both"/>
        <w:rPr>
          <w:sz w:val="20"/>
        </w:rPr>
      </w:pPr>
      <w:r>
        <w:rPr>
          <w:rFonts w:ascii="Arial" w:eastAsia="Arial" w:hAnsi="Arial" w:cs="Arial"/>
          <w:sz w:val="20"/>
        </w:rPr>
        <w:t xml:space="preserve">On October 15, 2018, as previously disclosed, the Company entered into a new Credit Agreement (“Credit Agreement”) with PNC as the administrative agent and sole lender.  </w:t>
      </w:r>
    </w:p>
    <w:p w:rsidR="0073293D" w:rsidRDefault="0073293D">
      <w:pPr>
        <w:ind w:left="720"/>
        <w:jc w:val="both"/>
        <w:rPr>
          <w:sz w:val="20"/>
        </w:rPr>
      </w:pPr>
    </w:p>
    <w:p w:rsidR="0073293D" w:rsidRDefault="00CC4FC6">
      <w:pPr>
        <w:ind w:left="720"/>
        <w:jc w:val="both"/>
        <w:rPr>
          <w:sz w:val="20"/>
        </w:rPr>
      </w:pPr>
      <w:r>
        <w:rPr>
          <w:rFonts w:ascii="Arial" w:eastAsia="Arial" w:hAnsi="Arial" w:cs="Arial"/>
          <w:sz w:val="20"/>
        </w:rPr>
        <w:t xml:space="preserve">Pursuant to this new Credit Agreement, the Company has access to a $150 million senior revolving credit facility (“Revolver”). Under the terms of the Credit Agreement, the Company is entitled, to further request an additional aggregate principal amount of up to $100 million, subject to the satisfaction of certain conditions. In addition, the Company is entitled to the benefit of swing loans from amounts otherwise available under the Revolver in the aggregate principal amount of up to $20 million and to request Letters of Credit from amounts otherwise available under the Revolver in the aggregate principle amount up to $20 million, both subject to certain conditions.  The obligations of the Company under the Credit Agreement are not secured, but are subject to certain covenants.  As of September 30, 2018, there was no outstanding balance on the Revolver.  The Revolver expires on October 15, 2023. </w:t>
      </w:r>
    </w:p>
    <w:p w:rsidR="0073293D" w:rsidRDefault="0073293D">
      <w:pPr>
        <w:ind w:left="720"/>
        <w:jc w:val="both"/>
        <w:rPr>
          <w:sz w:val="20"/>
        </w:rPr>
      </w:pPr>
    </w:p>
    <w:p w:rsidR="0073293D" w:rsidRDefault="00CC4FC6">
      <w:pPr>
        <w:ind w:left="720"/>
        <w:jc w:val="both"/>
        <w:rPr>
          <w:sz w:val="20"/>
        </w:rPr>
      </w:pPr>
      <w:r>
        <w:rPr>
          <w:rFonts w:ascii="Arial" w:eastAsia="Arial" w:hAnsi="Arial" w:cs="Arial"/>
          <w:sz w:val="20"/>
        </w:rPr>
        <w:t>The Credit Agreement contains customary representations and warranties and certain covenants that place certain limitations on the Company.</w:t>
      </w:r>
    </w:p>
    <w:p w:rsidR="0073293D" w:rsidRDefault="0073293D">
      <w:pPr>
        <w:jc w:val="both"/>
        <w:rPr>
          <w:sz w:val="20"/>
        </w:rPr>
      </w:pPr>
    </w:p>
    <w:p w:rsidR="0073293D" w:rsidRDefault="00CC4FC6">
      <w:pPr>
        <w:ind w:left="720"/>
        <w:jc w:val="both"/>
        <w:rPr>
          <w:sz w:val="20"/>
        </w:rPr>
      </w:pPr>
      <w:r>
        <w:rPr>
          <w:rFonts w:ascii="Arial" w:eastAsia="Arial" w:hAnsi="Arial" w:cs="Arial"/>
          <w:sz w:val="20"/>
        </w:rPr>
        <w:t>As of September 30, 2018, the Company was in compliance with its covenants under the new Credit Agreement.</w:t>
      </w:r>
    </w:p>
    <w:p w:rsidR="0073293D" w:rsidRDefault="0073293D">
      <w:pPr>
        <w:ind w:left="720"/>
        <w:jc w:val="both"/>
        <w:rPr>
          <w:sz w:val="20"/>
        </w:rPr>
        <w:sectPr w:rsidR="0073293D">
          <w:type w:val="continuous"/>
          <w:pgSz w:w="12240" w:h="15840"/>
          <w:pgMar w:top="1620" w:right="990" w:bottom="900" w:left="990" w:header="270" w:footer="270" w:gutter="0"/>
          <w:cols w:space="720"/>
        </w:sectPr>
      </w:pPr>
    </w:p>
    <w:p w:rsidR="0073293D" w:rsidRDefault="0073293D">
      <w:bookmarkStart w:id="19" w:name="Section19"/>
      <w:bookmarkEnd w:id="19"/>
    </w:p>
    <w:p w:rsidR="0073293D" w:rsidRDefault="00CC4FC6">
      <w:r>
        <w:rPr>
          <w:rFonts w:ascii="Arial" w:eastAsia="Arial" w:hAnsi="Arial" w:cs="Arial"/>
          <w:sz w:val="20"/>
        </w:rPr>
        <w:t>(10)</w:t>
      </w:r>
      <w:r>
        <w:rPr>
          <w:rFonts w:ascii="Arial" w:eastAsia="Arial" w:hAnsi="Arial" w:cs="Arial"/>
          <w:sz w:val="20"/>
        </w:rPr>
        <w:tab/>
        <w:t>Equity</w:t>
      </w:r>
    </w:p>
    <w:p w:rsidR="0073293D" w:rsidRDefault="0073293D">
      <w:pPr>
        <w:ind w:left="720"/>
      </w:pPr>
    </w:p>
    <w:p w:rsidR="0073293D" w:rsidRDefault="00CC4FC6">
      <w:pPr>
        <w:ind w:left="720"/>
        <w:jc w:val="both"/>
      </w:pPr>
      <w:r>
        <w:rPr>
          <w:rFonts w:ascii="Arial" w:eastAsia="Arial" w:hAnsi="Arial" w:cs="Arial"/>
          <w:sz w:val="20"/>
        </w:rPr>
        <w:t xml:space="preserve">The decrease in common stock during the nine months ended September 30, 2018, was primarily due to the repurchases of 23.1 million shares, of which 17.6 million shares were acquired pursuant to the Company's previously announced share repurchase plan.  In addition, 5.5 million shares were repurchased from the former CEO and subsequently retired, pursuant to his previously disclosed retirement agreement, at a price of $20.98 per share.  As previously announced, these share repurchases were separately approved by the Company's Board of Directors and were not repurchased as part of the Company’s existing share repurchase plan.  The share repurchases for the first nine months of 2018 were partially offset by the issuance of 4.9 million shares of the Company’s common stock under the Company’s stock-based compensation plans.  The total net decrease was 18.2 million shares. </w:t>
      </w:r>
    </w:p>
    <w:p w:rsidR="0073293D" w:rsidRDefault="0073293D">
      <w:pPr>
        <w:ind w:left="720"/>
        <w:jc w:val="both"/>
      </w:pPr>
    </w:p>
    <w:p w:rsidR="0073293D" w:rsidRDefault="00CC4FC6">
      <w:pPr>
        <w:ind w:left="720"/>
        <w:jc w:val="both"/>
      </w:pPr>
      <w:r>
        <w:rPr>
          <w:rFonts w:ascii="Arial" w:eastAsia="Arial" w:hAnsi="Arial" w:cs="Arial"/>
          <w:sz w:val="20"/>
        </w:rPr>
        <w:t>The Company announced a $0.01 per share increase in its quarterly cash dividend rate during the first quarter of 2018.  As such, the Company recorded a cash dividend of $0.11 during the third quarter of 2018 as compared to a cash dividend of $0.10 per share during the third quarter of 2017.  The third quarter 2018 dividend of $28.8 million was declared on August 29, 2018, and was paid on October 17, 2018.</w:t>
      </w:r>
    </w:p>
    <w:p w:rsidR="0073293D" w:rsidRDefault="0073293D">
      <w:pPr>
        <w:ind w:left="720"/>
        <w:jc w:val="both"/>
      </w:pPr>
    </w:p>
    <w:p w:rsidR="0073293D" w:rsidRDefault="0073293D">
      <w:pPr>
        <w:ind w:left="720"/>
        <w:jc w:val="both"/>
        <w:sectPr w:rsidR="0073293D">
          <w:type w:val="continuous"/>
          <w:pgSz w:w="12240" w:h="15840"/>
          <w:pgMar w:top="1620" w:right="990" w:bottom="900" w:left="990" w:header="270" w:footer="270" w:gutter="0"/>
          <w:cols w:space="720"/>
        </w:sectPr>
      </w:pPr>
    </w:p>
    <w:p w:rsidR="0073293D" w:rsidRDefault="0073293D">
      <w:pPr>
        <w:ind w:left="600"/>
      </w:pPr>
      <w:bookmarkStart w:id="20" w:name="Section20"/>
      <w:bookmarkEnd w:id="20"/>
    </w:p>
    <w:p w:rsidR="0073293D" w:rsidRDefault="00CC4FC6">
      <w:r>
        <w:rPr>
          <w:rFonts w:ascii="Arial" w:eastAsia="Arial" w:hAnsi="Arial" w:cs="Arial"/>
          <w:sz w:val="20"/>
        </w:rPr>
        <w:t>(11)</w:t>
      </w:r>
      <w:r>
        <w:rPr>
          <w:rFonts w:ascii="Arial" w:eastAsia="Arial" w:hAnsi="Arial" w:cs="Arial"/>
          <w:sz w:val="20"/>
        </w:rPr>
        <w:tab/>
        <w:t>Contingencies</w:t>
      </w:r>
    </w:p>
    <w:p w:rsidR="0073293D" w:rsidRDefault="00CC4FC6">
      <w:pPr>
        <w:spacing w:before="160"/>
        <w:ind w:left="720"/>
        <w:jc w:val="both"/>
      </w:pPr>
      <w:r>
        <w:rPr>
          <w:rFonts w:ascii="Arial" w:eastAsia="Arial" w:hAnsi="Arial" w:cs="Arial"/>
          <w:sz w:val="20"/>
        </w:rPr>
        <w:t>The Company is periodically involved in legal proceedings, legal actions and claims arising in the normal course of business, including proceedings relating to product liability, intellectual property, safety and health, employment and other matters. Such matters are subject to many uncertainties and outcomes are not predictable. The Company does not believe, however, that at the current time any of these matters constitute material pending legal proceedings that will have a material adverse effect on the financial position or future results of operations or cash flows of the Company.</w:t>
      </w:r>
    </w:p>
    <w:p w:rsidR="0073293D" w:rsidRDefault="0073293D">
      <w:pPr>
        <w:spacing w:before="160"/>
        <w:ind w:left="720"/>
        <w:jc w:val="both"/>
        <w:sectPr w:rsidR="0073293D">
          <w:type w:val="continuous"/>
          <w:pgSz w:w="12240" w:h="15840"/>
          <w:pgMar w:top="1620" w:right="990" w:bottom="900" w:left="990" w:header="270" w:footer="270" w:gutter="0"/>
          <w:cols w:space="720"/>
        </w:sectPr>
      </w:pPr>
    </w:p>
    <w:p w:rsidR="0073293D" w:rsidRDefault="0073293D">
      <w:bookmarkStart w:id="21" w:name="Section21"/>
      <w:bookmarkEnd w:id="21"/>
    </w:p>
    <w:p w:rsidR="0073293D" w:rsidRDefault="00CC4FC6">
      <w:pPr>
        <w:ind w:left="-360" w:firstLine="360"/>
      </w:pPr>
      <w:r>
        <w:rPr>
          <w:rFonts w:ascii="Arial" w:eastAsia="Arial" w:hAnsi="Arial" w:cs="Arial"/>
          <w:sz w:val="20"/>
        </w:rPr>
        <w:t>(12)</w:t>
      </w:r>
      <w:r>
        <w:rPr>
          <w:rFonts w:ascii="Arial" w:eastAsia="Arial" w:hAnsi="Arial" w:cs="Arial"/>
          <w:sz w:val="20"/>
        </w:rPr>
        <w:tab/>
        <w:t>Segment Reporting</w:t>
      </w:r>
    </w:p>
    <w:p w:rsidR="0073293D" w:rsidRDefault="0073293D">
      <w:pPr>
        <w:ind w:left="720"/>
      </w:pPr>
    </w:p>
    <w:p w:rsidR="0073293D" w:rsidRDefault="00CC4FC6">
      <w:pPr>
        <w:ind w:left="720"/>
        <w:jc w:val="both"/>
      </w:pPr>
      <w:r>
        <w:rPr>
          <w:rFonts w:ascii="Arial" w:eastAsia="Arial" w:hAnsi="Arial" w:cs="Arial"/>
          <w:sz w:val="20"/>
        </w:rPr>
        <w:t>The Company's automotive segment develops and manufactures digital vision and connected car products and electronics, including: automatic-dimming rearview mirrors with and without electronic features; non-auto dimming rearview mirrors with and without electronic features; and other electronics.  The Company also develops and manufactures variably dimming windows for the aerospace industry and fire protection products for the commercial construction industry, which are combined into the "Other" segment shown below.</w:t>
      </w:r>
    </w:p>
    <w:p w:rsidR="0073293D" w:rsidRDefault="0073293D">
      <w:pPr>
        <w:ind w:left="720"/>
        <w:jc w:val="both"/>
      </w:pPr>
    </w:p>
    <w:tbl>
      <w:tblPr>
        <w:tblW w:w="93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18"/>
        <w:gridCol w:w="1451"/>
        <w:gridCol w:w="68"/>
        <w:gridCol w:w="112"/>
        <w:gridCol w:w="1441"/>
        <w:gridCol w:w="68"/>
        <w:gridCol w:w="112"/>
        <w:gridCol w:w="1457"/>
        <w:gridCol w:w="68"/>
        <w:gridCol w:w="112"/>
        <w:gridCol w:w="1457"/>
      </w:tblGrid>
      <w:tr w:rsidR="0073293D">
        <w:trPr>
          <w:trHeight w:hRule="exact" w:val="255"/>
        </w:trPr>
        <w:tc>
          <w:tcPr>
            <w:tcW w:w="297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322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322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w:t>
            </w:r>
          </w:p>
        </w:tc>
      </w:tr>
      <w:tr w:rsidR="0073293D">
        <w:trPr>
          <w:trHeight w:hRule="exact" w:val="255"/>
        </w:trPr>
        <w:tc>
          <w:tcPr>
            <w:tcW w:w="297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2017</w:t>
            </w:r>
          </w:p>
        </w:tc>
      </w:tr>
      <w:tr w:rsidR="0073293D">
        <w:trPr>
          <w:trHeight w:hRule="exact" w:val="300"/>
        </w:trPr>
        <w:tc>
          <w:tcPr>
            <w:tcW w:w="297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Revenue:</w:t>
            </w:r>
          </w:p>
        </w:tc>
        <w:tc>
          <w:tcPr>
            <w:tcW w:w="157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57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57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1575" w:type="dxa"/>
            <w:gridSpan w:val="2"/>
            <w:tcBorders>
              <w:top w:val="single" w:sz="8" w:space="0" w:color="000000"/>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300"/>
        </w:trPr>
        <w:tc>
          <w:tcPr>
            <w:tcW w:w="29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Automotive Products</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449,184,447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428,161,863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1,348,395,245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1,307,736,698</w:t>
            </w:r>
          </w:p>
        </w:tc>
      </w:tr>
      <w:tr w:rsidR="0073293D">
        <w:trPr>
          <w:trHeight w:hRule="exact" w:val="300"/>
        </w:trPr>
        <w:tc>
          <w:tcPr>
            <w:tcW w:w="29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w:t>
            </w:r>
          </w:p>
        </w:tc>
        <w:tc>
          <w:tcPr>
            <w:tcW w:w="157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11,068,986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10,465,923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32,259,733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27,565,411</w:t>
            </w:r>
          </w:p>
        </w:tc>
      </w:tr>
      <w:tr w:rsidR="0073293D">
        <w:trPr>
          <w:trHeight w:hRule="exact" w:val="300"/>
        </w:trPr>
        <w:tc>
          <w:tcPr>
            <w:tcW w:w="29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Total</w:t>
            </w:r>
          </w:p>
        </w:tc>
        <w:tc>
          <w:tcPr>
            <w:tcW w:w="100"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460,253,433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438,627,786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1,380,654,978</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1,335,302,109</w:t>
            </w:r>
          </w:p>
        </w:tc>
      </w:tr>
      <w:tr w:rsidR="0073293D">
        <w:trPr>
          <w:trHeight w:hRule="exact" w:val="300"/>
        </w:trPr>
        <w:tc>
          <w:tcPr>
            <w:tcW w:w="297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Income from operations:</w:t>
            </w:r>
          </w:p>
        </w:tc>
        <w:tc>
          <w:tcPr>
            <w:tcW w:w="1575" w:type="dxa"/>
            <w:gridSpan w:val="2"/>
            <w:tcBorders>
              <w:top w:val="doub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575" w:type="dxa"/>
            <w:gridSpan w:val="2"/>
            <w:tcBorders>
              <w:top w:val="doub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575" w:type="dxa"/>
            <w:gridSpan w:val="2"/>
            <w:tcBorders>
              <w:top w:val="doub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75" w:type="dxa"/>
            <w:tcBorders>
              <w:top w:val="double" w:sz="8" w:space="0" w:color="000000"/>
              <w:left w:val="nil"/>
              <w:bottom w:val="nil"/>
              <w:right w:val="nil"/>
            </w:tcBorders>
            <w:shd w:val="clear" w:color="auto" w:fill="CCEEFF"/>
            <w:tcMar>
              <w:top w:w="0" w:type="dxa"/>
              <w:left w:w="0" w:type="dxa"/>
              <w:bottom w:w="0" w:type="dxa"/>
              <w:right w:w="0" w:type="dxa"/>
            </w:tcMar>
          </w:tcPr>
          <w:p w:rsidR="0073293D" w:rsidRDefault="0073293D"/>
        </w:tc>
        <w:tc>
          <w:tcPr>
            <w:tcW w:w="1575" w:type="dxa"/>
            <w:gridSpan w:val="2"/>
            <w:tcBorders>
              <w:top w:val="double" w:sz="8" w:space="0" w:color="000000"/>
              <w:left w:val="nil"/>
              <w:bottom w:val="nil"/>
              <w:right w:val="nil"/>
            </w:tcBorders>
            <w:shd w:val="clear" w:color="auto" w:fill="CCEEFF"/>
            <w:tcMar>
              <w:top w:w="0" w:type="dxa"/>
              <w:left w:w="0" w:type="dxa"/>
              <w:bottom w:w="0" w:type="dxa"/>
              <w:right w:w="0" w:type="dxa"/>
            </w:tcMar>
          </w:tcPr>
          <w:p w:rsidR="0073293D" w:rsidRDefault="0073293D"/>
        </w:tc>
      </w:tr>
      <w:tr w:rsidR="0073293D">
        <w:trPr>
          <w:trHeight w:hRule="exact" w:val="300"/>
        </w:trPr>
        <w:tc>
          <w:tcPr>
            <w:tcW w:w="29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Automotive Products</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124,351,499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125,817,994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373,071,852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381,545,762</w:t>
            </w:r>
          </w:p>
        </w:tc>
      </w:tr>
      <w:tr w:rsidR="0073293D">
        <w:trPr>
          <w:trHeight w:hRule="exact" w:val="300"/>
        </w:trPr>
        <w:tc>
          <w:tcPr>
            <w:tcW w:w="29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Other</w:t>
            </w:r>
          </w:p>
        </w:tc>
        <w:tc>
          <w:tcPr>
            <w:tcW w:w="157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3,076,412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3,254,658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9,554,396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57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7,818,524</w:t>
            </w:r>
          </w:p>
        </w:tc>
      </w:tr>
      <w:tr w:rsidR="0073293D">
        <w:trPr>
          <w:trHeight w:hRule="exact" w:val="300"/>
        </w:trPr>
        <w:tc>
          <w:tcPr>
            <w:tcW w:w="29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ind w:left="240"/>
            </w:pPr>
            <w:r>
              <w:rPr>
                <w:rFonts w:ascii="Arial" w:eastAsia="Arial" w:hAnsi="Arial" w:cs="Arial"/>
                <w:sz w:val="20"/>
              </w:rPr>
              <w:t>Total</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127,427,911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129,072,652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382,626,248</w:t>
            </w:r>
          </w:p>
        </w:tc>
        <w:tc>
          <w:tcPr>
            <w:tcW w:w="7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47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389,364,286</w:t>
            </w:r>
          </w:p>
        </w:tc>
      </w:tr>
    </w:tbl>
    <w:p w:rsidR="0073293D" w:rsidRDefault="0073293D">
      <w:pPr>
        <w:spacing w:before="120"/>
        <w:ind w:left="720"/>
        <w:jc w:val="both"/>
      </w:pPr>
    </w:p>
    <w:p w:rsidR="0073293D" w:rsidRDefault="0073293D">
      <w:pPr>
        <w:spacing w:before="120"/>
        <w:ind w:left="720"/>
        <w:jc w:val="both"/>
        <w:sectPr w:rsidR="0073293D">
          <w:type w:val="continuous"/>
          <w:pgSz w:w="12240" w:h="15840"/>
          <w:pgMar w:top="1620" w:right="990" w:bottom="900" w:left="990" w:header="270" w:footer="270" w:gutter="0"/>
          <w:cols w:space="720"/>
        </w:sectPr>
      </w:pPr>
    </w:p>
    <w:p w:rsidR="0073293D" w:rsidRDefault="0073293D">
      <w:bookmarkStart w:id="22" w:name="Section22"/>
      <w:bookmarkEnd w:id="22"/>
    </w:p>
    <w:p w:rsidR="0073293D" w:rsidRDefault="00CC4FC6">
      <w:r>
        <w:rPr>
          <w:rFonts w:ascii="Arial" w:eastAsia="Arial" w:hAnsi="Arial" w:cs="Arial"/>
          <w:sz w:val="20"/>
        </w:rPr>
        <w:t>(13)</w:t>
      </w:r>
      <w:r>
        <w:rPr>
          <w:rFonts w:ascii="Arial" w:eastAsia="Arial" w:hAnsi="Arial" w:cs="Arial"/>
          <w:sz w:val="20"/>
        </w:rPr>
        <w:tab/>
        <w:t>Income Taxes</w:t>
      </w:r>
    </w:p>
    <w:p w:rsidR="0073293D" w:rsidRDefault="00CC4FC6">
      <w:pPr>
        <w:spacing w:before="160"/>
        <w:ind w:left="720"/>
        <w:jc w:val="both"/>
      </w:pPr>
      <w:r>
        <w:rPr>
          <w:rFonts w:ascii="Arial" w:eastAsia="Arial" w:hAnsi="Arial" w:cs="Arial"/>
          <w:sz w:val="20"/>
        </w:rPr>
        <w:t xml:space="preserve">The effective tax rate was 15.2% in the nine months ended September 30, 2018 compared to 29.8% for the same period in 2017. Generally, effective tax rates for these periods differ from statutory federal income tax rates, due to provisions for state and local income taxes, permanent tax differences, and the foreign-derived intangible income tax deduction during the nine months ended September 30, 2018.  The decrease in the effective tax rate for the nine months ended September 30, 2018 compared to the same period of 2017 was due to the reduction of the federal income tax rate from 35% to 21% as a result of the Tax Cuts and Jobs Act ("Act"), as well as R&amp;D tax credits, discrete tax benefits related to equity compensation, and the foreign-derived intangible income tax deduction.  </w:t>
      </w:r>
    </w:p>
    <w:p w:rsidR="0073293D" w:rsidRDefault="0073293D"/>
    <w:p w:rsidR="0073293D" w:rsidRDefault="00CC4FC6">
      <w:pPr>
        <w:ind w:left="720"/>
        <w:jc w:val="both"/>
      </w:pPr>
      <w:r>
        <w:rPr>
          <w:rFonts w:ascii="Arial" w:eastAsia="Arial" w:hAnsi="Arial" w:cs="Arial"/>
          <w:sz w:val="20"/>
        </w:rPr>
        <w:t>Pursuant to the guidance within SEC Staff Accounting Bulletin No. 118 (“SAB 118”), the Company has continued to analyze certain aspects of the Act and refine its application to the Company.  Although the Company has not completed its accounting for the income tax effects of certain elements of the Act, during the third quarter of 2018, the Company recorded a total provisional expense of $3.3 million related to the remeasurement of certain deferred tax assets and liabilities.  The Company has continued to recognize provisional effects of the Act for which measurement could be reasonably estimated.  The ultimate impact of the Act may differ from these estimates due to its continued analysis or further regulatory guidance that may be issued pursuant to the Act.  The Company evaluates the impact of the Act as additional clarification and implementation guidance related to the Act is released.  Under SAB 118, adjustments to the provisional amounts recorded by the Company as of September 30, 2018 that are identified within a subsequent measurement period of up to one year from the enactment date will be included as an adjustment to tax expense from continuing operations in the period such provisional amounts are actually determined. The Company anticipates the remaining estimates will be finalized in the fourth quarter 2018.</w:t>
      </w:r>
    </w:p>
    <w:p w:rsidR="0073293D" w:rsidRDefault="0073293D">
      <w:pPr>
        <w:ind w:left="720"/>
        <w:jc w:val="both"/>
      </w:pPr>
    </w:p>
    <w:p w:rsidR="0073293D" w:rsidRDefault="0073293D">
      <w:pPr>
        <w:ind w:left="720"/>
        <w:jc w:val="both"/>
        <w:sectPr w:rsidR="0073293D">
          <w:type w:val="continuous"/>
          <w:pgSz w:w="12240" w:h="15840"/>
          <w:pgMar w:top="1620" w:right="990" w:bottom="900" w:left="990" w:header="270" w:footer="270" w:gutter="0"/>
          <w:cols w:space="720"/>
        </w:sectPr>
      </w:pPr>
    </w:p>
    <w:p w:rsidR="0073293D" w:rsidRDefault="0073293D">
      <w:bookmarkStart w:id="23" w:name="Section23"/>
      <w:bookmarkEnd w:id="23"/>
    </w:p>
    <w:p w:rsidR="0073293D" w:rsidRDefault="00CC4FC6">
      <w:r>
        <w:rPr>
          <w:rFonts w:ascii="Arial" w:eastAsia="Arial" w:hAnsi="Arial" w:cs="Arial"/>
          <w:sz w:val="20"/>
        </w:rPr>
        <w:t>(14)</w:t>
      </w:r>
      <w:r>
        <w:rPr>
          <w:rFonts w:ascii="Arial" w:eastAsia="Arial" w:hAnsi="Arial" w:cs="Arial"/>
          <w:sz w:val="20"/>
        </w:rPr>
        <w:tab/>
        <w:t>Revenue</w:t>
      </w:r>
    </w:p>
    <w:p w:rsidR="0073293D" w:rsidRDefault="0073293D">
      <w:pPr>
        <w:ind w:left="720"/>
      </w:pPr>
    </w:p>
    <w:p w:rsidR="0073293D" w:rsidRDefault="00CC4FC6">
      <w:pPr>
        <w:ind w:left="720"/>
      </w:pPr>
      <w:r>
        <w:rPr>
          <w:rFonts w:ascii="Arial" w:eastAsia="Arial" w:hAnsi="Arial" w:cs="Arial"/>
          <w:sz w:val="20"/>
        </w:rPr>
        <w:t>The following table shows the Company’s Automotive and Other Products revenue disaggregated by geographical location for Automotive Products for the three and Nine month periods ended September 30, 2018:</w:t>
      </w:r>
    </w:p>
    <w:p w:rsidR="0073293D" w:rsidRDefault="0073293D">
      <w:pPr>
        <w:ind w:left="720"/>
      </w:pPr>
    </w:p>
    <w:tbl>
      <w:tblPr>
        <w:tblW w:w="94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18"/>
        <w:gridCol w:w="1699"/>
        <w:gridCol w:w="73"/>
        <w:gridCol w:w="112"/>
        <w:gridCol w:w="1701"/>
      </w:tblGrid>
      <w:tr w:rsidR="0073293D">
        <w:trPr>
          <w:trHeight w:hRule="exact" w:val="420"/>
        </w:trPr>
        <w:tc>
          <w:tcPr>
            <w:tcW w:w="58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Revenue</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 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 2018</w:t>
            </w:r>
          </w:p>
        </w:tc>
      </w:tr>
      <w:tr w:rsidR="0073293D">
        <w:trPr>
          <w:trHeight w:hRule="exact" w:val="255"/>
        </w:trPr>
        <w:tc>
          <w:tcPr>
            <w:tcW w:w="583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Automotive Products</w:t>
            </w:r>
          </w:p>
        </w:tc>
        <w:tc>
          <w:tcPr>
            <w:tcW w:w="181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70"/>
        </w:trPr>
        <w:tc>
          <w:tcPr>
            <w:tcW w:w="58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ind w:left="120" w:right="-120"/>
            </w:pPr>
            <w:r>
              <w:rPr>
                <w:rFonts w:ascii="Arial" w:eastAsia="Arial" w:hAnsi="Arial" w:cs="Arial"/>
                <w:color w:val="000000"/>
                <w:sz w:val="20"/>
              </w:rPr>
              <w:t>U.S.</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151,229,829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71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434,439,455</w:t>
            </w:r>
          </w:p>
        </w:tc>
      </w:tr>
      <w:tr w:rsidR="0073293D">
        <w:trPr>
          <w:trHeight w:hRule="exact" w:val="270"/>
        </w:trPr>
        <w:tc>
          <w:tcPr>
            <w:tcW w:w="58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120"/>
            </w:pPr>
            <w:r>
              <w:rPr>
                <w:rFonts w:ascii="Arial" w:eastAsia="Arial" w:hAnsi="Arial" w:cs="Arial"/>
                <w:sz w:val="20"/>
              </w:rPr>
              <w:t>Germany</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81,621,623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259,057,369</w:t>
            </w:r>
          </w:p>
        </w:tc>
      </w:tr>
      <w:tr w:rsidR="0073293D">
        <w:trPr>
          <w:trHeight w:hRule="exact" w:val="270"/>
        </w:trPr>
        <w:tc>
          <w:tcPr>
            <w:tcW w:w="58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Japan</w:t>
            </w:r>
          </w:p>
        </w:tc>
        <w:tc>
          <w:tcPr>
            <w:tcW w:w="181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55,363,644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153,843,723</w:t>
            </w:r>
          </w:p>
        </w:tc>
      </w:tr>
      <w:tr w:rsidR="0073293D">
        <w:trPr>
          <w:trHeight w:hRule="exact" w:val="270"/>
        </w:trPr>
        <w:tc>
          <w:tcPr>
            <w:tcW w:w="58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Other</w:t>
            </w:r>
          </w:p>
        </w:tc>
        <w:tc>
          <w:tcPr>
            <w:tcW w:w="181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160,969,351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501,054,698</w:t>
            </w:r>
          </w:p>
        </w:tc>
      </w:tr>
      <w:tr w:rsidR="0073293D">
        <w:trPr>
          <w:trHeight w:hRule="exact" w:val="255"/>
        </w:trPr>
        <w:tc>
          <w:tcPr>
            <w:tcW w:w="58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Total Automotive Products</w:t>
            </w:r>
          </w:p>
        </w:tc>
        <w:tc>
          <w:tcPr>
            <w:tcW w:w="1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449,184,447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71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1,348,395,245</w:t>
            </w:r>
          </w:p>
        </w:tc>
      </w:tr>
      <w:tr w:rsidR="0073293D">
        <w:trPr>
          <w:trHeight w:hRule="exact" w:val="255"/>
        </w:trPr>
        <w:tc>
          <w:tcPr>
            <w:tcW w:w="583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Other Products (U.S.)</w:t>
            </w:r>
          </w:p>
        </w:tc>
        <w:tc>
          <w:tcPr>
            <w:tcW w:w="1815" w:type="dxa"/>
            <w:gridSpan w:val="2"/>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11,068,986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gridSpan w:val="2"/>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32,259,733</w:t>
            </w:r>
          </w:p>
        </w:tc>
      </w:tr>
      <w:tr w:rsidR="0073293D">
        <w:trPr>
          <w:trHeight w:hRule="exact" w:val="255"/>
        </w:trPr>
        <w:tc>
          <w:tcPr>
            <w:tcW w:w="583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Total Revenue</w:t>
            </w:r>
          </w:p>
        </w:tc>
        <w:tc>
          <w:tcPr>
            <w:tcW w:w="1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715"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460,253,433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71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1,380,654,978</w:t>
            </w:r>
          </w:p>
        </w:tc>
      </w:tr>
    </w:tbl>
    <w:p w:rsidR="0073293D" w:rsidRDefault="0073293D">
      <w:pPr>
        <w:spacing w:before="120"/>
        <w:ind w:left="720"/>
        <w:jc w:val="both"/>
      </w:pPr>
    </w:p>
    <w:p w:rsidR="0073293D" w:rsidRDefault="00CC4FC6">
      <w:pPr>
        <w:ind w:left="720"/>
        <w:jc w:val="both"/>
      </w:pPr>
      <w:r>
        <w:rPr>
          <w:rFonts w:ascii="Arial" w:eastAsia="Arial" w:hAnsi="Arial" w:cs="Arial"/>
          <w:sz w:val="20"/>
        </w:rPr>
        <w:t>Revenue by geographic area may fluctuate based on many factors, including exposure to local economic, political and labor conditions; unexpected changes in laws, regulations, trade or monetary or fiscal policy, including interest rates, foreign currency exchange rates and changes in the rate of inflation in the U.S. and other foreign countries; and tariffs, quotas, customs and other import or export restrictions and other trade barriers.</w:t>
      </w:r>
    </w:p>
    <w:p w:rsidR="0073293D" w:rsidRDefault="0073293D">
      <w:pPr>
        <w:ind w:left="720"/>
        <w:jc w:val="both"/>
      </w:pPr>
    </w:p>
    <w:p w:rsidR="0073293D" w:rsidRDefault="00CC4FC6">
      <w:pPr>
        <w:ind w:left="720"/>
        <w:jc w:val="both"/>
      </w:pPr>
      <w:r>
        <w:rPr>
          <w:rFonts w:ascii="Arial" w:eastAsia="Arial" w:hAnsi="Arial" w:cs="Arial"/>
          <w:sz w:val="20"/>
        </w:rPr>
        <w:t>The following table disaggregates the Company’s Automotive and Other revenue by major source for the three and nine month periods ended September 30, 2018:</w:t>
      </w:r>
    </w:p>
    <w:tbl>
      <w:tblPr>
        <w:tblW w:w="948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1810"/>
        <w:gridCol w:w="74"/>
        <w:gridCol w:w="1811"/>
      </w:tblGrid>
      <w:tr w:rsidR="0073293D">
        <w:trPr>
          <w:trHeight w:hRule="exact" w:val="420"/>
        </w:trPr>
        <w:tc>
          <w:tcPr>
            <w:tcW w:w="58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Revenue</w:t>
            </w:r>
          </w:p>
        </w:tc>
        <w:tc>
          <w:tcPr>
            <w:tcW w:w="18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Three Months Ended September 30, 2018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Nine Months Ended September 30, 2018</w:t>
            </w:r>
          </w:p>
        </w:tc>
      </w:tr>
      <w:tr w:rsidR="0073293D">
        <w:trPr>
          <w:trHeight w:hRule="exact" w:val="300"/>
        </w:trPr>
        <w:tc>
          <w:tcPr>
            <w:tcW w:w="5820"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Automotive Segment</w:t>
            </w:r>
          </w:p>
        </w:tc>
        <w:tc>
          <w:tcPr>
            <w:tcW w:w="181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58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ind w:left="240" w:right="-120"/>
            </w:pPr>
            <w:r>
              <w:rPr>
                <w:rFonts w:ascii="Arial" w:eastAsia="Arial" w:hAnsi="Arial" w:cs="Arial"/>
                <w:color w:val="000000"/>
                <w:sz w:val="20"/>
              </w:rPr>
              <w:t>Automotive Mirrors &amp; Electronics</w:t>
            </w:r>
          </w:p>
        </w:tc>
        <w:tc>
          <w:tcPr>
            <w:tcW w:w="18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399,732,577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1,200,521,589</w:t>
            </w:r>
          </w:p>
        </w:tc>
      </w:tr>
      <w:tr w:rsidR="0073293D">
        <w:trPr>
          <w:trHeight w:hRule="exact" w:val="300"/>
        </w:trPr>
        <w:tc>
          <w:tcPr>
            <w:tcW w:w="58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ind w:left="240" w:right="-240"/>
            </w:pPr>
            <w:r>
              <w:rPr>
                <w:rFonts w:ascii="Arial" w:eastAsia="Arial" w:hAnsi="Arial" w:cs="Arial"/>
                <w:color w:val="000000"/>
                <w:sz w:val="20"/>
              </w:rPr>
              <w:t>HomeLink Modules*</w:t>
            </w:r>
          </w:p>
        </w:tc>
        <w:tc>
          <w:tcPr>
            <w:tcW w:w="18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49,451,870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147,873,656</w:t>
            </w:r>
          </w:p>
        </w:tc>
      </w:tr>
      <w:tr w:rsidR="0073293D">
        <w:trPr>
          <w:trHeight w:hRule="exact" w:val="300"/>
        </w:trPr>
        <w:tc>
          <w:tcPr>
            <w:tcW w:w="58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 Automotive Products</w:t>
            </w:r>
          </w:p>
        </w:tc>
        <w:tc>
          <w:tcPr>
            <w:tcW w:w="181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449,184,447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1,348,395,245</w:t>
            </w:r>
          </w:p>
        </w:tc>
      </w:tr>
      <w:tr w:rsidR="0073293D">
        <w:trPr>
          <w:trHeight w:hRule="exact" w:val="300"/>
        </w:trPr>
        <w:tc>
          <w:tcPr>
            <w:tcW w:w="582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tcBorders>
              <w:top w:val="doub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tcBorders>
              <w:top w:val="doub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300"/>
        </w:trPr>
        <w:tc>
          <w:tcPr>
            <w:tcW w:w="58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Other Segment</w:t>
            </w:r>
          </w:p>
        </w:tc>
        <w:tc>
          <w:tcPr>
            <w:tcW w:w="181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58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Fire Protection Products</w:t>
            </w:r>
          </w:p>
        </w:tc>
        <w:tc>
          <w:tcPr>
            <w:tcW w:w="18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5,918,085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17,010,954</w:t>
            </w:r>
          </w:p>
        </w:tc>
      </w:tr>
      <w:tr w:rsidR="0073293D">
        <w:trPr>
          <w:trHeight w:hRule="exact" w:val="300"/>
        </w:trPr>
        <w:tc>
          <w:tcPr>
            <w:tcW w:w="582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Windows Products</w:t>
            </w:r>
          </w:p>
        </w:tc>
        <w:tc>
          <w:tcPr>
            <w:tcW w:w="18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5,150,901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15,248,779</w:t>
            </w:r>
          </w:p>
        </w:tc>
      </w:tr>
      <w:tr w:rsidR="0073293D">
        <w:trPr>
          <w:trHeight w:hRule="exact" w:val="300"/>
        </w:trPr>
        <w:tc>
          <w:tcPr>
            <w:tcW w:w="582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 Other</w:t>
            </w:r>
          </w:p>
        </w:tc>
        <w:tc>
          <w:tcPr>
            <w:tcW w:w="181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11,068,986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81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32,259,733</w:t>
            </w:r>
          </w:p>
        </w:tc>
      </w:tr>
      <w:tr w:rsidR="0073293D">
        <w:trPr>
          <w:trHeight w:hRule="exact" w:val="300"/>
        </w:trPr>
        <w:tc>
          <w:tcPr>
            <w:tcW w:w="582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8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9525" w:type="dxa"/>
            <w:gridSpan w:val="4"/>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*Excludes HomeLink revenue related to HomeLink modules integrated into automotive mirrors</w:t>
            </w:r>
          </w:p>
        </w:tc>
      </w:tr>
    </w:tbl>
    <w:p w:rsidR="0073293D" w:rsidRDefault="00CC4FC6">
      <w:pPr>
        <w:spacing w:before="160" w:after="160"/>
        <w:ind w:left="720"/>
        <w:jc w:val="both"/>
      </w:pPr>
      <w:r>
        <w:rPr>
          <w:rFonts w:ascii="Arial" w:eastAsia="Arial" w:hAnsi="Arial" w:cs="Arial"/>
          <w:sz w:val="20"/>
        </w:rPr>
        <w:t>Revenue is recognized when obligations under the terms of a contract with the customer are satisfied.  Such recognition generally occurs with the transfer of control of the products at a point in time. OEM contracts generally include Long Term Supply Agreements ("LTSA") and Purchase Orders ("PO") whereby the LTSA sometimes stipulates the pricing and delivery terms and is evaluated together with a PO, which identifies the quantity, timing, and the type of product to be transferred. Certain customer contracts do not always have an LTSA, in which case, the contracts are governed by the PO from the customer in conjunction with other mutually agreed upon terms and conditions.</w:t>
      </w:r>
    </w:p>
    <w:p w:rsidR="0073293D" w:rsidRDefault="00CC4FC6">
      <w:pPr>
        <w:spacing w:after="160"/>
        <w:ind w:left="720"/>
        <w:jc w:val="both"/>
      </w:pPr>
      <w:r>
        <w:rPr>
          <w:rFonts w:ascii="Arial" w:eastAsia="Arial" w:hAnsi="Arial" w:cs="Arial"/>
          <w:sz w:val="20"/>
        </w:rPr>
        <w:t>The Company does not generate revenue from arrangements with multiple deliverables.  Revenue is measured as the amount of consideration the Company expects to receive in exchange for transferring goods excluding revenue amounts that are transferred to third parties, such as sales, value add, and other taxes the Company collects concurrently with revenue-producing activities.  The Company does not incur any incremental cost to obtain contracts. Costs are incurred to fulfill contracts with the OEM. However, such costs are accounted for under ASC 340-10, and are not treated as fulfillment costs under ASC 340-40.</w:t>
      </w:r>
    </w:p>
    <w:p w:rsidR="0073293D" w:rsidRDefault="00CC4FC6">
      <w:pPr>
        <w:spacing w:after="160"/>
        <w:ind w:left="720"/>
      </w:pPr>
      <w:r>
        <w:rPr>
          <w:rFonts w:ascii="Arial" w:eastAsia="Arial" w:hAnsi="Arial" w:cs="Arial"/>
          <w:b/>
          <w:color w:val="000000"/>
          <w:sz w:val="20"/>
          <w:u w:val="single"/>
        </w:rPr>
        <w:t>Automotive Products Segment</w:t>
      </w:r>
    </w:p>
    <w:p w:rsidR="0073293D" w:rsidRDefault="00CC4FC6">
      <w:pPr>
        <w:spacing w:after="160"/>
        <w:ind w:left="720"/>
      </w:pPr>
      <w:r>
        <w:rPr>
          <w:rFonts w:ascii="Arial" w:eastAsia="Arial" w:hAnsi="Arial" w:cs="Arial"/>
          <w:b/>
          <w:sz w:val="20"/>
        </w:rPr>
        <w:t>Automotive Rearview Mirrors and Electronics</w:t>
      </w:r>
    </w:p>
    <w:p w:rsidR="0073293D" w:rsidRDefault="00CC4FC6">
      <w:pPr>
        <w:spacing w:after="160"/>
        <w:ind w:left="720"/>
        <w:jc w:val="both"/>
      </w:pPr>
      <w:r>
        <w:rPr>
          <w:rFonts w:ascii="Arial" w:eastAsia="Arial" w:hAnsi="Arial" w:cs="Arial"/>
          <w:sz w:val="20"/>
        </w:rPr>
        <w:t>The Company manufactures interior electrochromic automatic-dimming rearview mirrors that darken to reduce glare and improve visibility for the driver. These electronic interior mirrors can also include additional electronic features such as compass, microphones, HomeLink</w:t>
      </w:r>
      <w:r>
        <w:rPr>
          <w:rFonts w:ascii="Arial" w:eastAsia="Arial" w:hAnsi="Arial" w:cs="Arial"/>
          <w:sz w:val="20"/>
          <w:vertAlign w:val="superscript"/>
        </w:rPr>
        <w:t>®</w:t>
      </w:r>
      <w:r>
        <w:rPr>
          <w:rFonts w:ascii="Arial" w:eastAsia="Arial" w:hAnsi="Arial" w:cs="Arial"/>
          <w:sz w:val="20"/>
        </w:rPr>
        <w:t>, lighting assist and driver assist forward safety camera systems, various lighting systems, various telematics systems, ITM</w:t>
      </w:r>
      <w:r>
        <w:rPr>
          <w:rFonts w:ascii="Arial" w:eastAsia="Arial" w:hAnsi="Arial" w:cs="Arial"/>
          <w:sz w:val="20"/>
          <w:vertAlign w:val="superscript"/>
        </w:rPr>
        <w:t>®</w:t>
      </w:r>
      <w:r>
        <w:rPr>
          <w:rFonts w:ascii="Arial" w:eastAsia="Arial" w:hAnsi="Arial" w:cs="Arial"/>
          <w:sz w:val="20"/>
        </w:rPr>
        <w:t xml:space="preserve"> systems, and a wide variety of displays. The Company also ships interior non-automatic-dimming rearview mirrors with features. The Company’s interior electrochromic automatic-dimming rearview mirrors also power the application of the Company’s exterior electrochromic automatic-dimming rearview mirrors that darken to reduce glare and improve visibility for the driver. These electronic exterior mirrors typically range in size and shape per automaker specification, but also include additional features such as turn signal indicators, side blind zone indicators, and courtesy lighting. The Company also ships exterior non-automatic-dimming rearview mirrors with similar electronic features as what is available in its automatic-dimming applications. The Company manufactures other automotive electronics products both inside and outside of the rearview mirror through HomeLink</w:t>
      </w:r>
      <w:r>
        <w:rPr>
          <w:rFonts w:ascii="Arial" w:eastAsia="Arial" w:hAnsi="Arial" w:cs="Arial"/>
          <w:sz w:val="20"/>
          <w:vertAlign w:val="superscript"/>
        </w:rPr>
        <w:t>®</w:t>
      </w:r>
      <w:r>
        <w:rPr>
          <w:rFonts w:ascii="Arial" w:eastAsia="Arial" w:hAnsi="Arial" w:cs="Arial"/>
          <w:sz w:val="20"/>
        </w:rPr>
        <w:t xml:space="preserve"> applications in the vehicle including the rearview mirror, interior visor, overhead console, or center console.</w:t>
      </w:r>
    </w:p>
    <w:p w:rsidR="0073293D" w:rsidRDefault="00CC4FC6">
      <w:pPr>
        <w:spacing w:after="160"/>
        <w:ind w:left="720"/>
        <w:jc w:val="both"/>
      </w:pPr>
      <w:r>
        <w:rPr>
          <w:rFonts w:ascii="Arial" w:eastAsia="Arial" w:hAnsi="Arial" w:cs="Arial"/>
          <w:sz w:val="20"/>
        </w:rPr>
        <w:t>For the majority of automotive products, transfer of control and revenue recognition occurs when the Company ships the product from the manufacturing facility to the customer.  The Company receives cash equal to the price at the time of invoice for most automotive product sales.  For any shipments of product that may be subject to retroactive price adjustments that are then being negotiated, the Company records revenue based on the Company’s best estimate of the amount of consideration to which the entity will be entitled in exchange for transferring the promised goods to the customer.  The Company's approach is to consider these adjustments to the contract price as variable consideration which is estimated based on the then most likely price amount.  Payment terms on automotive part sales to customers range from 15 days to 90 days.  Estimated revenue is adjusted at the earlier of when the most likely amount of consideration expected to be received changes or when the consideration becomes fixed.</w:t>
      </w:r>
    </w:p>
    <w:p w:rsidR="0073293D" w:rsidRDefault="00CC4FC6">
      <w:pPr>
        <w:spacing w:after="160"/>
        <w:ind w:left="720"/>
        <w:jc w:val="both"/>
      </w:pPr>
      <w:r>
        <w:rPr>
          <w:rFonts w:ascii="Arial" w:eastAsia="Arial" w:hAnsi="Arial" w:cs="Arial"/>
          <w:b/>
          <w:sz w:val="20"/>
        </w:rPr>
        <w:t>HomeLink</w:t>
      </w:r>
      <w:r>
        <w:rPr>
          <w:rFonts w:ascii="Arial" w:eastAsia="Arial" w:hAnsi="Arial" w:cs="Arial"/>
          <w:b/>
          <w:sz w:val="20"/>
          <w:vertAlign w:val="superscript"/>
        </w:rPr>
        <w:t>®</w:t>
      </w:r>
      <w:r>
        <w:rPr>
          <w:rFonts w:ascii="Arial" w:eastAsia="Arial" w:hAnsi="Arial" w:cs="Arial"/>
          <w:b/>
          <w:sz w:val="20"/>
        </w:rPr>
        <w:t xml:space="preserve"> Modules</w:t>
      </w:r>
    </w:p>
    <w:p w:rsidR="0073293D" w:rsidRDefault="00CC4FC6">
      <w:pPr>
        <w:spacing w:after="160"/>
        <w:ind w:left="720"/>
        <w:jc w:val="both"/>
      </w:pPr>
      <w:r>
        <w:rPr>
          <w:rFonts w:ascii="Arial" w:eastAsia="Arial" w:hAnsi="Arial" w:cs="Arial"/>
          <w:sz w:val="20"/>
        </w:rPr>
        <w:t>The Company manufactures and sells HomeLink</w:t>
      </w:r>
      <w:r>
        <w:rPr>
          <w:rFonts w:ascii="Arial" w:eastAsia="Arial" w:hAnsi="Arial" w:cs="Arial"/>
          <w:sz w:val="20"/>
          <w:vertAlign w:val="superscript"/>
        </w:rPr>
        <w:t>®</w:t>
      </w:r>
      <w:r>
        <w:rPr>
          <w:rFonts w:ascii="Arial" w:eastAsia="Arial" w:hAnsi="Arial" w:cs="Arial"/>
          <w:sz w:val="20"/>
        </w:rPr>
        <w:t xml:space="preserve"> Modules individually, as well as in combination with the automotive mirrors and other advanced features, as described above.  For the majority of automotive products, transfer of control and revenue recognition occurs when the Company ships the product from the manufacturing facility to the customer.</w:t>
      </w:r>
    </w:p>
    <w:p w:rsidR="0073293D" w:rsidRDefault="00CC4FC6">
      <w:pPr>
        <w:spacing w:after="160"/>
        <w:ind w:left="720"/>
        <w:jc w:val="both"/>
      </w:pPr>
      <w:r>
        <w:rPr>
          <w:rFonts w:ascii="Arial" w:eastAsia="Arial" w:hAnsi="Arial" w:cs="Arial"/>
          <w:b/>
          <w:color w:val="000000"/>
          <w:sz w:val="20"/>
          <w:u w:val="single"/>
        </w:rPr>
        <w:t>Other Segment</w:t>
      </w:r>
    </w:p>
    <w:p w:rsidR="0073293D" w:rsidRDefault="00CC4FC6">
      <w:pPr>
        <w:spacing w:after="160"/>
        <w:ind w:left="720"/>
        <w:jc w:val="both"/>
      </w:pPr>
      <w:r>
        <w:rPr>
          <w:rFonts w:ascii="Arial" w:eastAsia="Arial" w:hAnsi="Arial" w:cs="Arial"/>
          <w:b/>
          <w:sz w:val="20"/>
        </w:rPr>
        <w:t xml:space="preserve">Dimmable Aircraft Windows </w:t>
      </w:r>
    </w:p>
    <w:p w:rsidR="0073293D" w:rsidRDefault="00CC4FC6">
      <w:pPr>
        <w:spacing w:after="160"/>
        <w:ind w:left="720"/>
        <w:jc w:val="both"/>
      </w:pPr>
      <w:r>
        <w:rPr>
          <w:rFonts w:ascii="Arial" w:eastAsia="Arial" w:hAnsi="Arial" w:cs="Arial"/>
          <w:sz w:val="20"/>
        </w:rPr>
        <w:t xml:space="preserve">The Company supplies variable dimmable windows for the passenger compartment on the Boeing 787 Dreamliner Series of Aircraft.  For dimmable aircraft windows, transfer of control and revenue recognition occurs when the Company ships the product from the manufacturing facility to the customer. Payment terms on dimmable aircraft window sales range from 30 days to 45 days. </w:t>
      </w:r>
    </w:p>
    <w:p w:rsidR="0073293D" w:rsidRDefault="00CC4FC6">
      <w:pPr>
        <w:spacing w:after="160"/>
        <w:ind w:left="720"/>
        <w:jc w:val="both"/>
      </w:pPr>
      <w:r>
        <w:rPr>
          <w:rFonts w:ascii="Arial" w:eastAsia="Arial" w:hAnsi="Arial" w:cs="Arial"/>
          <w:b/>
          <w:sz w:val="20"/>
        </w:rPr>
        <w:t xml:space="preserve">Fire Protection Products </w:t>
      </w:r>
    </w:p>
    <w:p w:rsidR="0073293D" w:rsidRDefault="00CC4FC6">
      <w:pPr>
        <w:ind w:left="720"/>
        <w:jc w:val="both"/>
      </w:pPr>
      <w:r>
        <w:rPr>
          <w:rFonts w:ascii="Arial" w:eastAsia="Arial" w:hAnsi="Arial" w:cs="Arial"/>
          <w:sz w:val="20"/>
        </w:rPr>
        <w:t xml:space="preserve">The Company manufactures photoelectric smoke detectors and alarms, visual signaling alarms,  electrochemical carbon monoxide detectors and alarms, audible and visual signaling alarms, and bells and speakers for use in fire detection systems in office buildings, hotels, and other commercial and residential buildings. For fire protection parts, transfer of control and revenue recognition occurs when the Company ships the product from the manufacturing facility to the customer.  Payment terms on fire protection part sales to customers range from 30 days to 75 days. </w:t>
      </w:r>
    </w:p>
    <w:p w:rsidR="0073293D" w:rsidRDefault="0073293D"/>
    <w:p w:rsidR="0073293D" w:rsidRDefault="0073293D"/>
    <w:p w:rsidR="0073293D" w:rsidRDefault="0073293D">
      <w:pPr>
        <w:sectPr w:rsidR="0073293D">
          <w:type w:val="continuous"/>
          <w:pgSz w:w="12240" w:h="15840"/>
          <w:pgMar w:top="1620" w:right="990" w:bottom="900" w:left="990" w:header="270" w:footer="270" w:gutter="0"/>
          <w:cols w:space="720"/>
        </w:sectPr>
      </w:pPr>
    </w:p>
    <w:p w:rsidR="0073293D" w:rsidRDefault="0073293D">
      <w:bookmarkStart w:id="24" w:name="Section24"/>
      <w:bookmarkEnd w:id="24"/>
    </w:p>
    <w:p w:rsidR="0073293D" w:rsidRDefault="00CC4FC6">
      <w:r>
        <w:rPr>
          <w:rFonts w:ascii="Arial" w:eastAsia="Arial" w:hAnsi="Arial" w:cs="Arial"/>
          <w:b/>
          <w:sz w:val="20"/>
        </w:rPr>
        <w:t>Item 2. Management’s Discussion and Analysis of Financial Condition and Results of Operations.</w:t>
      </w:r>
    </w:p>
    <w:p w:rsidR="0073293D" w:rsidRDefault="0073293D"/>
    <w:p w:rsidR="0073293D" w:rsidRDefault="0073293D"/>
    <w:p w:rsidR="0073293D" w:rsidRDefault="0073293D">
      <w:pPr>
        <w:sectPr w:rsidR="0073293D">
          <w:headerReference w:type="default" r:id="rId15"/>
          <w:pgSz w:w="12240" w:h="15840"/>
          <w:pgMar w:top="900" w:right="990" w:bottom="900" w:left="990" w:header="270" w:footer="270" w:gutter="0"/>
          <w:cols w:space="720"/>
        </w:sectPr>
      </w:pPr>
    </w:p>
    <w:p w:rsidR="0073293D" w:rsidRDefault="00CC4FC6">
      <w:pPr>
        <w:spacing w:before="100"/>
        <w:jc w:val="both"/>
      </w:pPr>
      <w:bookmarkStart w:id="25" w:name="Section25"/>
      <w:bookmarkEnd w:id="25"/>
      <w:r>
        <w:rPr>
          <w:rFonts w:ascii="Arial" w:eastAsia="Arial" w:hAnsi="Arial" w:cs="Arial"/>
          <w:b/>
          <w:color w:val="000000"/>
          <w:sz w:val="20"/>
          <w:u w:val="single"/>
        </w:rPr>
        <w:t>RESULTS OF OPERATIONS:</w:t>
      </w:r>
    </w:p>
    <w:p w:rsidR="0073293D" w:rsidRDefault="0073293D">
      <w:pPr>
        <w:spacing w:before="100"/>
        <w:ind w:left="720"/>
        <w:jc w:val="both"/>
      </w:pPr>
    </w:p>
    <w:p w:rsidR="0073293D" w:rsidRDefault="00CC4FC6">
      <w:pPr>
        <w:spacing w:before="100"/>
        <w:ind w:left="720"/>
        <w:jc w:val="both"/>
      </w:pPr>
      <w:r>
        <w:rPr>
          <w:rFonts w:ascii="Arial" w:eastAsia="Arial" w:hAnsi="Arial" w:cs="Arial"/>
          <w:b/>
          <w:color w:val="000000"/>
          <w:sz w:val="20"/>
          <w:u w:val="single"/>
        </w:rPr>
        <w:t xml:space="preserve">THIRD QUARTER 2018 VERSUS THIRD QUARTER 2017 </w:t>
      </w:r>
    </w:p>
    <w:p w:rsidR="0073293D" w:rsidRDefault="00CC4FC6">
      <w:pPr>
        <w:spacing w:before="160"/>
        <w:ind w:left="720"/>
        <w:jc w:val="both"/>
      </w:pPr>
      <w:r>
        <w:rPr>
          <w:rFonts w:ascii="Arial" w:eastAsia="Arial" w:hAnsi="Arial" w:cs="Arial"/>
          <w:i/>
          <w:color w:val="000000"/>
          <w:sz w:val="20"/>
          <w:u w:val="single"/>
        </w:rPr>
        <w:t>Net Sales.</w:t>
      </w:r>
      <w:r>
        <w:rPr>
          <w:rFonts w:ascii="Arial" w:eastAsia="Arial" w:hAnsi="Arial" w:cs="Arial"/>
          <w:sz w:val="20"/>
        </w:rPr>
        <w:t xml:space="preserve"> Net sales for the third quarter of 2018 increased by $21.6 million or 5% when compared with the third quarter of 2017.  </w:t>
      </w:r>
    </w:p>
    <w:p w:rsidR="0073293D" w:rsidRDefault="00CC4FC6">
      <w:pPr>
        <w:spacing w:before="160"/>
        <w:ind w:left="720"/>
        <w:jc w:val="both"/>
      </w:pPr>
      <w:r>
        <w:rPr>
          <w:rFonts w:ascii="Arial" w:eastAsia="Arial" w:hAnsi="Arial" w:cs="Arial"/>
          <w:sz w:val="20"/>
        </w:rPr>
        <w:t>Automotive net sales for the third quarter of 2018 increased 5% to $449.2 million, compared with automotive net sales of $428.2 million in the third quarter of 2017, driven primarily by a 6% quarter over quarter increase in automotive mirror unit shipments.  The 6% increase in automotive mirror unit shipments in the third quarter of 2018 to 10.2 million units compared with the third quarter of 2017, was primarily due to increased international shipments of the Company's interior and exterior auto-dimming mirrors on a quarter over quarter basis, as opposed to North American mirror unit shipments, which were essentially flat on a quarter over quarter basis.</w:t>
      </w:r>
    </w:p>
    <w:p w:rsidR="0073293D" w:rsidRDefault="0073293D">
      <w:pPr>
        <w:ind w:left="720"/>
        <w:jc w:val="both"/>
      </w:pPr>
    </w:p>
    <w:p w:rsidR="0073293D" w:rsidRDefault="00CC4FC6">
      <w:pPr>
        <w:ind w:left="720"/>
      </w:pPr>
      <w:r>
        <w:rPr>
          <w:rFonts w:ascii="Arial" w:eastAsia="Arial" w:hAnsi="Arial" w:cs="Arial"/>
          <w:sz w:val="20"/>
        </w:rPr>
        <w:t xml:space="preserve">The below table represents the Company's auto-dimming mirror unit shipments for the three and nine months ended September 30, 2018, and 2017 </w:t>
      </w:r>
      <w:r>
        <w:rPr>
          <w:rFonts w:ascii="Arial" w:eastAsia="Arial" w:hAnsi="Arial" w:cs="Arial"/>
          <w:i/>
          <w:sz w:val="20"/>
        </w:rPr>
        <w:t>(in thousands).</w:t>
      </w:r>
    </w:p>
    <w:p w:rsidR="0073293D" w:rsidRDefault="0073293D">
      <w:pPr>
        <w:ind w:left="720"/>
      </w:pPr>
    </w:p>
    <w:tbl>
      <w:tblPr>
        <w:tblW w:w="94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879"/>
        <w:gridCol w:w="72"/>
        <w:gridCol w:w="874"/>
        <w:gridCol w:w="73"/>
        <w:gridCol w:w="856"/>
        <w:gridCol w:w="260"/>
        <w:gridCol w:w="73"/>
        <w:gridCol w:w="876"/>
        <w:gridCol w:w="73"/>
        <w:gridCol w:w="876"/>
        <w:gridCol w:w="73"/>
        <w:gridCol w:w="856"/>
        <w:gridCol w:w="260"/>
      </w:tblGrid>
      <w:tr w:rsidR="0073293D">
        <w:trPr>
          <w:trHeight w:hRule="exact" w:val="495"/>
        </w:trPr>
        <w:tc>
          <w:tcPr>
            <w:tcW w:w="33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3045" w:type="dxa"/>
            <w:gridSpan w:val="6"/>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20"/>
              </w:rPr>
              <w:t>Three Months Ended September 30,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3045" w:type="dxa"/>
            <w:gridSpan w:val="6"/>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20"/>
              </w:rPr>
              <w:t>Nine Months Ended September 30,</w:t>
            </w:r>
          </w:p>
        </w:tc>
      </w:tr>
      <w:tr w:rsidR="0073293D">
        <w:trPr>
          <w:trHeight w:hRule="exact" w:val="255"/>
        </w:trPr>
        <w:tc>
          <w:tcPr>
            <w:tcW w:w="33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jc w:val="center"/>
            </w:pPr>
            <w:r>
              <w:rPr>
                <w:rFonts w:ascii="Arial" w:eastAsia="Arial" w:hAnsi="Arial" w:cs="Arial"/>
                <w:b/>
                <w:color w:val="000000"/>
                <w:sz w:val="20"/>
              </w:rPr>
              <w:t>2018</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jc w:val="center"/>
            </w:pPr>
            <w:r>
              <w:rPr>
                <w:rFonts w:ascii="Arial" w:eastAsia="Arial" w:hAnsi="Arial" w:cs="Arial"/>
                <w:b/>
                <w:color w:val="000000"/>
                <w:sz w:val="20"/>
              </w:rPr>
              <w:t>2017</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12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jc w:val="center"/>
            </w:pPr>
            <w:r>
              <w:rPr>
                <w:rFonts w:ascii="Arial" w:eastAsia="Arial" w:hAnsi="Arial" w:cs="Arial"/>
                <w:b/>
                <w:color w:val="000000"/>
                <w:sz w:val="20"/>
              </w:rPr>
              <w:t>% Change</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jc w:val="center"/>
            </w:pPr>
            <w:r>
              <w:rPr>
                <w:rFonts w:ascii="Arial" w:eastAsia="Arial" w:hAnsi="Arial" w:cs="Arial"/>
                <w:b/>
                <w:color w:val="000000"/>
                <w:sz w:val="20"/>
              </w:rPr>
              <w:t>2018</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jc w:val="center"/>
            </w:pPr>
            <w:r>
              <w:rPr>
                <w:rFonts w:ascii="Arial" w:eastAsia="Arial" w:hAnsi="Arial" w:cs="Arial"/>
                <w:b/>
                <w:color w:val="000000"/>
                <w:sz w:val="20"/>
              </w:rPr>
              <w:t>2017</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1125" w:type="dxa"/>
            <w:gridSpan w:val="2"/>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jc w:val="center"/>
            </w:pPr>
            <w:r>
              <w:rPr>
                <w:rFonts w:ascii="Arial" w:eastAsia="Arial" w:hAnsi="Arial" w:cs="Arial"/>
                <w:b/>
                <w:color w:val="000000"/>
                <w:sz w:val="20"/>
              </w:rPr>
              <w:t>% Change</w:t>
            </w:r>
          </w:p>
        </w:tc>
      </w:tr>
      <w:tr w:rsidR="0073293D">
        <w:trPr>
          <w:trHeight w:hRule="exact" w:val="300"/>
        </w:trPr>
        <w:tc>
          <w:tcPr>
            <w:tcW w:w="33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North American Interior Mirrors</w:t>
            </w:r>
          </w:p>
        </w:tc>
        <w:tc>
          <w:tcPr>
            <w:tcW w:w="88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2,108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6,636</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6,693</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3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North American Exterior Mirrors</w:t>
            </w:r>
          </w:p>
        </w:tc>
        <w:tc>
          <w:tcPr>
            <w:tcW w:w="8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1,103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842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31</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2,871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2,673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3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ind w:left="240" w:right="-240"/>
            </w:pPr>
            <w:r>
              <w:rPr>
                <w:rFonts w:ascii="Arial" w:eastAsia="Arial" w:hAnsi="Arial" w:cs="Arial"/>
                <w:color w:val="000000"/>
                <w:sz w:val="20"/>
              </w:rPr>
              <w:t>Total North American Mirror Units</w:t>
            </w:r>
          </w:p>
        </w:tc>
        <w:tc>
          <w:tcPr>
            <w:tcW w:w="88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3,211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2,944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9,507</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9,366</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3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International Interior Mirrors</w:t>
            </w:r>
          </w:p>
        </w:tc>
        <w:tc>
          <w:tcPr>
            <w:tcW w:w="8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5,154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4,794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15,801</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14,438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3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International Exterior Mirrors</w:t>
            </w:r>
          </w:p>
        </w:tc>
        <w:tc>
          <w:tcPr>
            <w:tcW w:w="88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1,864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1,875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6,091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5,517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3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ind w:left="480" w:right="-480"/>
            </w:pPr>
            <w:r>
              <w:rPr>
                <w:rFonts w:ascii="Arial" w:eastAsia="Arial" w:hAnsi="Arial" w:cs="Arial"/>
                <w:color w:val="000000"/>
                <w:sz w:val="20"/>
              </w:rPr>
              <w:t>Total International Mirror Units</w:t>
            </w:r>
          </w:p>
        </w:tc>
        <w:tc>
          <w:tcPr>
            <w:tcW w:w="88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6,668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w:t>
            </w:r>
          </w:p>
        </w:tc>
        <w:tc>
          <w:tcPr>
            <w:tcW w:w="260"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21,892</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19,954</w:t>
            </w:r>
          </w:p>
        </w:tc>
        <w:tc>
          <w:tcPr>
            <w:tcW w:w="7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single" w:sz="8" w:space="0" w:color="000000"/>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w:t>
            </w:r>
          </w:p>
        </w:tc>
        <w:tc>
          <w:tcPr>
            <w:tcW w:w="260"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3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 Interior Mirrors</w:t>
            </w:r>
          </w:p>
        </w:tc>
        <w:tc>
          <w:tcPr>
            <w:tcW w:w="88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7,262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6,896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22,437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21,130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3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 Exterior Mirrors</w:t>
            </w:r>
          </w:p>
        </w:tc>
        <w:tc>
          <w:tcPr>
            <w:tcW w:w="88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2,967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2,717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8,962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8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8,189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86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495"/>
        </w:trPr>
        <w:tc>
          <w:tcPr>
            <w:tcW w:w="33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55" w:after="10"/>
              <w:ind w:left="480"/>
            </w:pPr>
            <w:r>
              <w:rPr>
                <w:rFonts w:ascii="Arial" w:eastAsia="Arial" w:hAnsi="Arial" w:cs="Arial"/>
                <w:sz w:val="20"/>
              </w:rPr>
              <w:t>Total Auto-Dimming Mirror Units</w:t>
            </w:r>
          </w:p>
        </w:tc>
        <w:tc>
          <w:tcPr>
            <w:tcW w:w="88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10,229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9,613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86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w:t>
            </w:r>
          </w:p>
        </w:tc>
        <w:tc>
          <w:tcPr>
            <w:tcW w:w="260"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31,399</w:t>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73293D"/>
        </w:tc>
        <w:tc>
          <w:tcPr>
            <w:tcW w:w="88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29,320</w:t>
            </w:r>
          </w:p>
        </w:tc>
        <w:tc>
          <w:tcPr>
            <w:tcW w:w="7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73293D"/>
        </w:tc>
        <w:tc>
          <w:tcPr>
            <w:tcW w:w="86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w:t>
            </w:r>
          </w:p>
        </w:tc>
        <w:tc>
          <w:tcPr>
            <w:tcW w:w="260" w:type="dxa"/>
            <w:tcBorders>
              <w:top w:val="single" w:sz="8" w:space="0" w:color="000000"/>
              <w:left w:val="nil"/>
              <w:bottom w:val="double" w:sz="8" w:space="0" w:color="000000"/>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bl>
    <w:p w:rsidR="0073293D" w:rsidRDefault="00CC4FC6">
      <w:pPr>
        <w:spacing w:before="120"/>
        <w:ind w:left="720" w:firstLine="360"/>
      </w:pPr>
      <w:r>
        <w:rPr>
          <w:rFonts w:ascii="Arial" w:eastAsia="Arial" w:hAnsi="Arial" w:cs="Arial"/>
          <w:i/>
          <w:sz w:val="20"/>
        </w:rPr>
        <w:t>Note: Percent change and amounts may not total due to rounding.</w:t>
      </w:r>
    </w:p>
    <w:p w:rsidR="0073293D" w:rsidRDefault="0073293D">
      <w:pPr>
        <w:ind w:left="720"/>
      </w:pPr>
    </w:p>
    <w:p w:rsidR="0073293D" w:rsidRDefault="00CC4FC6">
      <w:pPr>
        <w:ind w:left="720"/>
      </w:pPr>
      <w:r>
        <w:rPr>
          <w:rFonts w:ascii="Arial" w:eastAsia="Arial" w:hAnsi="Arial" w:cs="Arial"/>
          <w:sz w:val="20"/>
        </w:rPr>
        <w:t>Other net sales were $11.1 million in the third quarter of 2018, an increase of 6%, compared to $10.5 million in the third quarter of 2017.  This was primarily a result of fire protection sales of $5.9 million in the third quarter of 2018, increasing by 13% compared to $5.2 million of fire protection sales in the third quarter of 2017.  This was offset by a decrease of 3% in variable dimmable aircraft windows, which decreased from $5.3  million in the third quarter of 2017 to $5.2 million in the third quarter of 2018.</w:t>
      </w:r>
    </w:p>
    <w:p w:rsidR="0073293D" w:rsidRDefault="0073293D">
      <w:pPr>
        <w:jc w:val="both"/>
      </w:pPr>
    </w:p>
    <w:p w:rsidR="0073293D" w:rsidRDefault="00CC4FC6">
      <w:pPr>
        <w:ind w:left="720"/>
        <w:jc w:val="both"/>
      </w:pPr>
      <w:r>
        <w:rPr>
          <w:rFonts w:ascii="Arial" w:eastAsia="Arial" w:hAnsi="Arial" w:cs="Arial"/>
          <w:i/>
          <w:color w:val="000000"/>
          <w:sz w:val="20"/>
          <w:u w:val="single"/>
        </w:rPr>
        <w:t>Cost of Goods Sold.</w:t>
      </w:r>
      <w:r>
        <w:rPr>
          <w:rFonts w:ascii="Arial" w:eastAsia="Arial" w:hAnsi="Arial" w:cs="Arial"/>
          <w:i/>
          <w:sz w:val="20"/>
        </w:rPr>
        <w:t xml:space="preserve">  </w:t>
      </w:r>
      <w:r>
        <w:rPr>
          <w:rFonts w:ascii="Arial" w:eastAsia="Arial" w:hAnsi="Arial" w:cs="Arial"/>
          <w:sz w:val="20"/>
        </w:rPr>
        <w:t xml:space="preserve">As a percentage of net sales, cost of goods sold increased to 62.4% in the third quarter of 2018 versus 61.0% in the third quarter of 2017.  The quarter over quarter net decrease in the gross profit margin was primarily the result of annual customer price reductions, the inability to leverage fixed overhead costs, and newly enacted tariffs.  This decrease was partially offset by purchasing cost reductions. On a quarter over quarter basis, annual customer price reductions had a negative impact of approximately 150 - 200 basis points and the inability to leverage fixed overhead and the newly enacted tariffs each had a negative impact of approximately 50 - 100 basis points. Purchasing cost reductions had a positive impact of  approximately 50 -100 basis points on a quarter over quarter basis. </w:t>
      </w:r>
    </w:p>
    <w:p w:rsidR="0073293D" w:rsidRDefault="0073293D">
      <w:pPr>
        <w:ind w:left="720"/>
        <w:jc w:val="both"/>
      </w:pPr>
    </w:p>
    <w:p w:rsidR="0073293D" w:rsidRDefault="00CC4FC6">
      <w:pPr>
        <w:ind w:left="720"/>
        <w:jc w:val="both"/>
      </w:pPr>
      <w:r>
        <w:rPr>
          <w:rFonts w:ascii="Arial" w:eastAsia="Arial" w:hAnsi="Arial" w:cs="Arial"/>
          <w:color w:val="000000"/>
          <w:sz w:val="20"/>
          <w:u w:val="single"/>
        </w:rPr>
        <w:t>Operating Expenses.</w:t>
      </w:r>
      <w:r>
        <w:rPr>
          <w:rFonts w:ascii="Arial" w:eastAsia="Arial" w:hAnsi="Arial" w:cs="Arial"/>
          <w:sz w:val="20"/>
        </w:rPr>
        <w:t xml:space="preserve"> Engineering, research and development ("E, R &amp; D") expenses for the third quarter of 2018 increased by 9% or $2.1 million when compared with the third quarter of 2017, primarily due to increased staffing levels and benefits, which continue to support growth and the development of new business and technology advances.</w:t>
      </w:r>
    </w:p>
    <w:p w:rsidR="0073293D" w:rsidRDefault="0073293D">
      <w:pPr>
        <w:ind w:left="720"/>
        <w:jc w:val="both"/>
      </w:pPr>
    </w:p>
    <w:p w:rsidR="0073293D" w:rsidRDefault="00CC4FC6">
      <w:pPr>
        <w:ind w:left="720"/>
        <w:jc w:val="both"/>
      </w:pPr>
      <w:r>
        <w:rPr>
          <w:rFonts w:ascii="Arial" w:eastAsia="Arial" w:hAnsi="Arial" w:cs="Arial"/>
          <w:sz w:val="20"/>
        </w:rPr>
        <w:t>Selling, general and administrative ("S, G &amp; A") expenses increased by 7% or $1.3 million for the third quarter of 2018 compared to the third quarter of 2017. S, G &amp; A expenses, notwithstanding the quarter over quarter increase, were at approximately 4% of net sales in the third quarter of 2018 and in the third quarter of 2017.  S, G, &amp; A expenses increased on a dollar basis primarily due to increased staffing levels and benefits.</w:t>
      </w:r>
    </w:p>
    <w:p w:rsidR="0073293D" w:rsidRDefault="0073293D">
      <w:pPr>
        <w:ind w:left="720"/>
        <w:jc w:val="both"/>
      </w:pPr>
    </w:p>
    <w:p w:rsidR="0073293D" w:rsidRDefault="00CC4FC6">
      <w:pPr>
        <w:ind w:left="720"/>
        <w:jc w:val="both"/>
      </w:pPr>
      <w:r>
        <w:rPr>
          <w:rFonts w:ascii="Arial" w:eastAsia="Arial" w:hAnsi="Arial" w:cs="Arial"/>
          <w:sz w:val="20"/>
        </w:rPr>
        <w:t xml:space="preserve">Total operating expenses were $45.6 million in the third quarter of 2018, which increased by 8% or $3.4 million, from $42.2 million in the third quarter of 2017. </w:t>
      </w:r>
    </w:p>
    <w:p w:rsidR="0073293D" w:rsidRDefault="00CC4FC6">
      <w:pPr>
        <w:spacing w:before="160"/>
        <w:ind w:left="720"/>
        <w:jc w:val="both"/>
      </w:pPr>
      <w:r>
        <w:rPr>
          <w:rFonts w:ascii="Arial" w:eastAsia="Arial" w:hAnsi="Arial" w:cs="Arial"/>
          <w:i/>
          <w:color w:val="000000"/>
          <w:sz w:val="20"/>
          <w:u w:val="single"/>
        </w:rPr>
        <w:t>Total Other Income.</w:t>
      </w:r>
      <w:r>
        <w:rPr>
          <w:rFonts w:ascii="Arial" w:eastAsia="Arial" w:hAnsi="Arial" w:cs="Arial"/>
          <w:sz w:val="20"/>
        </w:rPr>
        <w:t xml:space="preserve"> Total other income for the third quarter of 2018 increased by $1.3 million when compared with the third quarter of 2017, primarily due to increased interest income, net of lower interest expense, each on a quarter over quarter basis, as the Company had an increased investment in fixed-income securities during the current quarter versus the third quarter of 2017, as well as additional paid down debt.</w:t>
      </w:r>
    </w:p>
    <w:p w:rsidR="0073293D" w:rsidRDefault="00CC4FC6">
      <w:pPr>
        <w:spacing w:before="160"/>
        <w:ind w:left="720"/>
        <w:jc w:val="both"/>
      </w:pPr>
      <w:r>
        <w:rPr>
          <w:rFonts w:ascii="Arial" w:eastAsia="Arial" w:hAnsi="Arial" w:cs="Arial"/>
          <w:i/>
          <w:color w:val="000000"/>
          <w:sz w:val="20"/>
          <w:u w:val="single"/>
        </w:rPr>
        <w:t>Provision for Income Taxes.</w:t>
      </w:r>
      <w:r>
        <w:rPr>
          <w:rFonts w:ascii="Arial" w:eastAsia="Arial" w:hAnsi="Arial" w:cs="Arial"/>
          <w:i/>
          <w:sz w:val="20"/>
        </w:rPr>
        <w:t xml:space="preserve">  </w:t>
      </w:r>
      <w:r>
        <w:rPr>
          <w:rFonts w:ascii="Arial" w:eastAsia="Arial" w:hAnsi="Arial" w:cs="Arial"/>
          <w:sz w:val="20"/>
        </w:rPr>
        <w:t>The effective tax rate was 14.7% in the third quarter of 2018 compared to 31.0% for same quarter of 2017. Generally, effective tax rates for these periods differ from statutory federal income tax rates, due to provisions for state and local income taxes, permanent tax differences, and the foreign-derived intangible income tax deduction during the three month period ended September 30, 2018.  The decrease in the effective tax rate for the third quarter of 2018 compared to the same period of 2017 was due to the reduction of the federal income tax rate from 35% to 21% as a result of the Act, as well as R&amp;D tax credits, certain discrete tax benefits related to equity compensation, and the foreign derived intangibles income tax deduction.</w:t>
      </w:r>
    </w:p>
    <w:p w:rsidR="0073293D" w:rsidRDefault="00CC4FC6">
      <w:pPr>
        <w:spacing w:before="160" w:after="180"/>
        <w:ind w:left="720"/>
        <w:jc w:val="both"/>
      </w:pPr>
      <w:r>
        <w:rPr>
          <w:rFonts w:ascii="Arial" w:eastAsia="Arial" w:hAnsi="Arial" w:cs="Arial"/>
          <w:i/>
          <w:color w:val="000000"/>
          <w:sz w:val="20"/>
          <w:u w:val="single"/>
        </w:rPr>
        <w:t>Net Income.</w:t>
      </w:r>
      <w:r>
        <w:rPr>
          <w:rFonts w:ascii="Arial" w:eastAsia="Arial" w:hAnsi="Arial" w:cs="Arial"/>
          <w:i/>
          <w:sz w:val="20"/>
        </w:rPr>
        <w:t xml:space="preserve">  </w:t>
      </w:r>
      <w:r>
        <w:rPr>
          <w:rFonts w:ascii="Arial" w:eastAsia="Arial" w:hAnsi="Arial" w:cs="Arial"/>
          <w:sz w:val="20"/>
        </w:rPr>
        <w:t>Net income for the third quarter of 2018 increased by $21.1 million or 23% when compared with the third quarter of 2017, due to increases in sales, other income, and the decrease in the tax expense described above.</w:t>
      </w:r>
    </w:p>
    <w:p w:rsidR="0073293D" w:rsidRDefault="00CC4FC6">
      <w:pPr>
        <w:ind w:left="720"/>
        <w:jc w:val="both"/>
      </w:pPr>
      <w:r>
        <w:rPr>
          <w:rFonts w:ascii="Arial" w:eastAsia="Arial" w:hAnsi="Arial" w:cs="Arial"/>
          <w:b/>
          <w:color w:val="000000"/>
          <w:sz w:val="20"/>
          <w:u w:val="single"/>
        </w:rPr>
        <w:t>NINE MONTHS ENDED SEPTEMBER 30, 2018 VERSUS NINE MONTHS ENDED SEPTEMBER 30, 2017</w:t>
      </w:r>
    </w:p>
    <w:p w:rsidR="0073293D" w:rsidRDefault="0073293D">
      <w:pPr>
        <w:ind w:left="720"/>
        <w:jc w:val="both"/>
      </w:pPr>
    </w:p>
    <w:p w:rsidR="0073293D" w:rsidRDefault="00CC4FC6">
      <w:pPr>
        <w:ind w:left="720"/>
        <w:jc w:val="both"/>
      </w:pPr>
      <w:r>
        <w:rPr>
          <w:rFonts w:ascii="Arial" w:eastAsia="Arial" w:hAnsi="Arial" w:cs="Arial"/>
          <w:i/>
          <w:color w:val="000000"/>
          <w:sz w:val="20"/>
          <w:u w:val="single"/>
        </w:rPr>
        <w:t>Net Sales.</w:t>
      </w:r>
      <w:r>
        <w:rPr>
          <w:rFonts w:ascii="Arial" w:eastAsia="Arial" w:hAnsi="Arial" w:cs="Arial"/>
          <w:sz w:val="20"/>
        </w:rPr>
        <w:t xml:space="preserve"> Net sales for the nine months ended September 30, 2018 increased by $45.4 million or 3% when compared with the same period in 2017.</w:t>
      </w:r>
    </w:p>
    <w:p w:rsidR="0073293D" w:rsidRDefault="0073293D">
      <w:pPr>
        <w:ind w:left="720"/>
        <w:jc w:val="both"/>
      </w:pPr>
    </w:p>
    <w:p w:rsidR="0073293D" w:rsidRDefault="00CC4FC6">
      <w:pPr>
        <w:ind w:left="720"/>
        <w:jc w:val="both"/>
      </w:pPr>
      <w:r>
        <w:rPr>
          <w:rFonts w:ascii="Arial" w:eastAsia="Arial" w:hAnsi="Arial" w:cs="Arial"/>
          <w:sz w:val="20"/>
        </w:rPr>
        <w:t>Automotive net sales for the first nine months of 2018 were $1.35 billion, up 3% compared with automotive net sales of $1.31 billion for the first nine months of 2017, partially driven by a 7% period over period increase in automotive mirror unit shipments.  North American automotive mirror unit shipments in the nine months ended September 30, 2018 increased 2% to 9.5 million units compared with same period in 2017, which results were impacted by North American light vehicle production.  International automotive mirror unit shipments in the nine months ended September 30, 2018, increased 10% to 21.9 million units compared with the same period in 2017, primarily due to increased penetration of the Company's interior and exterior auto-dimming mirrors.</w:t>
      </w:r>
    </w:p>
    <w:p w:rsidR="0073293D" w:rsidRDefault="0073293D">
      <w:pPr>
        <w:ind w:left="720"/>
        <w:jc w:val="both"/>
      </w:pPr>
    </w:p>
    <w:p w:rsidR="0073293D" w:rsidRDefault="00CC4FC6">
      <w:pPr>
        <w:ind w:left="720"/>
        <w:jc w:val="both"/>
      </w:pPr>
      <w:r>
        <w:rPr>
          <w:rFonts w:ascii="Arial" w:eastAsia="Arial" w:hAnsi="Arial" w:cs="Arial"/>
          <w:i/>
          <w:color w:val="000000"/>
          <w:sz w:val="20"/>
          <w:u w:val="single"/>
        </w:rPr>
        <w:t>Cost of Goods Sold.</w:t>
      </w:r>
      <w:r>
        <w:rPr>
          <w:rFonts w:ascii="Arial" w:eastAsia="Arial" w:hAnsi="Arial" w:cs="Arial"/>
          <w:sz w:val="20"/>
        </w:rPr>
        <w:t xml:space="preserve"> As a percentage of net sales, cost of goods sold increased to 62.5% for the first nine months of 2018 versus 61.5% in the same period last year.  The period over period decrease in gross margin on a year to date basis was primarily due to annual customer price reductions that were not fully offset by purchasing cost reductions, and the Company's inability to leverage fixed overhead costs.  Annual customer price reductions and inability to leverage fixed overhead each had a negative impact of approximately 100 - 150 basis points, while purchasing cost reductions had a positive impact of approximately 50 - 100 basis points.</w:t>
      </w:r>
    </w:p>
    <w:p w:rsidR="0073293D" w:rsidRDefault="0073293D">
      <w:pPr>
        <w:ind w:left="720"/>
        <w:jc w:val="both"/>
      </w:pPr>
    </w:p>
    <w:p w:rsidR="0073293D" w:rsidRDefault="00CC4FC6">
      <w:pPr>
        <w:ind w:left="720"/>
        <w:jc w:val="both"/>
      </w:pPr>
      <w:r>
        <w:rPr>
          <w:rFonts w:ascii="Arial" w:eastAsia="Arial" w:hAnsi="Arial" w:cs="Arial"/>
          <w:i/>
          <w:color w:val="000000"/>
          <w:sz w:val="20"/>
          <w:u w:val="single"/>
        </w:rPr>
        <w:t>Operating Expenses.</w:t>
      </w:r>
      <w:r>
        <w:rPr>
          <w:rFonts w:ascii="Arial" w:eastAsia="Arial" w:hAnsi="Arial" w:cs="Arial"/>
          <w:sz w:val="20"/>
        </w:rPr>
        <w:t xml:space="preserve"> E, R &amp; D expenses for the nine months ended September 30, 2018, increased 7% or $5.0 million when compared with the same period last year, primarily due to increased staffing levels related to development and launch of new business.</w:t>
      </w:r>
    </w:p>
    <w:p w:rsidR="0073293D" w:rsidRDefault="0073293D">
      <w:pPr>
        <w:ind w:left="720"/>
        <w:jc w:val="both"/>
      </w:pPr>
    </w:p>
    <w:p w:rsidR="0073293D" w:rsidRDefault="00CC4FC6">
      <w:pPr>
        <w:ind w:left="720"/>
        <w:jc w:val="both"/>
      </w:pPr>
      <w:r>
        <w:rPr>
          <w:rFonts w:ascii="Arial" w:eastAsia="Arial" w:hAnsi="Arial" w:cs="Arial"/>
          <w:sz w:val="20"/>
        </w:rPr>
        <w:t>S, G &amp; A expenses for the first nine months of 2018 increased 12% or $6.0 million when compared with the same period last year, primarily due to increases in staffing levels and benefits.</w:t>
      </w:r>
    </w:p>
    <w:p w:rsidR="0073293D" w:rsidRDefault="0073293D">
      <w:pPr>
        <w:ind w:left="720"/>
        <w:jc w:val="both"/>
      </w:pPr>
    </w:p>
    <w:p w:rsidR="0073293D" w:rsidRDefault="00CC4FC6">
      <w:pPr>
        <w:ind w:left="720"/>
        <w:jc w:val="both"/>
      </w:pPr>
      <w:r>
        <w:rPr>
          <w:rFonts w:ascii="Arial" w:eastAsia="Arial" w:hAnsi="Arial" w:cs="Arial"/>
          <w:i/>
          <w:color w:val="000000"/>
          <w:sz w:val="20"/>
          <w:u w:val="single"/>
        </w:rPr>
        <w:t>Total Other Income.</w:t>
      </w:r>
      <w:r>
        <w:rPr>
          <w:rFonts w:ascii="Arial" w:eastAsia="Arial" w:hAnsi="Arial" w:cs="Arial"/>
          <w:sz w:val="20"/>
        </w:rPr>
        <w:t xml:space="preserve"> Total other income for the nine months ended September 30, 2018 increased by $4.4 million when compared with the same period last year, primarily due to an increase in investment income and realized gains on the sale of equity investments that primarily occurred during the first quarter of 2018, as well as increased interest income, net of lower period over period interest expense, compared to the first nine months of 2017 due to the pay down of debt.</w:t>
      </w:r>
    </w:p>
    <w:p w:rsidR="0073293D" w:rsidRDefault="0073293D">
      <w:pPr>
        <w:ind w:left="720"/>
        <w:jc w:val="both"/>
      </w:pPr>
    </w:p>
    <w:p w:rsidR="0073293D" w:rsidRDefault="00CC4FC6">
      <w:pPr>
        <w:ind w:left="720"/>
        <w:jc w:val="both"/>
      </w:pPr>
      <w:r>
        <w:rPr>
          <w:rFonts w:ascii="Arial" w:eastAsia="Arial" w:hAnsi="Arial" w:cs="Arial"/>
          <w:i/>
          <w:color w:val="000000"/>
          <w:sz w:val="20"/>
          <w:u w:val="single"/>
        </w:rPr>
        <w:t>Taxes.</w:t>
      </w:r>
      <w:r>
        <w:rPr>
          <w:rFonts w:ascii="Arial" w:eastAsia="Arial" w:hAnsi="Arial" w:cs="Arial"/>
          <w:sz w:val="20"/>
        </w:rPr>
        <w:t xml:space="preserve">  The effective tax rate was 15.2% for the nine months ended September 30, 2018 compared to 29.8% for the same period of 2017. The decrease in the effective tax rate for the nine months ended September 30, 2018 compared to the same period of 2017 is primarily due to the reduction of the federal income tax rate from 35% to 21% as a result of the Act, as well as R&amp;D tax credits, discrete tax benefits related to equity compensation, and the foreign-derived intangible income tax deduction.  </w:t>
      </w:r>
    </w:p>
    <w:p w:rsidR="0073293D" w:rsidRDefault="00CC4FC6">
      <w:pPr>
        <w:spacing w:before="160" w:after="180"/>
        <w:ind w:left="720"/>
        <w:jc w:val="both"/>
      </w:pPr>
      <w:r>
        <w:rPr>
          <w:rFonts w:ascii="Arial" w:eastAsia="Arial" w:hAnsi="Arial" w:cs="Arial"/>
          <w:i/>
          <w:color w:val="000000"/>
          <w:sz w:val="20"/>
          <w:u w:val="single"/>
        </w:rPr>
        <w:t>Net Income.</w:t>
      </w:r>
      <w:r>
        <w:rPr>
          <w:rFonts w:ascii="Arial" w:eastAsia="Arial" w:hAnsi="Arial" w:cs="Arial"/>
          <w:sz w:val="20"/>
        </w:rPr>
        <w:t xml:space="preserve"> Net income for the nine months ended September 30, 2018 increased by $55.3 million or 20% to $331.6 million versus $276.3 million in the same period last year, due to increases in sales, other income, and the decrease in tax expense described above.</w:t>
      </w:r>
    </w:p>
    <w:p w:rsidR="0073293D" w:rsidRDefault="0073293D">
      <w:pPr>
        <w:spacing w:before="160" w:after="180"/>
        <w:ind w:left="720"/>
        <w:jc w:val="both"/>
        <w:sectPr w:rsidR="0073293D">
          <w:headerReference w:type="default" r:id="rId16"/>
          <w:type w:val="continuous"/>
          <w:pgSz w:w="12240" w:h="15840"/>
          <w:pgMar w:top="900" w:right="990" w:bottom="900" w:left="990" w:header="270" w:footer="270" w:gutter="0"/>
          <w:cols w:space="720"/>
        </w:sectPr>
      </w:pPr>
    </w:p>
    <w:p w:rsidR="0073293D" w:rsidRDefault="00CC4FC6">
      <w:pPr>
        <w:spacing w:before="280"/>
        <w:ind w:left="720"/>
      </w:pPr>
      <w:bookmarkStart w:id="26" w:name="Section26"/>
      <w:bookmarkEnd w:id="26"/>
      <w:r>
        <w:rPr>
          <w:rFonts w:ascii="Arial" w:eastAsia="Arial" w:hAnsi="Arial" w:cs="Arial"/>
          <w:b/>
          <w:color w:val="000000"/>
          <w:sz w:val="20"/>
          <w:u w:val="single"/>
        </w:rPr>
        <w:t>FINANCIAL CONDITION:</w:t>
      </w:r>
    </w:p>
    <w:p w:rsidR="0073293D" w:rsidRDefault="00CC4FC6">
      <w:pPr>
        <w:spacing w:before="160"/>
        <w:ind w:left="720"/>
        <w:jc w:val="both"/>
      </w:pPr>
      <w:r>
        <w:rPr>
          <w:rFonts w:ascii="Arial" w:eastAsia="Arial" w:hAnsi="Arial" w:cs="Arial"/>
          <w:sz w:val="20"/>
        </w:rPr>
        <w:t>The Company's cash and cash equivalents as of September 30, 2018 was $194.0 million, which decreased approximately $375.7 million compared to $569.7 million as of December 31, 2017.  The decrease was primarily due to share repurchases, investment purchases, dividend payments, the repayment of debt, and capital expenditures, which was partially offset by the positive cash flows from operations and the proceeds from investment sales during the nine months ended September 30, 2018.</w:t>
      </w:r>
    </w:p>
    <w:p w:rsidR="0073293D" w:rsidRDefault="00CC4FC6">
      <w:pPr>
        <w:spacing w:before="160"/>
        <w:ind w:left="720"/>
        <w:jc w:val="both"/>
      </w:pPr>
      <w:r>
        <w:rPr>
          <w:rFonts w:ascii="Arial" w:eastAsia="Arial" w:hAnsi="Arial" w:cs="Arial"/>
          <w:sz w:val="20"/>
        </w:rPr>
        <w:t>Short-term investments as of September 30, 2018 were $143.6 million, down from $152.5 million as of December 31, 2017.  Long-term investments were $141.6 million as of September 30, 2018, compared to $57.8 million as of December 31, 2017, as a result of the Company increasing its holdings in fixed-income securities investments as part of its previously announced capital allocation strategy.</w:t>
      </w:r>
    </w:p>
    <w:p w:rsidR="0073293D" w:rsidRDefault="00CC4FC6">
      <w:pPr>
        <w:spacing w:before="160"/>
        <w:ind w:left="720"/>
        <w:jc w:val="both"/>
      </w:pPr>
      <w:r>
        <w:rPr>
          <w:rFonts w:ascii="Arial" w:eastAsia="Arial" w:hAnsi="Arial" w:cs="Arial"/>
          <w:sz w:val="20"/>
        </w:rPr>
        <w:t>Accounts receivable as of September 30, 2018 increased approximately $16.2 million compared to December 31, 2017, primarily due to the higher sales level, as well as timing of sales within the quarters.</w:t>
      </w:r>
    </w:p>
    <w:p w:rsidR="0073293D" w:rsidRDefault="00CC4FC6">
      <w:pPr>
        <w:spacing w:before="160"/>
        <w:ind w:left="720"/>
        <w:jc w:val="both"/>
      </w:pPr>
      <w:r>
        <w:rPr>
          <w:rFonts w:ascii="Arial" w:eastAsia="Arial" w:hAnsi="Arial" w:cs="Arial"/>
          <w:sz w:val="20"/>
        </w:rPr>
        <w:t>Inventories as of September 30, 2018 decreased approximately $3.4 million when compared to December 31, 2017, primarily due to decreases in raw materials.</w:t>
      </w:r>
    </w:p>
    <w:p w:rsidR="0073293D" w:rsidRDefault="00CC4FC6">
      <w:pPr>
        <w:spacing w:before="160"/>
        <w:ind w:left="720"/>
        <w:jc w:val="both"/>
      </w:pPr>
      <w:r>
        <w:rPr>
          <w:rFonts w:ascii="Arial" w:eastAsia="Arial" w:hAnsi="Arial" w:cs="Arial"/>
          <w:sz w:val="20"/>
        </w:rPr>
        <w:t>Accounts payable as of September 30, 2018 increased approximately $0.1 million when compared to December 31, 2017.</w:t>
      </w:r>
    </w:p>
    <w:p w:rsidR="0073293D" w:rsidRDefault="00CC4FC6">
      <w:pPr>
        <w:spacing w:before="160"/>
        <w:ind w:left="720"/>
        <w:jc w:val="both"/>
      </w:pPr>
      <w:r>
        <w:rPr>
          <w:rFonts w:ascii="Arial" w:eastAsia="Arial" w:hAnsi="Arial" w:cs="Arial"/>
          <w:sz w:val="20"/>
        </w:rPr>
        <w:t>Accrued liabilities and the current portion of long-term debt as of September 30, 2018 decreased approximately $70.9 million compared to December 31, 2017, primarily due to the Company's debt repayment of $78.0 million during the first nine months of 2018, which was partially offset by an increase in accrued salaries and wages due to timing of certain wage payments.</w:t>
      </w:r>
    </w:p>
    <w:p w:rsidR="0073293D" w:rsidRDefault="00CC4FC6">
      <w:pPr>
        <w:spacing w:before="160"/>
        <w:ind w:left="720"/>
        <w:jc w:val="both"/>
      </w:pPr>
      <w:r>
        <w:rPr>
          <w:rFonts w:ascii="Arial" w:eastAsia="Arial" w:hAnsi="Arial" w:cs="Arial"/>
          <w:sz w:val="20"/>
        </w:rPr>
        <w:t xml:space="preserve">Cash flow from operating activities for the nine months ended September 30, 2018 increased $45.7 million to $398.2 million, compared with $352.6 million during the same nine month period last year, primarily due to the increase in net income.  </w:t>
      </w:r>
    </w:p>
    <w:p w:rsidR="0073293D" w:rsidRDefault="00CC4FC6">
      <w:pPr>
        <w:spacing w:before="160"/>
        <w:ind w:left="720"/>
        <w:jc w:val="both"/>
      </w:pPr>
      <w:r>
        <w:rPr>
          <w:rFonts w:ascii="Arial" w:eastAsia="Arial" w:hAnsi="Arial" w:cs="Arial"/>
          <w:sz w:val="20"/>
        </w:rPr>
        <w:t>Capital expenditures for the nine months ended September 30, 2018 were approximately $68.8 million, compared with approximately $86.1 million for the same nine month period last year.</w:t>
      </w:r>
    </w:p>
    <w:p w:rsidR="0073293D" w:rsidRDefault="00CC4FC6">
      <w:pPr>
        <w:spacing w:before="160"/>
        <w:ind w:left="720"/>
        <w:jc w:val="both"/>
      </w:pPr>
      <w:r>
        <w:rPr>
          <w:rFonts w:ascii="Arial" w:eastAsia="Arial" w:hAnsi="Arial" w:cs="Arial"/>
          <w:sz w:val="20"/>
        </w:rPr>
        <w:t xml:space="preserve">The Company believes its existing and planned facilities are currently suitable, adequate, and have the capacity required for current and near-term planned business. Nevertheless, the Company continues to evaluate longer term facilities needs. In the first quarter of 2018, as previously announced, the Company acquired a 25,000 square-foot, one-story building that was previously leased by the Company since 1978, as part of the former CEO's retirement agreement. Additionally, in the current year the Company began construction on a 250,000 square-foot distribution facility located at a 140 acre site in Zeeland, Michigan, where the Company previously performed master planning and completed land infrastructure improvements. The total cost of the building project is expected to be approximately $25 - $30 million and will be funded with cash and cash equivalents on hand. The facility is expected to be operational in the fourth quarter of 2018. </w:t>
      </w:r>
    </w:p>
    <w:p w:rsidR="0073293D" w:rsidRDefault="00CC4FC6">
      <w:pPr>
        <w:spacing w:before="160"/>
        <w:ind w:left="720"/>
        <w:jc w:val="both"/>
      </w:pPr>
      <w:r>
        <w:rPr>
          <w:rFonts w:ascii="Arial" w:eastAsia="Arial" w:hAnsi="Arial" w:cs="Arial"/>
          <w:sz w:val="20"/>
        </w:rPr>
        <w:t xml:space="preserve">The Company estimates that it currently has building capacity to manufacture approximately 30 - 33 million interior mirror units annually and approximately 13 - 15 million exterior mirror units annually, based on current product mix (excluding the impact of the on-going construction of the aforementioned distribution center). The Company evaluates equipment capacity on an ongoing basis and adds equipment as needed. </w:t>
      </w:r>
    </w:p>
    <w:p w:rsidR="0073293D" w:rsidRDefault="00CC4FC6">
      <w:pPr>
        <w:spacing w:before="160" w:after="160"/>
        <w:ind w:left="720"/>
        <w:jc w:val="both"/>
      </w:pPr>
      <w:r>
        <w:rPr>
          <w:rFonts w:ascii="Arial" w:eastAsia="Arial" w:hAnsi="Arial" w:cs="Arial"/>
          <w:sz w:val="20"/>
        </w:rPr>
        <w:t>Management considers the current working capital and long-term investments, in addition to internally generated cash flow, its new Credit Agreement, and credit worthiness, to be sufficient to cover anticipated cash needs for the foreseeable future considering its contractual obligations and commitments.  The following is a summary of working capital and long-term investments:</w:t>
      </w:r>
    </w:p>
    <w:tbl>
      <w:tblPr>
        <w:tblW w:w="94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1"/>
        <w:gridCol w:w="218"/>
        <w:gridCol w:w="1583"/>
        <w:gridCol w:w="145"/>
        <w:gridCol w:w="112"/>
        <w:gridCol w:w="1521"/>
      </w:tblGrid>
      <w:tr w:rsidR="0073293D">
        <w:trPr>
          <w:trHeight w:hRule="exact" w:val="315"/>
        </w:trPr>
        <w:tc>
          <w:tcPr>
            <w:tcW w:w="601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September 30, 2018</w:t>
            </w:r>
          </w:p>
        </w:tc>
        <w:tc>
          <w:tcPr>
            <w:tcW w:w="15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3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color w:val="000000"/>
                <w:sz w:val="16"/>
              </w:rPr>
              <w:t>December 31, 2017</w:t>
            </w:r>
          </w:p>
        </w:tc>
      </w:tr>
      <w:tr w:rsidR="0073293D">
        <w:trPr>
          <w:trHeight w:hRule="exact" w:val="300"/>
        </w:trPr>
        <w:tc>
          <w:tcPr>
            <w:tcW w:w="60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Working Capital</w:t>
            </w:r>
          </w:p>
        </w:tc>
        <w:tc>
          <w:tcPr>
            <w:tcW w:w="1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5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654,672,103</w:t>
            </w:r>
          </w:p>
        </w:tc>
        <w:tc>
          <w:tcPr>
            <w:tcW w:w="15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53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940,916,816</w:t>
            </w:r>
          </w:p>
        </w:tc>
      </w:tr>
      <w:tr w:rsidR="0073293D">
        <w:trPr>
          <w:trHeight w:hRule="exact" w:val="300"/>
        </w:trPr>
        <w:tc>
          <w:tcPr>
            <w:tcW w:w="601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Long Term Investments</w:t>
            </w:r>
          </w:p>
        </w:tc>
        <w:tc>
          <w:tcPr>
            <w:tcW w:w="16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sz w:val="20"/>
              </w:rPr>
              <w:t>141,631,510</w:t>
            </w:r>
          </w:p>
        </w:tc>
        <w:tc>
          <w:tcPr>
            <w:tcW w:w="15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63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57,782,418</w:t>
            </w:r>
          </w:p>
        </w:tc>
      </w:tr>
      <w:tr w:rsidR="0073293D">
        <w:trPr>
          <w:trHeight w:hRule="exact" w:val="300"/>
        </w:trPr>
        <w:tc>
          <w:tcPr>
            <w:tcW w:w="601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w:t>
            </w:r>
          </w:p>
        </w:tc>
        <w:tc>
          <w:tcPr>
            <w:tcW w:w="100"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r>
              <w:rPr>
                <w:rFonts w:ascii="Arial" w:eastAsia="Arial" w:hAnsi="Arial" w:cs="Arial"/>
                <w:color w:val="000000"/>
                <w:sz w:val="20"/>
              </w:rPr>
              <w:t>$</w:t>
            </w:r>
          </w:p>
        </w:tc>
        <w:tc>
          <w:tcPr>
            <w:tcW w:w="1595" w:type="dxa"/>
            <w:tcBorders>
              <w:top w:val="single" w:sz="8" w:space="0" w:color="000000"/>
              <w:left w:val="nil"/>
              <w:bottom w:val="double" w:sz="8" w:space="0" w:color="000000"/>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796,303,613</w:t>
            </w:r>
          </w:p>
        </w:tc>
        <w:tc>
          <w:tcPr>
            <w:tcW w:w="15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53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998,699,234</w:t>
            </w:r>
          </w:p>
        </w:tc>
      </w:tr>
    </w:tbl>
    <w:p w:rsidR="0073293D" w:rsidRDefault="0073293D">
      <w:pPr>
        <w:spacing w:before="120"/>
        <w:ind w:left="720"/>
        <w:jc w:val="both"/>
      </w:pPr>
    </w:p>
    <w:p w:rsidR="0073293D" w:rsidRDefault="00CC4FC6">
      <w:pPr>
        <w:ind w:left="720"/>
        <w:jc w:val="both"/>
      </w:pPr>
      <w:r>
        <w:rPr>
          <w:rFonts w:ascii="Arial" w:eastAsia="Arial" w:hAnsi="Arial" w:cs="Arial"/>
          <w:sz w:val="20"/>
        </w:rPr>
        <w:t>The decrease in working capital as of September 30, 2018 is primarily due to share repurchases made during the nine month period ended September 30, 2018, as well as capital expenditures.</w:t>
      </w:r>
    </w:p>
    <w:p w:rsidR="0073293D" w:rsidRDefault="0073293D">
      <w:pPr>
        <w:ind w:left="720"/>
        <w:jc w:val="both"/>
      </w:pPr>
    </w:p>
    <w:p w:rsidR="0073293D" w:rsidRDefault="00CC4FC6">
      <w:pPr>
        <w:ind w:left="720"/>
        <w:jc w:val="both"/>
        <w:rPr>
          <w:sz w:val="20"/>
        </w:rPr>
      </w:pPr>
      <w:r>
        <w:rPr>
          <w:rFonts w:ascii="Arial" w:eastAsia="Arial" w:hAnsi="Arial" w:cs="Arial"/>
          <w:sz w:val="20"/>
        </w:rPr>
        <w:t xml:space="preserve">The Company has a previously announced share repurchase plan under which the Board of Directors has authorized the repurchase of shares of the Company's common stock, which remains a part of the broader publicly disclosed capital allocation strategy. The Company intends to continue to repurchase additional shares of common stock in the future in support of the capital allocation strategy, but share repurchases may vary from time to time and will take into account macroeconomic events, market trends, and other factors the Company deems appropriate (including the market price of the stock, anti-dilutive effect of repurchases, and available cash). During the three and nine months ended September 30, 2018, the Company repurchased 7,508,249 and 23,124,565 shares, respectively. Of the 23,124,565 shares, 5,499,728 shares were repurchased from the former CEO in the first quarter of 2018, pursuant to the previously disclosed retirement agreement.  The shares repurchased from the former CEO were separately approved by the Company's Board of Directors and were not a part of the Company's existing publicly announced share repurchase plan.  The Company has 12,166,059 shares remaining under the plan as of September 30, 2018, as is further detailed in </w:t>
      </w:r>
      <w:hyperlink w:anchor="Section34" w:history="1">
        <w:r>
          <w:rPr>
            <w:rFonts w:ascii="Arial" w:eastAsia="Arial" w:hAnsi="Arial" w:cs="Arial"/>
            <w:color w:val="0000FF"/>
            <w:sz w:val="20"/>
            <w:u w:val="single"/>
          </w:rPr>
          <w:t>Part II, Item 2</w:t>
        </w:r>
      </w:hyperlink>
      <w:r>
        <w:rPr>
          <w:rFonts w:ascii="Arial" w:eastAsia="Arial" w:hAnsi="Arial" w:cs="Arial"/>
          <w:sz w:val="20"/>
        </w:rPr>
        <w:t xml:space="preserve"> of this Form 10-Q.</w:t>
      </w:r>
    </w:p>
    <w:p w:rsidR="0073293D" w:rsidRDefault="0073293D">
      <w:pPr>
        <w:ind w:left="720"/>
        <w:jc w:val="both"/>
        <w:rPr>
          <w:sz w:val="20"/>
        </w:rPr>
      </w:pPr>
    </w:p>
    <w:p w:rsidR="0073293D" w:rsidRDefault="0073293D">
      <w:pPr>
        <w:ind w:left="720"/>
        <w:jc w:val="both"/>
        <w:rPr>
          <w:sz w:val="20"/>
        </w:rPr>
        <w:sectPr w:rsidR="0073293D">
          <w:type w:val="continuous"/>
          <w:pgSz w:w="12240" w:h="15840"/>
          <w:pgMar w:top="900" w:right="990" w:bottom="900" w:left="990" w:header="270" w:footer="270" w:gutter="0"/>
          <w:cols w:space="720"/>
        </w:sectPr>
      </w:pPr>
    </w:p>
    <w:p w:rsidR="0073293D" w:rsidRDefault="00CC4FC6">
      <w:pPr>
        <w:ind w:left="720"/>
        <w:jc w:val="both"/>
      </w:pPr>
      <w:bookmarkStart w:id="27" w:name="Section27"/>
      <w:bookmarkEnd w:id="27"/>
      <w:r>
        <w:rPr>
          <w:rFonts w:ascii="Arial" w:eastAsia="Arial" w:hAnsi="Arial" w:cs="Arial"/>
          <w:b/>
          <w:color w:val="000000"/>
          <w:sz w:val="20"/>
          <w:u w:val="single"/>
        </w:rPr>
        <w:t>BUSINESS UPDATE</w:t>
      </w:r>
    </w:p>
    <w:p w:rsidR="0073293D" w:rsidRDefault="0073293D">
      <w:pPr>
        <w:ind w:left="720"/>
        <w:jc w:val="both"/>
      </w:pPr>
    </w:p>
    <w:p w:rsidR="0073293D" w:rsidRDefault="00CC4FC6">
      <w:pPr>
        <w:ind w:left="720"/>
        <w:jc w:val="both"/>
      </w:pPr>
      <w:r>
        <w:rPr>
          <w:rFonts w:ascii="Arial" w:eastAsia="Arial" w:hAnsi="Arial" w:cs="Arial"/>
          <w:sz w:val="20"/>
        </w:rPr>
        <w:t>The Company's overall unit growth continues to out-pace vehicle production growth in large part due to the many different product launches that have been executed in 2017 and year to date in 2018. The Company's unit and revenue growth continue to be driven by the Company's electrochromic technology, including a number of vehicles that are new launches, as well as certain other advanced features.</w:t>
      </w:r>
    </w:p>
    <w:p w:rsidR="0073293D" w:rsidRDefault="0073293D">
      <w:pPr>
        <w:ind w:left="720"/>
        <w:jc w:val="both"/>
      </w:pPr>
    </w:p>
    <w:p w:rsidR="0073293D" w:rsidRDefault="00CC4FC6">
      <w:pPr>
        <w:ind w:left="720"/>
        <w:jc w:val="both"/>
      </w:pPr>
      <w:r>
        <w:rPr>
          <w:rFonts w:ascii="Arial" w:eastAsia="Arial" w:hAnsi="Arial" w:cs="Arial"/>
          <w:sz w:val="20"/>
        </w:rPr>
        <w:t>Interior and exterior auto-dimming mirrors and advanced electronic features were launched on a net new 10 vehicle models during the first quarter of 2018, on a net new 17 vehicle models during the second quarter of 2018, and on a net new 19 vehicle models during the third quarter of 2018. Of the 19 net new launches in the third quarter, 6 new nameplate launches were related to outside auto-dimming mirrors, 8 launches related to HomeLink, and 5 launches related to Full Display Mirror</w:t>
      </w:r>
      <w:r>
        <w:rPr>
          <w:rFonts w:ascii="Arial" w:eastAsia="Arial" w:hAnsi="Arial" w:cs="Arial"/>
          <w:sz w:val="20"/>
          <w:vertAlign w:val="superscript"/>
        </w:rPr>
        <w:t>®</w:t>
      </w:r>
      <w:r>
        <w:rPr>
          <w:rFonts w:ascii="Arial" w:eastAsia="Arial" w:hAnsi="Arial" w:cs="Arial"/>
          <w:sz w:val="20"/>
        </w:rPr>
        <w:t xml:space="preserve"> applications.  In addition, the Company had an additional 3 launches of inside and outside auto dimming mirrors with domestic Chinese OEMs.</w:t>
      </w:r>
    </w:p>
    <w:p w:rsidR="0073293D" w:rsidRDefault="0073293D">
      <w:pPr>
        <w:ind w:left="720"/>
        <w:jc w:val="both"/>
      </w:pPr>
    </w:p>
    <w:p w:rsidR="0073293D" w:rsidRDefault="00CC4FC6">
      <w:pPr>
        <w:ind w:left="720"/>
      </w:pPr>
      <w:r>
        <w:rPr>
          <w:rFonts w:ascii="Arial" w:eastAsia="Arial" w:hAnsi="Arial" w:cs="Arial"/>
          <w:sz w:val="20"/>
        </w:rPr>
        <w:t xml:space="preserve">Historically, the Company has been able to deliver higher than average margins when it has added electronic content faster than unit growth when combined with growth in unit penetration. These net additional vehicle models offering the Company's interior, exterior, and advanced feature products, as well as further penetration of its products on exiting models, helped drive a 5% quarter over quarter organic growth rate for interior mirror units and a 9% quarter over quarter organic growth rate for exterior mirror units compared to the third quarter of 2017, driven in part by an increase of 9% in domestic auto-dimming mirror unit shipments. The overall production levels in the in the North America, Europe, and Japan/Korea markets, which represent the Company's primary markets, was down 3% quarter over quarter. </w:t>
      </w:r>
    </w:p>
    <w:p w:rsidR="0073293D" w:rsidRDefault="0073293D">
      <w:pPr>
        <w:ind w:left="720"/>
        <w:jc w:val="both"/>
      </w:pPr>
    </w:p>
    <w:p w:rsidR="0073293D" w:rsidRDefault="0073293D">
      <w:pPr>
        <w:ind w:left="720"/>
        <w:jc w:val="both"/>
      </w:pPr>
    </w:p>
    <w:p w:rsidR="0073293D" w:rsidRDefault="0073293D">
      <w:pPr>
        <w:ind w:left="720"/>
        <w:jc w:val="both"/>
      </w:pPr>
    </w:p>
    <w:p w:rsidR="0073293D" w:rsidRDefault="00CC4FC6">
      <w:pPr>
        <w:ind w:left="720"/>
        <w:jc w:val="both"/>
      </w:pPr>
      <w:r>
        <w:rPr>
          <w:rFonts w:ascii="Arial" w:eastAsia="Arial" w:hAnsi="Arial" w:cs="Arial"/>
          <w:b/>
          <w:color w:val="000000"/>
          <w:sz w:val="20"/>
          <w:u w:val="single"/>
        </w:rPr>
        <w:t>PRODUCT UPDATE</w:t>
      </w:r>
    </w:p>
    <w:p w:rsidR="0073293D" w:rsidRDefault="0073293D">
      <w:pPr>
        <w:ind w:left="720"/>
        <w:jc w:val="both"/>
      </w:pPr>
    </w:p>
    <w:p w:rsidR="0073293D" w:rsidRDefault="00CC4FC6">
      <w:pPr>
        <w:ind w:left="720"/>
        <w:jc w:val="both"/>
      </w:pPr>
      <w:r>
        <w:rPr>
          <w:rFonts w:ascii="Arial" w:eastAsia="Arial" w:hAnsi="Arial" w:cs="Arial"/>
          <w:sz w:val="20"/>
        </w:rPr>
        <w:t>The Full Display Mirror</w:t>
      </w:r>
      <w:r>
        <w:rPr>
          <w:rFonts w:ascii="Arial" w:eastAsia="Arial" w:hAnsi="Arial" w:cs="Arial"/>
          <w:sz w:val="20"/>
          <w:vertAlign w:val="superscript"/>
        </w:rPr>
        <w:t>®</w:t>
      </w:r>
      <w:r>
        <w:rPr>
          <w:rFonts w:ascii="Arial" w:eastAsia="Arial" w:hAnsi="Arial" w:cs="Arial"/>
          <w:sz w:val="20"/>
        </w:rPr>
        <w:t xml:space="preserve"> began production in the fourth quarter of 2015.  Current automotive design trends are yielding vehicles with small rear windows that are often further obstructed by headrests, passengers, and roof support pillars which can significantly hinder the mirror’s rearward view.  The Company's Full Display Mirror</w:t>
      </w:r>
      <w:r>
        <w:rPr>
          <w:rFonts w:ascii="Arial" w:eastAsia="Arial" w:hAnsi="Arial" w:cs="Arial"/>
          <w:sz w:val="20"/>
          <w:vertAlign w:val="superscript"/>
        </w:rPr>
        <w:t>®</w:t>
      </w:r>
      <w:r>
        <w:rPr>
          <w:rFonts w:ascii="Arial" w:eastAsia="Arial" w:hAnsi="Arial" w:cs="Arial"/>
          <w:sz w:val="20"/>
        </w:rPr>
        <w:t xml:space="preserve"> is an intelligent rear vision system that uses a custom, internally or externally mounted video camera and mirror-integrated video display to optimize a vehicle driver’s rearward view.  This rear vision system consists of a hybrid Full Display Mirror</w:t>
      </w:r>
      <w:r>
        <w:rPr>
          <w:rFonts w:ascii="Arial" w:eastAsia="Arial" w:hAnsi="Arial" w:cs="Arial"/>
          <w:sz w:val="20"/>
          <w:vertAlign w:val="superscript"/>
        </w:rPr>
        <w:t>®</w:t>
      </w:r>
      <w:r>
        <w:rPr>
          <w:rFonts w:ascii="Arial" w:eastAsia="Arial" w:hAnsi="Arial" w:cs="Arial"/>
          <w:sz w:val="20"/>
        </w:rPr>
        <w:t xml:space="preserve"> that offers bi-modal functionality.  In mirror mode, the product functions as an auto-dimming rearview mirror which means that during nighttime driving, digital light sensors talk to one another via a microprocessor to automatically darken the mirror when glare is detected.  With the flip of a switch, the mirror enters display mode, and a clear, bright display appears through the mirror’s reflective surface, providing a wide, unobstructed rearward view.  The bi-modality of the Full Display Mirror</w:t>
      </w:r>
      <w:r>
        <w:rPr>
          <w:rFonts w:ascii="Arial" w:eastAsia="Arial" w:hAnsi="Arial" w:cs="Arial"/>
          <w:sz w:val="20"/>
          <w:vertAlign w:val="superscript"/>
        </w:rPr>
        <w:t>®</w:t>
      </w:r>
      <w:r>
        <w:rPr>
          <w:rFonts w:ascii="Arial" w:eastAsia="Arial" w:hAnsi="Arial" w:cs="Arial"/>
          <w:sz w:val="20"/>
        </w:rPr>
        <w:t xml:space="preserve"> is essential, because in the event of any failure of the camera or display, the product is able to function as a standard mirror, which is a long-standing safety requirement in the automotive industry.  In addition, the driver has the ability to switch between modes to accommodate usage preferences for various weather conditions, lighting conditions, and driving tasks.  </w:t>
      </w:r>
    </w:p>
    <w:p w:rsidR="0073293D" w:rsidRDefault="0073293D">
      <w:pPr>
        <w:ind w:left="720"/>
        <w:jc w:val="both"/>
      </w:pPr>
    </w:p>
    <w:p w:rsidR="0073293D" w:rsidRDefault="00CC4FC6">
      <w:pPr>
        <w:ind w:left="720"/>
        <w:jc w:val="both"/>
      </w:pPr>
      <w:r>
        <w:rPr>
          <w:rFonts w:ascii="Arial" w:eastAsia="Arial" w:hAnsi="Arial" w:cs="Arial"/>
          <w:sz w:val="20"/>
        </w:rPr>
        <w:t>The Company continues to work on the development and launch of the Full Display Mirror</w:t>
      </w:r>
      <w:r>
        <w:rPr>
          <w:rFonts w:ascii="Arial" w:eastAsia="Arial" w:hAnsi="Arial" w:cs="Arial"/>
          <w:sz w:val="20"/>
          <w:vertAlign w:val="superscript"/>
        </w:rPr>
        <w:t>®</w:t>
      </w:r>
      <w:r>
        <w:rPr>
          <w:rFonts w:ascii="Arial" w:eastAsia="Arial" w:hAnsi="Arial" w:cs="Arial"/>
          <w:sz w:val="20"/>
        </w:rPr>
        <w:t xml:space="preserve"> for seven customers.  As of the third quarter of 2018, the Company is shipping production Full Display Mirrors</w:t>
      </w:r>
      <w:r>
        <w:rPr>
          <w:rFonts w:ascii="Arial" w:eastAsia="Arial" w:hAnsi="Arial" w:cs="Arial"/>
          <w:sz w:val="20"/>
          <w:vertAlign w:val="superscript"/>
        </w:rPr>
        <w:t>®</w:t>
      </w:r>
      <w:r>
        <w:rPr>
          <w:rFonts w:ascii="Arial" w:eastAsia="Arial" w:hAnsi="Arial" w:cs="Arial"/>
          <w:sz w:val="20"/>
        </w:rPr>
        <w:t xml:space="preserve"> to four OEMs, which are General Motors, Subaru, Toyota, and Nissan.  During the first quarter of 2018, the Company announced that Jaguar Land Rover would also launch the Company's Full Display Mirror</w:t>
      </w:r>
      <w:r>
        <w:rPr>
          <w:rFonts w:ascii="Arial" w:eastAsia="Arial" w:hAnsi="Arial" w:cs="Arial"/>
          <w:sz w:val="20"/>
          <w:vertAlign w:val="superscript"/>
        </w:rPr>
        <w:t>®</w:t>
      </w:r>
      <w:r>
        <w:rPr>
          <w:rFonts w:ascii="Arial" w:eastAsia="Arial" w:hAnsi="Arial" w:cs="Arial"/>
          <w:sz w:val="20"/>
        </w:rPr>
        <w:t xml:space="preserve"> product and would be the first European customer to adopt the feature. During the third quarter of 2018, the Company announced 6 new vehicles in production with Full Display Mirror</w:t>
      </w:r>
      <w:r>
        <w:rPr>
          <w:rFonts w:ascii="Arial" w:eastAsia="Arial" w:hAnsi="Arial" w:cs="Arial"/>
          <w:sz w:val="20"/>
          <w:vertAlign w:val="superscript"/>
        </w:rPr>
        <w:t>®</w:t>
      </w:r>
      <w:r>
        <w:rPr>
          <w:rFonts w:ascii="Arial" w:eastAsia="Arial" w:hAnsi="Arial" w:cs="Arial"/>
          <w:sz w:val="20"/>
        </w:rPr>
        <w:t xml:space="preserve"> technology, including three vehicles in the Japan market.  The Company continues to see interest from other automotive OEMs as well and is negotiating with other OEMs on an on-going basis. The Company hopes on-going discussions with certain other OEMs may, in the future, cause such OEM's  to consider adding the Full Display Mirror</w:t>
      </w:r>
      <w:r>
        <w:rPr>
          <w:rFonts w:ascii="Arial" w:eastAsia="Arial" w:hAnsi="Arial" w:cs="Arial"/>
          <w:sz w:val="20"/>
          <w:vertAlign w:val="superscript"/>
        </w:rPr>
        <w:t>®</w:t>
      </w:r>
      <w:r>
        <w:rPr>
          <w:rFonts w:ascii="Arial" w:eastAsia="Arial" w:hAnsi="Arial" w:cs="Arial"/>
          <w:sz w:val="20"/>
        </w:rPr>
        <w:t xml:space="preserve"> into their product roadmap for future vehicles.</w:t>
      </w:r>
    </w:p>
    <w:p w:rsidR="0073293D" w:rsidRDefault="0073293D"/>
    <w:p w:rsidR="0073293D" w:rsidRDefault="00CC4FC6">
      <w:pPr>
        <w:ind w:left="720"/>
        <w:jc w:val="both"/>
      </w:pPr>
      <w:r>
        <w:rPr>
          <w:rFonts w:ascii="Arial" w:eastAsia="Arial" w:hAnsi="Arial" w:cs="Arial"/>
          <w:sz w:val="20"/>
        </w:rPr>
        <w:t>During the first quarter of 2017, the Company introduced a new three-camera rear vision system that streams rear video in multiple composite views to its Full Display Mirror</w:t>
      </w:r>
      <w:r>
        <w:rPr>
          <w:rFonts w:ascii="Arial" w:eastAsia="Arial" w:hAnsi="Arial" w:cs="Arial"/>
          <w:sz w:val="20"/>
          <w:vertAlign w:val="superscript"/>
        </w:rPr>
        <w:t>®</w:t>
      </w:r>
      <w:r>
        <w:rPr>
          <w:rFonts w:ascii="Arial" w:eastAsia="Arial" w:hAnsi="Arial" w:cs="Arial"/>
          <w:sz w:val="20"/>
        </w:rPr>
        <w:t>. The Company believes it is the industry’s first practical and comprehensive rear vision solution designed to meet automaker, driver, safety and regulatory requirements.  The Company's rear vision system, known as a camera monitoring system ("CMS"), uses three cameras to provide a comprehensive view of the sides and rear of the vehicle. The side-view cameras are discretely housed in downsized, automatic-dimming exterior mirrors.  Their video feeds are combined with that of a roof-mounted camera and stitched together into multiple composite views, which are streamed to the driver using the Full Display Mirror</w:t>
      </w:r>
      <w:r>
        <w:rPr>
          <w:rFonts w:ascii="Arial" w:eastAsia="Arial" w:hAnsi="Arial" w:cs="Arial"/>
          <w:sz w:val="20"/>
          <w:vertAlign w:val="superscript"/>
        </w:rPr>
        <w:t>®</w:t>
      </w:r>
      <w:r>
        <w:rPr>
          <w:rFonts w:ascii="Arial" w:eastAsia="Arial" w:hAnsi="Arial" w:cs="Arial"/>
          <w:sz w:val="20"/>
        </w:rPr>
        <w:t>.  The system’s modular nature lets the automaker customize functionality while offering it as an affordable, optional feature all while enhancing safety by allowing the system to fail safe.  During any failures due to weather conditions or otherwise that disrupt the digital view, drivers can still safely use the interior and exterior mirrors. The system also supports user preference by permitting drivers to use standard mirror views, camera views, or both. Downsized exterior mirrors provide automakers with significant weight savings and fuel efficiency improvements.  To further enhance safety, the Company's CMS solution can also work in conjunction with a vehicle’s side blind zone warning system. When a trailing vehicle enters a side blind zone, a warning indicator illuminates in both the interior and exterior mirrors while the corresponding side-view video feed appears in the display until the vehicle passes.</w:t>
      </w:r>
    </w:p>
    <w:p w:rsidR="0073293D" w:rsidRDefault="00CC4FC6">
      <w:pPr>
        <w:spacing w:before="160"/>
        <w:ind w:left="720"/>
        <w:jc w:val="both"/>
      </w:pPr>
      <w:r>
        <w:rPr>
          <w:rFonts w:ascii="Arial" w:eastAsia="Arial" w:hAnsi="Arial" w:cs="Arial"/>
          <w:sz w:val="20"/>
        </w:rPr>
        <w:t>On March 31, 2014, the Alliance of Automobile Manufacturers petitioned the National Highway Traffic Safety Administration ("NHTSA") to allow automakers to use cameras as an option to replace conventional rearview mirrors within the United States, however, no final rule or legislation has been made in response to this petition.  At the annual SAE Government-Industry Meeting in January 2017, NHTSA requested that SAE develop Recommended Procedures for test protocols and performance criteria for CMS that would replace mirror systems on light vehicles in the U.S. market.  SAE assigned the task to the Driver Vision Committee, and the SAE Driver Vision Committee created a CMS Task Force to draft the Recommended Procedures.  In the second half of 2018, the Office of Management and Budget published its regulatory and deregulatory agenda, which included a reference to a prerule stage for NHTSA related to amending the rear visibility standard to allow the option for camera-monitor systems to replace mirrors.</w:t>
      </w:r>
    </w:p>
    <w:p w:rsidR="0073293D" w:rsidRDefault="00CC4FC6">
      <w:pPr>
        <w:spacing w:before="160"/>
        <w:ind w:left="720"/>
        <w:jc w:val="both"/>
      </w:pPr>
      <w:r>
        <w:rPr>
          <w:rFonts w:ascii="Arial" w:eastAsia="Arial" w:hAnsi="Arial" w:cs="Arial"/>
          <w:sz w:val="20"/>
        </w:rPr>
        <w:t>In July 2016, a revision to UN-ECE Regulation 46 was published with an effective date of June 18, 2016, which allows for CMS to replace mirrors in Japan and European countries.  As of January 2017, CMS are also permitted as an alternative to replace mirrors in the Korean market.  Notwithstanding the foregoing, the Company continues to believe rearview mirrors provide a robust, simple and cost effective means to view the surrounding areas of a vehicle and remain the primary safety function for rear vision today. Cameras when used as the primary rear vision delivery mechanism have some inherent limitations such as: electrical failure; cameras being blocked or obstructed; depth perception challenges; and viewing angles of the camera. Nonetheless, the Company continues designing and manufacturing not only rearview mirrors, but CMOS imagers and video displays as well. The Company believes that combining video displays with mirrors may well provide a more robust product by addressing all driving conditions in a single solution that can be controlled by the driver. As noted, the Company has launched a rear vision camera system that streams rear video to a rearview-mirror-integrated display using the Company's Full Display Mirror</w:t>
      </w:r>
      <w:r>
        <w:rPr>
          <w:rFonts w:ascii="Arial" w:eastAsia="Arial" w:hAnsi="Arial" w:cs="Arial"/>
          <w:sz w:val="20"/>
          <w:vertAlign w:val="superscript"/>
        </w:rPr>
        <w:t>®</w:t>
      </w:r>
      <w:r>
        <w:rPr>
          <w:rFonts w:ascii="Arial" w:eastAsia="Arial" w:hAnsi="Arial" w:cs="Arial"/>
          <w:sz w:val="20"/>
        </w:rPr>
        <w:t>.  The Company's CMS solution uses three cameras to provide a comprehensive view of the sides and rear of the vehicle. The Company also continues to develop in the areas of imager performance, camera dynamic range, lens design, image processing from the camera to the display, and camera lens cleaning. The Company acknowledges that as such technology evolves over time, such as cameras replacing mirrors and/or autonomous driving, there could be increased competition.</w:t>
      </w:r>
    </w:p>
    <w:p w:rsidR="0073293D" w:rsidRDefault="0073293D">
      <w:pPr>
        <w:jc w:val="both"/>
      </w:pPr>
    </w:p>
    <w:p w:rsidR="0073293D" w:rsidRDefault="00CC4FC6">
      <w:pPr>
        <w:ind w:left="720"/>
        <w:jc w:val="both"/>
      </w:pPr>
      <w:r>
        <w:rPr>
          <w:rFonts w:ascii="Arial" w:eastAsia="Arial" w:hAnsi="Arial" w:cs="Arial"/>
          <w:sz w:val="20"/>
        </w:rPr>
        <w:t>The Company's HomeLink</w:t>
      </w:r>
      <w:r>
        <w:rPr>
          <w:rFonts w:ascii="Arial" w:eastAsia="Arial" w:hAnsi="Arial" w:cs="Arial"/>
          <w:sz w:val="20"/>
          <w:vertAlign w:val="superscript"/>
        </w:rPr>
        <w:t>®</w:t>
      </w:r>
      <w:r>
        <w:rPr>
          <w:rFonts w:ascii="Arial" w:eastAsia="Arial" w:hAnsi="Arial" w:cs="Arial"/>
          <w:sz w:val="20"/>
        </w:rPr>
        <w:t xml:space="preserve"> products are the auto industry's most widely used and trusted car-to-home communication system system, with an estimated 50 million units on the road. The system consists of two or three in-vehicle buttons that can be programmed to operate garage doors, security gates, home lighting, and other radio-frequency-controlled devices.  During the first quarter of 2017, the Company demonstrated the next generation of HomeLink</w:t>
      </w:r>
      <w:r>
        <w:rPr>
          <w:rFonts w:ascii="Arial" w:eastAsia="Arial" w:hAnsi="Arial" w:cs="Arial"/>
          <w:sz w:val="20"/>
          <w:vertAlign w:val="superscript"/>
        </w:rPr>
        <w:t>®</w:t>
      </w:r>
      <w:r>
        <w:rPr>
          <w:rFonts w:ascii="Arial" w:eastAsia="Arial" w:hAnsi="Arial" w:cs="Arial"/>
          <w:sz w:val="20"/>
        </w:rPr>
        <w:t>, which uses both RF and wireless cloud-based connectivity to deliver complete vehicle-to-home automation.  With the next-generation HomeLink</w:t>
      </w:r>
      <w:r>
        <w:rPr>
          <w:rFonts w:ascii="Arial" w:eastAsia="Arial" w:hAnsi="Arial" w:cs="Arial"/>
          <w:sz w:val="20"/>
          <w:vertAlign w:val="superscript"/>
        </w:rPr>
        <w:t>®</w:t>
      </w:r>
      <w:r>
        <w:rPr>
          <w:rFonts w:ascii="Arial" w:eastAsia="Arial" w:hAnsi="Arial" w:cs="Arial"/>
          <w:sz w:val="20"/>
        </w:rPr>
        <w:t>, a HomeLink</w:t>
      </w:r>
      <w:r>
        <w:rPr>
          <w:rFonts w:ascii="Arial" w:eastAsia="Arial" w:hAnsi="Arial" w:cs="Arial"/>
          <w:sz w:val="20"/>
          <w:vertAlign w:val="superscript"/>
        </w:rPr>
        <w:t>®</w:t>
      </w:r>
      <w:r>
        <w:rPr>
          <w:rFonts w:ascii="Arial" w:eastAsia="Arial" w:hAnsi="Arial" w:cs="Arial"/>
          <w:sz w:val="20"/>
        </w:rPr>
        <w:t xml:space="preserve"> button press communicates with the HomeLink</w:t>
      </w:r>
      <w:r>
        <w:rPr>
          <w:rFonts w:ascii="Arial" w:eastAsia="Arial" w:hAnsi="Arial" w:cs="Arial"/>
          <w:sz w:val="20"/>
          <w:vertAlign w:val="superscript"/>
        </w:rPr>
        <w:t>®</w:t>
      </w:r>
      <w:r>
        <w:rPr>
          <w:rFonts w:ascii="Arial" w:eastAsia="Arial" w:hAnsi="Arial" w:cs="Arial"/>
          <w:sz w:val="20"/>
        </w:rPr>
        <w:t xml:space="preserve"> app on the user’s smartphone via Bluetooth Low Energy. The app contains predefined, user-programmed actions, from single device operations to entire home automation scenes. The app, in turn, communicates to the home’s smart hub over the cloud server network and activates the appropriate devices, including security systems, door locks, thermostats, lighting, and other home automation devices, providing comprehensive vehicle-to-home automation. The ability to prepare the home for arrival or departure can occur with one button press. For the automaker, it allows them to offer a customizable, yet proven solution without the engineering effort or security concerns associated with integrating the software into the vehicle’s computer network. The Company also continues to work on providing HomeLink</w:t>
      </w:r>
      <w:r>
        <w:rPr>
          <w:rFonts w:ascii="Arial" w:eastAsia="Arial" w:hAnsi="Arial" w:cs="Arial"/>
          <w:sz w:val="20"/>
          <w:vertAlign w:val="superscript"/>
        </w:rPr>
        <w:t>®</w:t>
      </w:r>
      <w:r>
        <w:rPr>
          <w:rFonts w:ascii="Arial" w:eastAsia="Arial" w:hAnsi="Arial" w:cs="Arial"/>
          <w:sz w:val="20"/>
        </w:rPr>
        <w:t xml:space="preserve"> applications for alternative automobile and vehicle types which include but are not limited to motorcycles, mopeds, snowmobiles, tractors, combines, lawn mowers, loaders, bulldozers, road-graders, backhoes and golf carts.  The Company further continues to work with compatibility partners for HomeLink</w:t>
      </w:r>
      <w:r>
        <w:rPr>
          <w:rFonts w:ascii="Arial" w:eastAsia="Arial" w:hAnsi="Arial" w:cs="Arial"/>
          <w:sz w:val="20"/>
          <w:vertAlign w:val="superscript"/>
        </w:rPr>
        <w:t>®</w:t>
      </w:r>
      <w:r>
        <w:rPr>
          <w:rFonts w:ascii="Arial" w:eastAsia="Arial" w:hAnsi="Arial" w:cs="Arial"/>
          <w:sz w:val="20"/>
        </w:rPr>
        <w:t xml:space="preserve"> applications in new markets like China.  The unique attributes of the China market allow for potential new use cases of these products and offer what the Company believes to be a real opportunity for growth of the HomeLink</w:t>
      </w:r>
      <w:r>
        <w:rPr>
          <w:rFonts w:ascii="Arial" w:eastAsia="Arial" w:hAnsi="Arial" w:cs="Arial"/>
          <w:sz w:val="20"/>
          <w:vertAlign w:val="superscript"/>
        </w:rPr>
        <w:t>®</w:t>
      </w:r>
      <w:r>
        <w:rPr>
          <w:rFonts w:ascii="Arial" w:eastAsia="Arial" w:hAnsi="Arial" w:cs="Arial"/>
          <w:sz w:val="20"/>
        </w:rPr>
        <w:t xml:space="preserve"> brand and products.  In 2017, the Company began its first volume production shipments of HomeLink</w:t>
      </w:r>
      <w:r>
        <w:rPr>
          <w:rFonts w:ascii="Arial" w:eastAsia="Arial" w:hAnsi="Arial" w:cs="Arial"/>
          <w:sz w:val="20"/>
          <w:vertAlign w:val="superscript"/>
        </w:rPr>
        <w:t>®</w:t>
      </w:r>
      <w:r>
        <w:rPr>
          <w:rFonts w:ascii="Arial" w:eastAsia="Arial" w:hAnsi="Arial" w:cs="Arial"/>
          <w:sz w:val="20"/>
        </w:rPr>
        <w:t xml:space="preserve"> units on vehicles for the China market.</w:t>
      </w:r>
    </w:p>
    <w:p w:rsidR="0073293D" w:rsidRDefault="0073293D">
      <w:pPr>
        <w:ind w:left="720"/>
        <w:jc w:val="both"/>
      </w:pPr>
    </w:p>
    <w:p w:rsidR="0073293D" w:rsidRDefault="00CC4FC6">
      <w:pPr>
        <w:ind w:left="720"/>
      </w:pPr>
      <w:r>
        <w:rPr>
          <w:rFonts w:ascii="Arial" w:eastAsia="Arial" w:hAnsi="Arial" w:cs="Arial"/>
          <w:sz w:val="20"/>
        </w:rPr>
        <w:t>In January 2016, the Company announced a partnership with TransCore to provide automobile manufacturers with a vehicle-integrated tolling solution that enables motorists to drive on all U.S. toll roads without a traditional toll tag on the windshield. Currently more than 75 percent of new car registrations are in states with toll roads with over 50 million drivers accessing these roads each year.  The Company signed an exclusive agreement, in the ordinary course of business, to integrate TransCore's toll module technology into the Company's rearview mirrors.  In January 2017, the Company signed an extension of its agreement in the ordinary course of business, which enables the Company to offer the Integrated Toll Module system in Canada and Mexico.  The interior mirror is the optimal location for a vehicle-integrated toll transponder and it eliminates the need to affix multiple toll tags to the windshield and helps automakers seamlessly integrate toll collection into the car. Since the Integrated Toll Module</w:t>
      </w:r>
      <w:r>
        <w:rPr>
          <w:rFonts w:ascii="Arial" w:eastAsia="Arial" w:hAnsi="Arial" w:cs="Arial"/>
          <w:sz w:val="20"/>
          <w:vertAlign w:val="superscript"/>
        </w:rPr>
        <w:t>®</w:t>
      </w:r>
      <w:r>
        <w:rPr>
          <w:rFonts w:ascii="Arial" w:eastAsia="Arial" w:hAnsi="Arial" w:cs="Arial"/>
          <w:sz w:val="20"/>
        </w:rPr>
        <w:t xml:space="preserve"> or ITM</w:t>
      </w:r>
      <w:r>
        <w:rPr>
          <w:rFonts w:ascii="Arial" w:eastAsia="Arial" w:hAnsi="Arial" w:cs="Arial"/>
          <w:sz w:val="20"/>
          <w:vertAlign w:val="superscript"/>
        </w:rPr>
        <w:t>®</w:t>
      </w:r>
      <w:r>
        <w:rPr>
          <w:rFonts w:ascii="Arial" w:eastAsia="Arial" w:hAnsi="Arial" w:cs="Arial"/>
          <w:sz w:val="20"/>
        </w:rPr>
        <w:t xml:space="preserve"> enables travel across almost all United States toll roads, and others in North America, motorists would no longer need multiple toll tags for different regions of the country or to manage multiple toll accounts. The Company's vehicle-integrated solution simplifies and expedites local, regional, and national travel. ITM</w:t>
      </w:r>
      <w:r>
        <w:rPr>
          <w:rFonts w:ascii="Arial" w:eastAsia="Arial" w:hAnsi="Arial" w:cs="Arial"/>
          <w:sz w:val="20"/>
          <w:vertAlign w:val="superscript"/>
        </w:rPr>
        <w:t xml:space="preserve">® </w:t>
      </w:r>
      <w:r>
        <w:rPr>
          <w:rFonts w:ascii="Arial" w:eastAsia="Arial" w:hAnsi="Arial" w:cs="Arial"/>
          <w:sz w:val="20"/>
        </w:rPr>
        <w:t>provides transportation agencies with an interoperability solution without costly infrastructure changes to the thousands of miles of toll lanes throughout the country. The Company believes that this product could potentially represent another growth opportunity over the next several years.  The Company has its first OEM award of ITM</w:t>
      </w:r>
      <w:r>
        <w:rPr>
          <w:rFonts w:ascii="Arial" w:eastAsia="Arial" w:hAnsi="Arial" w:cs="Arial"/>
          <w:sz w:val="20"/>
          <w:vertAlign w:val="superscript"/>
        </w:rPr>
        <w:t>®</w:t>
      </w:r>
      <w:r>
        <w:rPr>
          <w:rFonts w:ascii="Arial" w:eastAsia="Arial" w:hAnsi="Arial" w:cs="Arial"/>
          <w:sz w:val="20"/>
        </w:rPr>
        <w:t xml:space="preserve"> with Audi. Initial production deliveries are currently anticipated for the end of calendar year 2018, which may vary based on automaker vehicle launch timing. During the second quarter of 2018, the Company officially signed agreements, in the ordinary course of business, with two additional OEMs to launch the ITM</w:t>
      </w:r>
      <w:r>
        <w:rPr>
          <w:rFonts w:ascii="Arial" w:eastAsia="Arial" w:hAnsi="Arial" w:cs="Arial"/>
          <w:sz w:val="20"/>
          <w:vertAlign w:val="superscript"/>
        </w:rPr>
        <w:t>®</w:t>
      </w:r>
      <w:r>
        <w:rPr>
          <w:rFonts w:ascii="Arial" w:eastAsia="Arial" w:hAnsi="Arial" w:cs="Arial"/>
          <w:sz w:val="20"/>
        </w:rPr>
        <w:t xml:space="preserve"> product. Both of these OEM launches are targeted to begin production shipments in the 2020 or 2021 time periods. </w:t>
      </w:r>
    </w:p>
    <w:p w:rsidR="0073293D" w:rsidRDefault="0073293D">
      <w:pPr>
        <w:ind w:left="720"/>
        <w:jc w:val="both"/>
      </w:pPr>
    </w:p>
    <w:p w:rsidR="0073293D" w:rsidRDefault="00CC4FC6">
      <w:pPr>
        <w:ind w:left="720"/>
      </w:pPr>
      <w:r>
        <w:rPr>
          <w:rFonts w:ascii="Arial" w:eastAsia="Arial" w:hAnsi="Arial" w:cs="Arial"/>
          <w:sz w:val="20"/>
        </w:rPr>
        <w:t>During the first quarter of 2017, the Company announced an embedded biometric solution for vehicles that leverages iris scanning technology to create a secure environment in the vehicle. There are many use cases for authentication, which range from vehicle security to start functionality to personalization of mirrors, music, seat location and temperature, to the ability to control transactions not only for the ITM</w:t>
      </w:r>
      <w:r>
        <w:rPr>
          <w:rFonts w:ascii="Arial" w:eastAsia="Arial" w:hAnsi="Arial" w:cs="Arial"/>
          <w:sz w:val="20"/>
          <w:vertAlign w:val="superscript"/>
        </w:rPr>
        <w:t>®</w:t>
      </w:r>
      <w:r>
        <w:rPr>
          <w:rFonts w:ascii="Arial" w:eastAsia="Arial" w:hAnsi="Arial" w:cs="Arial"/>
          <w:sz w:val="20"/>
        </w:rPr>
        <w:t xml:space="preserve"> system, but also the ride sharing car of the future. The Company believes iris recognition is among the most secure forms of biometric identification, with a false acceptance rate as low as one in 10 million, which is far superior to facial, voice, and other biometric systems. The Company's future plans include integrating biometric authentication with HomeLink</w:t>
      </w:r>
      <w:r>
        <w:rPr>
          <w:rFonts w:ascii="Arial" w:eastAsia="Arial" w:hAnsi="Arial" w:cs="Arial"/>
          <w:sz w:val="20"/>
          <w:vertAlign w:val="superscript"/>
        </w:rPr>
        <w:t>®</w:t>
      </w:r>
      <w:r>
        <w:rPr>
          <w:rFonts w:ascii="Arial" w:eastAsia="Arial" w:hAnsi="Arial" w:cs="Arial"/>
          <w:sz w:val="20"/>
        </w:rPr>
        <w:t xml:space="preserve"> and HomeLink Connect</w:t>
      </w:r>
      <w:r>
        <w:rPr>
          <w:rFonts w:ascii="Arial" w:eastAsia="Arial" w:hAnsi="Arial" w:cs="Arial"/>
          <w:sz w:val="20"/>
          <w:vertAlign w:val="superscript"/>
        </w:rPr>
        <w:t>TM</w:t>
      </w:r>
      <w:r>
        <w:rPr>
          <w:rFonts w:ascii="Arial" w:eastAsia="Arial" w:hAnsi="Arial" w:cs="Arial"/>
          <w:sz w:val="20"/>
        </w:rPr>
        <w:t>. The biometric system will allow HomeLink</w:t>
      </w:r>
      <w:r>
        <w:rPr>
          <w:rFonts w:ascii="Arial" w:eastAsia="Arial" w:hAnsi="Arial" w:cs="Arial"/>
          <w:sz w:val="20"/>
          <w:vertAlign w:val="superscript"/>
        </w:rPr>
        <w:t>®</w:t>
      </w:r>
      <w:r>
        <w:rPr>
          <w:rFonts w:ascii="Arial" w:eastAsia="Arial" w:hAnsi="Arial" w:cs="Arial"/>
          <w:sz w:val="20"/>
        </w:rPr>
        <w:t xml:space="preserve"> to provide added security and convenience for multiple drivers by activating the unique home automation presets of different authorized users. The Company announced in January 2018 that it completed an exclusive licensing agreement, in the ordinary course of business, with Fingerprint Cards AB to deploy its ActiveIRIS</w:t>
      </w:r>
      <w:r>
        <w:rPr>
          <w:rFonts w:ascii="Arial" w:eastAsia="Arial" w:hAnsi="Arial" w:cs="Arial"/>
          <w:sz w:val="20"/>
          <w:vertAlign w:val="superscript"/>
        </w:rPr>
        <w:t>®</w:t>
      </w:r>
      <w:r>
        <w:rPr>
          <w:rFonts w:ascii="Arial" w:eastAsia="Arial" w:hAnsi="Arial" w:cs="Arial"/>
          <w:sz w:val="20"/>
        </w:rPr>
        <w:t xml:space="preserve"> iris-scanning biometric technology in automotive applications.</w:t>
      </w:r>
    </w:p>
    <w:p w:rsidR="0073293D" w:rsidRDefault="0073293D">
      <w:pPr>
        <w:ind w:left="720"/>
        <w:jc w:val="both"/>
      </w:pPr>
    </w:p>
    <w:p w:rsidR="0073293D" w:rsidRDefault="00CC4FC6">
      <w:pPr>
        <w:ind w:left="720"/>
      </w:pPr>
      <w:r>
        <w:rPr>
          <w:rFonts w:ascii="Arial" w:eastAsia="Arial" w:hAnsi="Arial" w:cs="Arial"/>
          <w:sz w:val="20"/>
        </w:rPr>
        <w:t>In January 2018, the Company also announced that an agreement had been signed, in the ordinary course of business, to participate in a round of financing with Yonomi, the Company's partner in home automation technology. The Company is working with Yonomi as a home automation aggregation partner and the Company has developed an app and cloud infrastructure called HomeLink Connect</w:t>
      </w:r>
      <w:r>
        <w:rPr>
          <w:rFonts w:ascii="Arial" w:eastAsia="Arial" w:hAnsi="Arial" w:cs="Arial"/>
          <w:sz w:val="20"/>
          <w:vertAlign w:val="superscript"/>
        </w:rPr>
        <w:t>TM</w:t>
      </w:r>
      <w:r>
        <w:rPr>
          <w:rFonts w:ascii="Arial" w:eastAsia="Arial" w:hAnsi="Arial" w:cs="Arial"/>
          <w:sz w:val="20"/>
        </w:rPr>
        <w:t>. HomeLink Connect</w:t>
      </w:r>
      <w:r>
        <w:rPr>
          <w:rFonts w:ascii="Arial" w:eastAsia="Arial" w:hAnsi="Arial" w:cs="Arial"/>
          <w:sz w:val="20"/>
          <w:vertAlign w:val="superscript"/>
        </w:rPr>
        <w:t>TM</w:t>
      </w:r>
      <w:r>
        <w:rPr>
          <w:rFonts w:ascii="Arial" w:eastAsia="Arial" w:hAnsi="Arial" w:cs="Arial"/>
          <w:sz w:val="20"/>
        </w:rPr>
        <w:t xml:space="preserve"> is an all new home automation app that pairs with the vehicle and allows drivers to operate home automation devices from the vehicle's center console display. Drivers of HomeLink Connect</w:t>
      </w:r>
      <w:r>
        <w:rPr>
          <w:rFonts w:ascii="Arial" w:eastAsia="Arial" w:hAnsi="Arial" w:cs="Arial"/>
          <w:sz w:val="20"/>
          <w:vertAlign w:val="superscript"/>
        </w:rPr>
        <w:t>TM</w:t>
      </w:r>
      <w:r>
        <w:rPr>
          <w:rFonts w:ascii="Arial" w:eastAsia="Arial" w:hAnsi="Arial" w:cs="Arial"/>
          <w:sz w:val="20"/>
        </w:rPr>
        <w:t xml:space="preserve"> compatible vehicles will be able to download and configure the app to control many available home automation devices and create entire home automation settings. The Company also announced that Jaguar Land Rover will be the first OEM to deploy this new technology in their vehicles.</w:t>
      </w:r>
    </w:p>
    <w:p w:rsidR="0073293D" w:rsidRDefault="0073293D">
      <w:pPr>
        <w:ind w:left="720"/>
        <w:jc w:val="both"/>
      </w:pPr>
    </w:p>
    <w:p w:rsidR="0073293D" w:rsidRDefault="00CC4FC6">
      <w:pPr>
        <w:ind w:left="720"/>
        <w:jc w:val="both"/>
      </w:pPr>
      <w:r>
        <w:rPr>
          <w:rFonts w:ascii="Arial" w:eastAsia="Arial" w:hAnsi="Arial" w:cs="Arial"/>
          <w:sz w:val="20"/>
        </w:rPr>
        <w:t>SmartBeam</w:t>
      </w:r>
      <w:r>
        <w:rPr>
          <w:rFonts w:ascii="Arial" w:eastAsia="Arial" w:hAnsi="Arial" w:cs="Arial"/>
          <w:sz w:val="20"/>
          <w:vertAlign w:val="superscript"/>
        </w:rPr>
        <w:t xml:space="preserve">® </w:t>
      </w:r>
      <w:r>
        <w:rPr>
          <w:rFonts w:ascii="Arial" w:eastAsia="Arial" w:hAnsi="Arial" w:cs="Arial"/>
          <w:sz w:val="20"/>
        </w:rPr>
        <w:t>is the Company's proprietary high beam control system integrated into its auto-dimming mirror.</w:t>
      </w:r>
      <w:r>
        <w:rPr>
          <w:rFonts w:ascii="Arial" w:eastAsia="Arial" w:hAnsi="Arial" w:cs="Arial"/>
          <w:sz w:val="20"/>
          <w:vertAlign w:val="superscript"/>
        </w:rPr>
        <w:t xml:space="preserve">  </w:t>
      </w:r>
      <w:r>
        <w:rPr>
          <w:rFonts w:ascii="Arial" w:eastAsia="Arial" w:hAnsi="Arial" w:cs="Arial"/>
          <w:sz w:val="20"/>
        </w:rPr>
        <w:t>SmartBeam</w:t>
      </w:r>
      <w:r>
        <w:rPr>
          <w:rFonts w:ascii="Arial" w:eastAsia="Arial" w:hAnsi="Arial" w:cs="Arial"/>
          <w:sz w:val="20"/>
          <w:vertAlign w:val="superscript"/>
        </w:rPr>
        <w:t>®</w:t>
      </w:r>
      <w:r>
        <w:rPr>
          <w:rFonts w:ascii="Arial" w:eastAsia="Arial" w:hAnsi="Arial" w:cs="Arial"/>
          <w:sz w:val="20"/>
        </w:rPr>
        <w:t xml:space="preserve"> Generation 4, which was developed using the fourth generation of the Company's custom designed CMOS imager, has an advanced feature set made possible by the high dynamic range of the imager including: high beam assist; dynamic forward lighting with high beams constantly on; LED matrix beam; and a variety of specific detection applications including tunnel, fog and road type as well as certain lane tracking features to assist with lighting control. The Company has the ability to package the control electronics inside of its interior rearview mirrors with a self-calibrating camera attached to the mirror mount with optimal mechanical packaging which also provides for ease of service. In addition, the Company has long been integrating its camera products to optimize performance by fusing with other systems on the vehicle, including radar, navigation, steering and related modules provided by other suppliers.  This enables the Company to provide its customers with a highly customizable solution that meets their unique needs and specifications.  </w:t>
      </w:r>
    </w:p>
    <w:p w:rsidR="0073293D" w:rsidRDefault="0073293D">
      <w:pPr>
        <w:ind w:left="720"/>
        <w:jc w:val="both"/>
      </w:pPr>
    </w:p>
    <w:p w:rsidR="0073293D" w:rsidRDefault="00CC4FC6">
      <w:pPr>
        <w:ind w:left="720"/>
      </w:pPr>
      <w:r>
        <w:rPr>
          <w:rFonts w:ascii="Arial" w:eastAsia="Arial" w:hAnsi="Arial" w:cs="Arial"/>
          <w:sz w:val="20"/>
        </w:rPr>
        <w:t>On December 8, 2015 NHTSA proposed changes to the NHTSA's 5-Star Safety Ratings for new vehicles (also known as the New Car Assessment Program or NCAP) and initiated a comment period.  The proposed changes will, for the first time, encompass assessment of crash-avoidance technologies, which includes lower beam headlamp performance, semi-automatic headlamp switching, and blind spot detection.  NHTSA initially intended to implement the enhancements in NCAP in 2018 beginning with model year 2019 vehicles.   </w:t>
      </w:r>
      <w:r>
        <w:rPr>
          <w:rFonts w:ascii="Arial" w:eastAsia="Arial" w:hAnsi="Arial" w:cs="Arial"/>
          <w:color w:val="000000"/>
          <w:sz w:val="20"/>
        </w:rPr>
        <w:t>The NCAP implementation has been delayed, and on August 5, 2018, NHTSA published a notice seeking public comment on NCAP with a deadline of October 1, 2018 for the submission of written comments.  The Company believes that its SmartBeam</w:t>
      </w:r>
      <w:r>
        <w:rPr>
          <w:rFonts w:ascii="Arial" w:eastAsia="Arial" w:hAnsi="Arial" w:cs="Arial"/>
          <w:color w:val="000000"/>
          <w:sz w:val="20"/>
          <w:vertAlign w:val="superscript"/>
        </w:rPr>
        <w:t>®</w:t>
      </w:r>
      <w:r>
        <w:rPr>
          <w:rFonts w:ascii="Arial" w:eastAsia="Arial" w:hAnsi="Arial" w:cs="Arial"/>
          <w:color w:val="000000"/>
          <w:sz w:val="20"/>
        </w:rPr>
        <w:t xml:space="preserve"> technology will qualify with the semi-automatic headlamp NCAP rating system, and that its SmartBeam</w:t>
      </w:r>
      <w:r>
        <w:rPr>
          <w:rFonts w:ascii="Arial" w:eastAsia="Arial" w:hAnsi="Arial" w:cs="Arial"/>
          <w:color w:val="000000"/>
          <w:sz w:val="20"/>
          <w:vertAlign w:val="superscript"/>
        </w:rPr>
        <w:t>®</w:t>
      </w:r>
      <w:r>
        <w:rPr>
          <w:rFonts w:ascii="Arial" w:eastAsia="Arial" w:hAnsi="Arial" w:cs="Arial"/>
          <w:color w:val="000000"/>
          <w:sz w:val="20"/>
        </w:rPr>
        <w:t xml:space="preserve"> technology and exterior mirrors with blind spot alert lighting can be included in a system that qualifies with the lower beam headlamp performance and blind spot detection NCAP rating system, respectively.</w:t>
      </w:r>
      <w:r>
        <w:rPr>
          <w:rFonts w:ascii="Arial" w:eastAsia="Arial" w:hAnsi="Arial" w:cs="Arial"/>
          <w:sz w:val="20"/>
        </w:rPr>
        <w:t xml:space="preserve"> </w:t>
      </w:r>
    </w:p>
    <w:p w:rsidR="0073293D" w:rsidRDefault="0073293D"/>
    <w:p w:rsidR="0073293D" w:rsidRDefault="00CC4FC6">
      <w:pPr>
        <w:ind w:left="720"/>
      </w:pPr>
      <w:r>
        <w:rPr>
          <w:rFonts w:ascii="Arial" w:eastAsia="Arial" w:hAnsi="Arial" w:cs="Arial"/>
          <w:sz w:val="20"/>
        </w:rPr>
        <w:t xml:space="preserve">On October 12, 2018, NHTSA published a Notive of Proposed Rulemaking ("NPRM") for amendments to Federal Motor Vehicle Safety Standard ("FMVSS") No. 108: </w:t>
      </w:r>
      <w:r>
        <w:rPr>
          <w:rFonts w:ascii="Arial" w:eastAsia="Arial" w:hAnsi="Arial" w:cs="Arial"/>
          <w:i/>
          <w:sz w:val="20"/>
        </w:rPr>
        <w:t>Lamps, reflective devices, and associated equipment</w:t>
      </w:r>
      <w:r>
        <w:rPr>
          <w:rFonts w:ascii="Arial" w:eastAsia="Arial" w:hAnsi="Arial" w:cs="Arial"/>
          <w:sz w:val="20"/>
        </w:rPr>
        <w:t>, and initiated a comment period.  The NPRM proposes amendments that would permit the certification of adaptive driving beam headlighting systems, if the manufacturer chooses to equip vehicles with these systems.  NHTSA proposes to establish appropriate performance requirements to ensure the safe introduction of adaptive driving beam headlighting systems if equipped on newly manufactured vehicles.  The Company believes that its dynamic SmartBeam</w:t>
      </w:r>
      <w:r>
        <w:rPr>
          <w:rFonts w:ascii="Arial" w:eastAsia="Arial" w:hAnsi="Arial" w:cs="Arial"/>
          <w:sz w:val="20"/>
          <w:vertAlign w:val="superscript"/>
        </w:rPr>
        <w:t>®</w:t>
      </w:r>
      <w:r>
        <w:rPr>
          <w:rFonts w:ascii="Arial" w:eastAsia="Arial" w:hAnsi="Arial" w:cs="Arial"/>
          <w:sz w:val="20"/>
        </w:rPr>
        <w:t xml:space="preserve"> lighting control system (dynamic forward lighting or DFL), which has been sold in markets outside of North America for several years, will meet the requirements of the new FMVSS 108 standards, if amended. The Company's SmartBeam</w:t>
      </w:r>
      <w:r>
        <w:rPr>
          <w:rFonts w:ascii="Arial" w:eastAsia="Arial" w:hAnsi="Arial" w:cs="Arial"/>
          <w:sz w:val="20"/>
          <w:vertAlign w:val="superscript"/>
        </w:rPr>
        <w:t>®</w:t>
      </w:r>
      <w:r>
        <w:rPr>
          <w:rFonts w:ascii="Arial" w:eastAsia="Arial" w:hAnsi="Arial" w:cs="Arial"/>
          <w:sz w:val="20"/>
        </w:rPr>
        <w:t xml:space="preserve"> application has and will continue to be affected by increased competition suppliers of multi-function driver assist camera products, which are able to achieve some of the same functionality as SmartBeam</w:t>
      </w:r>
      <w:r>
        <w:rPr>
          <w:rFonts w:ascii="Arial" w:eastAsia="Arial" w:hAnsi="Arial" w:cs="Arial"/>
          <w:sz w:val="20"/>
          <w:vertAlign w:val="superscript"/>
        </w:rPr>
        <w:t>®</w:t>
      </w:r>
      <w:r>
        <w:rPr>
          <w:rFonts w:ascii="Arial" w:eastAsia="Arial" w:hAnsi="Arial" w:cs="Arial"/>
          <w:sz w:val="20"/>
        </w:rPr>
        <w:t xml:space="preserve"> but at a lower cost, due to other suppliers leveraging similar hardware costs, but offering products with multiple software features.</w:t>
      </w:r>
    </w:p>
    <w:p w:rsidR="0073293D" w:rsidRDefault="0073293D"/>
    <w:p w:rsidR="0073293D" w:rsidRDefault="00CC4FC6">
      <w:pPr>
        <w:ind w:left="720"/>
        <w:jc w:val="both"/>
      </w:pPr>
      <w:r>
        <w:rPr>
          <w:rFonts w:ascii="Arial" w:eastAsia="Arial" w:hAnsi="Arial" w:cs="Arial"/>
          <w:b/>
          <w:color w:val="000000"/>
          <w:sz w:val="20"/>
          <w:u w:val="single"/>
        </w:rPr>
        <w:t>OTHER</w:t>
      </w:r>
    </w:p>
    <w:p w:rsidR="0073293D" w:rsidRDefault="0073293D">
      <w:pPr>
        <w:ind w:left="720"/>
      </w:pPr>
    </w:p>
    <w:p w:rsidR="0073293D" w:rsidRDefault="00CC4FC6">
      <w:pPr>
        <w:ind w:left="720"/>
      </w:pPr>
      <w:r>
        <w:rPr>
          <w:rFonts w:ascii="Arial" w:eastAsia="Arial" w:hAnsi="Arial" w:cs="Arial"/>
          <w:sz w:val="20"/>
        </w:rPr>
        <w:t>Automotive revenues represent approximately 98% of the Company's total revenue, consisting of interior and exterior electrochromic automatic-dimming rearview mirrors and automotive electronics.</w:t>
      </w:r>
    </w:p>
    <w:p w:rsidR="0073293D" w:rsidRDefault="0073293D">
      <w:pPr>
        <w:ind w:left="720"/>
        <w:jc w:val="both"/>
      </w:pPr>
    </w:p>
    <w:p w:rsidR="0073293D" w:rsidRDefault="00CC4FC6">
      <w:pPr>
        <w:ind w:left="720"/>
        <w:jc w:val="both"/>
      </w:pPr>
      <w:r>
        <w:rPr>
          <w:rFonts w:ascii="Arial" w:eastAsia="Arial" w:hAnsi="Arial" w:cs="Arial"/>
          <w:sz w:val="20"/>
        </w:rPr>
        <w:t>The Company does continue to experience pricing pressure from its automotive customers and competitors, which will continue to cause downward pressure on its sales and profit margins.  The Company works continuously to offset these price reductions with engineering and purchasing cost reductions, productivity improvements, and increases in unit sales volume, but there is no assurance the Company will be able to do so in the future.</w:t>
      </w:r>
    </w:p>
    <w:p w:rsidR="0073293D" w:rsidRDefault="0073293D">
      <w:pPr>
        <w:ind w:left="720"/>
        <w:jc w:val="both"/>
      </w:pPr>
    </w:p>
    <w:p w:rsidR="0073293D" w:rsidRDefault="00CC4FC6">
      <w:pPr>
        <w:ind w:left="720"/>
        <w:jc w:val="both"/>
      </w:pPr>
      <w:r>
        <w:rPr>
          <w:rFonts w:ascii="Arial" w:eastAsia="Arial" w:hAnsi="Arial" w:cs="Arial"/>
          <w:sz w:val="20"/>
        </w:rPr>
        <w:t xml:space="preserve">Because the Company sells its products throughout the world, and automotive manufacturing is highly dependent on economic conditions, the Company can be affected by uncertain economic conditions that can reduce demand for its products. </w:t>
      </w:r>
    </w:p>
    <w:p w:rsidR="0073293D" w:rsidRDefault="0073293D">
      <w:pPr>
        <w:ind w:left="720"/>
        <w:jc w:val="both"/>
      </w:pPr>
    </w:p>
    <w:p w:rsidR="0073293D" w:rsidRDefault="00CC4FC6">
      <w:pPr>
        <w:ind w:left="720"/>
        <w:jc w:val="both"/>
      </w:pPr>
      <w:r>
        <w:rPr>
          <w:rFonts w:ascii="Arial" w:eastAsia="Arial" w:hAnsi="Arial" w:cs="Arial"/>
          <w:sz w:val="20"/>
        </w:rPr>
        <w:t xml:space="preserve">The Company previously announced that it is providing variably dimmable windows for the Boeing 787 Dreamliner series of aircraft. The Company continues to work with aircraft manufacturers that have an interest in this technology regarding potential additional programs. </w:t>
      </w:r>
    </w:p>
    <w:p w:rsidR="0073293D" w:rsidRDefault="0073293D">
      <w:pPr>
        <w:ind w:left="720"/>
        <w:jc w:val="both"/>
      </w:pPr>
    </w:p>
    <w:p w:rsidR="0073293D" w:rsidRDefault="00CC4FC6">
      <w:pPr>
        <w:ind w:left="720"/>
        <w:jc w:val="both"/>
      </w:pPr>
      <w:r>
        <w:rPr>
          <w:rFonts w:ascii="Arial" w:eastAsia="Arial" w:hAnsi="Arial" w:cs="Arial"/>
          <w:sz w:val="20"/>
        </w:rPr>
        <w:t>The Company believes that its patents and trade secrets provide it with a competitive advantage in adimmable devices and other electronic features that it offers in vehicles and the aerospace industry.  Claims of patent infringement can be costly and time-consuming to address.  To that end, the Company obtains intellectual property rights in the ordinary course of business to strengthen its intellectual property portfolio and to minimize the risk of infringement.</w:t>
      </w:r>
    </w:p>
    <w:p w:rsidR="0073293D" w:rsidRDefault="0073293D">
      <w:pPr>
        <w:ind w:left="720"/>
        <w:jc w:val="both"/>
      </w:pPr>
    </w:p>
    <w:p w:rsidR="0073293D" w:rsidRDefault="00CC4FC6">
      <w:pPr>
        <w:ind w:left="720"/>
        <w:jc w:val="both"/>
      </w:pPr>
      <w:r>
        <w:rPr>
          <w:rFonts w:ascii="Arial" w:eastAsia="Arial" w:hAnsi="Arial" w:cs="Arial"/>
          <w:sz w:val="20"/>
        </w:rPr>
        <w:t xml:space="preserve">The Company does not have any significant off-balance sheet arrangements or commitments that have not been recorded in its consolidated financial statements.  </w:t>
      </w:r>
    </w:p>
    <w:p w:rsidR="0073293D" w:rsidRDefault="0073293D">
      <w:pPr>
        <w:jc w:val="both"/>
      </w:pPr>
    </w:p>
    <w:p w:rsidR="0073293D" w:rsidRDefault="0073293D">
      <w:pPr>
        <w:jc w:val="both"/>
        <w:sectPr w:rsidR="0073293D">
          <w:type w:val="continuous"/>
          <w:pgSz w:w="12240" w:h="15840"/>
          <w:pgMar w:top="900" w:right="990" w:bottom="900" w:left="990" w:header="270" w:footer="270" w:gutter="0"/>
          <w:cols w:space="720"/>
        </w:sectPr>
      </w:pPr>
    </w:p>
    <w:p w:rsidR="0073293D" w:rsidRDefault="00CC4FC6">
      <w:pPr>
        <w:spacing w:before="280"/>
        <w:ind w:left="720"/>
        <w:jc w:val="both"/>
      </w:pPr>
      <w:bookmarkStart w:id="28" w:name="Section28"/>
      <w:bookmarkEnd w:id="28"/>
      <w:r>
        <w:rPr>
          <w:rFonts w:ascii="Arial" w:eastAsia="Arial" w:hAnsi="Arial" w:cs="Arial"/>
          <w:b/>
          <w:color w:val="000000"/>
          <w:sz w:val="20"/>
          <w:u w:val="single"/>
        </w:rPr>
        <w:t>OUTLOOK</w:t>
      </w:r>
    </w:p>
    <w:p w:rsidR="0073293D" w:rsidRDefault="0073293D">
      <w:pPr>
        <w:ind w:left="720" w:firstLine="360"/>
        <w:jc w:val="both"/>
      </w:pPr>
    </w:p>
    <w:p w:rsidR="0073293D" w:rsidRDefault="00CC4FC6">
      <w:pPr>
        <w:ind w:left="720"/>
      </w:pPr>
      <w:r>
        <w:rPr>
          <w:rFonts w:ascii="Arial" w:eastAsia="Arial" w:hAnsi="Arial" w:cs="Arial"/>
          <w:sz w:val="20"/>
        </w:rPr>
        <w:t>The Company’s forecasts for light vehicle production for the fourth quarter and full year of 2018 are based on IHS Markit's mid-October 2018 forecasts for light vehicle production in North America, Europe, Japan and Korea. Using the mid-October 2018 light vehicle production forecasts indicated in the table below, the Company has provided certain guidance for calendar year 2018.</w:t>
      </w:r>
    </w:p>
    <w:p w:rsidR="0073293D" w:rsidRDefault="0073293D">
      <w:pPr>
        <w:ind w:left="720"/>
      </w:pPr>
    </w:p>
    <w:tbl>
      <w:tblPr>
        <w:tblW w:w="95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899"/>
        <w:gridCol w:w="898"/>
        <w:gridCol w:w="639"/>
        <w:gridCol w:w="260"/>
        <w:gridCol w:w="194"/>
        <w:gridCol w:w="899"/>
        <w:gridCol w:w="899"/>
        <w:gridCol w:w="639"/>
        <w:gridCol w:w="260"/>
      </w:tblGrid>
      <w:tr w:rsidR="0073293D">
        <w:trPr>
          <w:trHeight w:hRule="exact" w:val="540"/>
        </w:trPr>
        <w:tc>
          <w:tcPr>
            <w:tcW w:w="9540" w:type="dxa"/>
            <w:gridSpan w:val="10"/>
            <w:vMerge w:val="restart"/>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22"/>
              </w:rPr>
              <w:t>Light Vehicle Production (per IHS Markit Automotive mid-October light vehicle production forecast)</w:t>
            </w:r>
          </w:p>
        </w:tc>
      </w:tr>
      <w:tr w:rsidR="0073293D">
        <w:trPr>
          <w:trHeight w:hRule="exact" w:val="315"/>
        </w:trPr>
        <w:tc>
          <w:tcPr>
            <w:tcW w:w="9540" w:type="dxa"/>
            <w:gridSpan w:val="10"/>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i/>
                <w:color w:val="000000"/>
                <w:sz w:val="22"/>
              </w:rPr>
              <w:t>(in Millions)</w:t>
            </w:r>
          </w:p>
        </w:tc>
      </w:tr>
      <w:tr w:rsidR="0073293D">
        <w:trPr>
          <w:trHeight w:hRule="exact" w:val="420"/>
        </w:trPr>
        <w:tc>
          <w:tcPr>
            <w:tcW w:w="39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Region</w:t>
            </w:r>
          </w:p>
        </w:tc>
        <w:tc>
          <w:tcPr>
            <w:tcW w:w="9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4Q 2018</w:t>
            </w:r>
          </w:p>
        </w:tc>
        <w:tc>
          <w:tcPr>
            <w:tcW w:w="9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jc w:val="center"/>
            </w:pPr>
            <w:r>
              <w:rPr>
                <w:rFonts w:ascii="Arial" w:eastAsia="Arial" w:hAnsi="Arial" w:cs="Arial"/>
                <w:b/>
                <w:sz w:val="16"/>
              </w:rPr>
              <w:t>4Q 2017</w:t>
            </w:r>
          </w:p>
        </w:tc>
        <w:tc>
          <w:tcPr>
            <w:tcW w:w="9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 Change</w:t>
            </w:r>
          </w:p>
        </w:tc>
        <w:tc>
          <w:tcPr>
            <w:tcW w:w="1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Calendar Year 2018</w:t>
            </w:r>
          </w:p>
        </w:tc>
        <w:tc>
          <w:tcPr>
            <w:tcW w:w="9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Calendar Year 2017</w:t>
            </w:r>
          </w:p>
        </w:tc>
        <w:tc>
          <w:tcPr>
            <w:tcW w:w="900"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 Change</w:t>
            </w:r>
          </w:p>
        </w:tc>
      </w:tr>
      <w:tr w:rsidR="0073293D">
        <w:trPr>
          <w:trHeight w:hRule="exact" w:val="300"/>
        </w:trPr>
        <w:tc>
          <w:tcPr>
            <w:tcW w:w="39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North America</w:t>
            </w:r>
          </w:p>
        </w:tc>
        <w:tc>
          <w:tcPr>
            <w:tcW w:w="90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4.23</w:t>
            </w:r>
          </w:p>
        </w:tc>
        <w:tc>
          <w:tcPr>
            <w:tcW w:w="9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4.11</w:t>
            </w:r>
          </w:p>
        </w:tc>
        <w:tc>
          <w:tcPr>
            <w:tcW w:w="64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3</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1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17.02</w:t>
            </w:r>
          </w:p>
        </w:tc>
        <w:tc>
          <w:tcPr>
            <w:tcW w:w="90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17.06</w:t>
            </w:r>
          </w:p>
        </w:tc>
        <w:tc>
          <w:tcPr>
            <w:tcW w:w="64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26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9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Europe</w:t>
            </w:r>
          </w:p>
        </w:tc>
        <w:tc>
          <w:tcPr>
            <w:tcW w:w="9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5.67</w:t>
            </w:r>
          </w:p>
        </w:tc>
        <w:tc>
          <w:tcPr>
            <w:tcW w:w="90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5.69</w:t>
            </w:r>
          </w:p>
        </w:tc>
        <w:tc>
          <w:tcPr>
            <w:tcW w:w="64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1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22.22</w:t>
            </w:r>
          </w:p>
        </w:tc>
        <w:tc>
          <w:tcPr>
            <w:tcW w:w="90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22.22</w:t>
            </w:r>
          </w:p>
        </w:tc>
        <w:tc>
          <w:tcPr>
            <w:tcW w:w="64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26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94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Japan and Korea</w:t>
            </w:r>
          </w:p>
        </w:tc>
        <w:tc>
          <w:tcPr>
            <w:tcW w:w="90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3.47</w:t>
            </w:r>
          </w:p>
        </w:tc>
        <w:tc>
          <w:tcPr>
            <w:tcW w:w="90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3.29</w:t>
            </w:r>
          </w:p>
        </w:tc>
        <w:tc>
          <w:tcPr>
            <w:tcW w:w="64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5</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1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900"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13.15</w:t>
            </w:r>
          </w:p>
        </w:tc>
        <w:tc>
          <w:tcPr>
            <w:tcW w:w="90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13.26</w:t>
            </w:r>
          </w:p>
        </w:tc>
        <w:tc>
          <w:tcPr>
            <w:tcW w:w="64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w:t>
            </w:r>
          </w:p>
        </w:tc>
        <w:tc>
          <w:tcPr>
            <w:tcW w:w="26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r w:rsidR="0073293D">
        <w:trPr>
          <w:trHeight w:hRule="exact" w:val="300"/>
        </w:trPr>
        <w:tc>
          <w:tcPr>
            <w:tcW w:w="394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Total Light Vehicle Production</w:t>
            </w:r>
          </w:p>
        </w:tc>
        <w:tc>
          <w:tcPr>
            <w:tcW w:w="900"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13.37</w:t>
            </w:r>
          </w:p>
        </w:tc>
        <w:tc>
          <w:tcPr>
            <w:tcW w:w="90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13.09</w:t>
            </w:r>
          </w:p>
        </w:tc>
        <w:tc>
          <w:tcPr>
            <w:tcW w:w="64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w:t>
            </w:r>
          </w:p>
        </w:tc>
        <w:tc>
          <w:tcPr>
            <w:tcW w:w="26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c>
          <w:tcPr>
            <w:tcW w:w="1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52.39</w:t>
            </w:r>
          </w:p>
        </w:tc>
        <w:tc>
          <w:tcPr>
            <w:tcW w:w="90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52.54</w:t>
            </w:r>
          </w:p>
        </w:tc>
        <w:tc>
          <w:tcPr>
            <w:tcW w:w="64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w:t>
            </w:r>
          </w:p>
        </w:tc>
        <w:tc>
          <w:tcPr>
            <w:tcW w:w="260"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spacing w:before="55" w:after="10"/>
              <w:jc w:val="right"/>
            </w:pPr>
            <w:r>
              <w:rPr>
                <w:rFonts w:ascii="Arial" w:eastAsia="Arial" w:hAnsi="Arial" w:cs="Arial"/>
                <w:color w:val="000000"/>
                <w:sz w:val="20"/>
              </w:rPr>
              <w:t>%</w:t>
            </w:r>
          </w:p>
        </w:tc>
      </w:tr>
    </w:tbl>
    <w:p w:rsidR="0073293D" w:rsidRDefault="0073293D">
      <w:pPr>
        <w:spacing w:before="120"/>
        <w:ind w:left="720"/>
      </w:pPr>
    </w:p>
    <w:p w:rsidR="0073293D" w:rsidRDefault="00CC4FC6">
      <w:pPr>
        <w:ind w:left="720"/>
      </w:pPr>
      <w:r>
        <w:rPr>
          <w:rFonts w:ascii="Arial" w:eastAsia="Arial" w:hAnsi="Arial" w:cs="Arial"/>
          <w:sz w:val="20"/>
        </w:rPr>
        <w:t xml:space="preserve">Based on the aforementioned light vehicle product forecasts, the Company now estimates that top line revenue for calendar year 2018 will be between $1.854 and $1.872 billion.  All estimates are based on light vehicle production forecasts in the regions to which the Company ships product, as well as the estimated option rates for its products on prospective vehicle models and anticipated product mix. </w:t>
      </w:r>
    </w:p>
    <w:p w:rsidR="0073293D" w:rsidRDefault="00CC4FC6">
      <w:pPr>
        <w:spacing w:before="160"/>
        <w:ind w:left="720"/>
        <w:jc w:val="both"/>
      </w:pPr>
      <w:r>
        <w:rPr>
          <w:rFonts w:ascii="Arial" w:eastAsia="Arial" w:hAnsi="Arial" w:cs="Arial"/>
          <w:sz w:val="20"/>
        </w:rPr>
        <w:t xml:space="preserve">The Company continues to see order rates and booked business that allow for these estimates despite relatively modest vehicle production increases (and in some measures even decreases) in its primary markets.  Nevertheless, ongoing uncertainties remain including: light vehicle production levels; impacts of tariffs; impacts of regulation changes; automotive plant shutdowns; supplier part shortages; sales rates in Europe, Asia and North America; OEM strategies and cost pressures; customer inventory management and the impact of potential automotive customer (including their Tier 1 suppliers) and supplier bankruptcies; work stoppages, strikes, etc., all of which could disrupt shipments to these customers and make forecasting difficult. </w:t>
      </w:r>
    </w:p>
    <w:p w:rsidR="0073293D" w:rsidRDefault="0073293D">
      <w:pPr>
        <w:ind w:left="720"/>
      </w:pPr>
    </w:p>
    <w:p w:rsidR="0073293D" w:rsidRDefault="00CC4FC6">
      <w:pPr>
        <w:ind w:left="720"/>
      </w:pPr>
      <w:r>
        <w:rPr>
          <w:rFonts w:ascii="Arial" w:eastAsia="Arial" w:hAnsi="Arial" w:cs="Arial"/>
          <w:sz w:val="20"/>
        </w:rPr>
        <w:t xml:space="preserve">As a result of the most recently enacted tariffs by the Office of the United States Trade Representative related to imports from China and tariffs enacted by China on imports from the United States, the Company currently expects additional cost increases of between $2.5 million and $3 million for the fourth quarter of 2018.  Total cost increases related to all recently enacted tariffs are expected to be approximately $5.5 million to $6 million for the fourth quarter of 2018.  Based on actual results for the first nine months of 2018, currently forecasted sales and anticipated product mix, and the aforementioned increased tariff costs, the Company now estimates that the gross profit margin will be between 37.5% and 38.0% for calendar year 2018, as previously announced. </w:t>
      </w:r>
    </w:p>
    <w:p w:rsidR="0073293D" w:rsidRDefault="0073293D">
      <w:pPr>
        <w:ind w:left="720"/>
      </w:pPr>
    </w:p>
    <w:p w:rsidR="0073293D" w:rsidRDefault="00CC4FC6">
      <w:pPr>
        <w:ind w:left="720"/>
      </w:pPr>
      <w:r>
        <w:rPr>
          <w:rFonts w:ascii="Arial" w:eastAsia="Arial" w:hAnsi="Arial" w:cs="Arial"/>
          <w:sz w:val="20"/>
        </w:rPr>
        <w:t xml:space="preserve">The Company continues to estimate that its operating expenses, which include E, R &amp; D expenses and S, G &amp; A expenses are expected to be approximately $180 - $185 million for calendar year 2018, primarily to staffing costs, professional fees and travel expenses, which continue to support growth and the development of new business, technology advances  or, in the case of professional fees, provides support with respect to the new income tax legislation passed in 2017. </w:t>
      </w:r>
    </w:p>
    <w:p w:rsidR="0073293D" w:rsidRDefault="0073293D">
      <w:pPr>
        <w:ind w:left="720"/>
      </w:pPr>
    </w:p>
    <w:p w:rsidR="0073293D" w:rsidRDefault="00CC4FC6">
      <w:pPr>
        <w:ind w:left="720"/>
      </w:pPr>
      <w:r>
        <w:rPr>
          <w:rFonts w:ascii="Arial" w:eastAsia="Arial" w:hAnsi="Arial" w:cs="Arial"/>
          <w:sz w:val="20"/>
        </w:rPr>
        <w:t>In light of on-going demand for the Company's auto-dimming mirrors and electronics, and based on actual spending levels through the first nine months of 2018, the Company now anticipates that 2018 capital expenditures will be approximately $95 - $105 million, as previously announced.  Capital expenditures in the calendar year 2018 are currently anticipated to be financed from current cash and cash equivalents on hand and cash flows from operating activities.</w:t>
      </w:r>
    </w:p>
    <w:p w:rsidR="0073293D" w:rsidRDefault="00CC4FC6">
      <w:pPr>
        <w:spacing w:before="160"/>
        <w:ind w:left="720"/>
        <w:jc w:val="both"/>
      </w:pPr>
      <w:r>
        <w:rPr>
          <w:rFonts w:ascii="Arial" w:eastAsia="Arial" w:hAnsi="Arial" w:cs="Arial"/>
          <w:sz w:val="20"/>
        </w:rPr>
        <w:t>Based on actual results for the first nine months of 2018, as well as expected projects in the fourth quarter, the Company now estimates that depreciation and amortization expense for calendar year 2018 will be approximately $105 - $110 million.</w:t>
      </w:r>
    </w:p>
    <w:p w:rsidR="0073293D" w:rsidRDefault="00CC4FC6">
      <w:pPr>
        <w:spacing w:before="160"/>
        <w:ind w:left="720"/>
      </w:pPr>
      <w:r>
        <w:rPr>
          <w:rFonts w:ascii="Arial" w:eastAsia="Arial" w:hAnsi="Arial" w:cs="Arial"/>
          <w:sz w:val="20"/>
        </w:rPr>
        <w:t>The Company continues to estimate its effective annual tax rate for calendar year 2018 to be in the range of 15.0% to 18.0%, as previously announced.</w:t>
      </w:r>
    </w:p>
    <w:p w:rsidR="0073293D" w:rsidRDefault="00CC4FC6">
      <w:pPr>
        <w:spacing w:before="160"/>
        <w:ind w:left="720"/>
      </w:pPr>
      <w:r>
        <w:rPr>
          <w:rFonts w:ascii="Arial" w:eastAsia="Arial" w:hAnsi="Arial" w:cs="Arial"/>
          <w:sz w:val="20"/>
        </w:rPr>
        <w:t>The Company intends to continue to repurchase additional shares of its common stock in 2018 and into the future depending on a number of factors, including: market, economic, and industry conditions; the market price of the Company's common stock; anti-dilutive effect on earnings; available cash; and other factors that the Company deems appropriate, commensurate with its previously announced capital allocation strategy.</w:t>
      </w:r>
    </w:p>
    <w:p w:rsidR="0073293D" w:rsidRDefault="00CC4FC6">
      <w:pPr>
        <w:spacing w:before="160"/>
        <w:ind w:left="720"/>
        <w:jc w:val="both"/>
      </w:pPr>
      <w:r>
        <w:rPr>
          <w:rFonts w:ascii="Arial" w:eastAsia="Arial" w:hAnsi="Arial" w:cs="Arial"/>
          <w:sz w:val="20"/>
        </w:rPr>
        <w:t>Finally, based on available light vehicle production forecasts and current forecasted product mix, the Company is making no changes to its previously announced revenue estimates for calendar year 2019, which continues to be estimated to be over and above the foregoing 2018 revenue estimates in the range of 5% to 10%.</w:t>
      </w:r>
      <w:r>
        <w:rPr>
          <w:rFonts w:ascii="Arial" w:eastAsia="Arial" w:hAnsi="Arial" w:cs="Arial"/>
          <w:sz w:val="20"/>
        </w:rPr>
        <w:tab/>
      </w:r>
      <w:r>
        <w:rPr>
          <w:rFonts w:ascii="Arial" w:eastAsia="Arial" w:hAnsi="Arial" w:cs="Arial"/>
          <w:sz w:val="20"/>
        </w:rPr>
        <w:tab/>
      </w:r>
    </w:p>
    <w:p w:rsidR="0073293D" w:rsidRDefault="0073293D">
      <w:pPr>
        <w:spacing w:before="160"/>
        <w:ind w:left="720"/>
        <w:jc w:val="both"/>
        <w:sectPr w:rsidR="0073293D">
          <w:pgSz w:w="12240" w:h="15840"/>
          <w:pgMar w:top="900" w:right="990" w:bottom="900" w:left="990" w:header="270" w:footer="270" w:gutter="0"/>
          <w:cols w:space="720"/>
        </w:sectPr>
      </w:pPr>
    </w:p>
    <w:p w:rsidR="0073293D" w:rsidRDefault="00CC4FC6">
      <w:pPr>
        <w:spacing w:before="280"/>
        <w:ind w:left="720"/>
        <w:jc w:val="both"/>
      </w:pPr>
      <w:bookmarkStart w:id="29" w:name="Section29"/>
      <w:bookmarkEnd w:id="29"/>
      <w:r>
        <w:rPr>
          <w:rFonts w:ascii="Arial" w:eastAsia="Arial" w:hAnsi="Arial" w:cs="Arial"/>
          <w:b/>
          <w:color w:val="000000"/>
          <w:sz w:val="20"/>
          <w:u w:val="single"/>
        </w:rPr>
        <w:t>CRITICAL ACCOUNTING POLICIES:</w:t>
      </w:r>
    </w:p>
    <w:p w:rsidR="0073293D" w:rsidRDefault="00CC4FC6">
      <w:pPr>
        <w:spacing w:before="160"/>
        <w:ind w:left="720"/>
        <w:jc w:val="both"/>
      </w:pPr>
      <w:r>
        <w:rPr>
          <w:rFonts w:ascii="Arial" w:eastAsia="Arial" w:hAnsi="Arial" w:cs="Arial"/>
          <w:sz w:val="20"/>
        </w:rPr>
        <w:t>The preparation of the Company’s consolidated condensed financial statements contained in this report, which have been prepared in accordance with accounting principles generally accepted in the United States, requires management to make estimates and assumptions that affect the amounts reported in the financial statements and accompanying notes. On an ongoing basis, management evaluates these estimates. Estimates are based on historical experience and/or on various other assumptions that are believed to be reasonable under the circumstances, the results of which form the basis for making judgments about the carrying values of assets and liabilities that may not be readily apparent from other sources. Historically, actual results have not been materially different from the Company’s estimates. However, actual results may differ from these estimates under different assumptions or conditions.</w:t>
      </w:r>
    </w:p>
    <w:p w:rsidR="0073293D" w:rsidRDefault="00CC4FC6">
      <w:pPr>
        <w:spacing w:before="160"/>
        <w:ind w:left="720"/>
        <w:jc w:val="both"/>
      </w:pPr>
      <w:r>
        <w:rPr>
          <w:rFonts w:ascii="Arial" w:eastAsia="Arial" w:hAnsi="Arial" w:cs="Arial"/>
          <w:sz w:val="20"/>
        </w:rPr>
        <w:t>The Company has identified critical accounting policies used in determining estimates and assumptions in the amounts reported in its Management’s Discussion and Analysis of Financial Condition and Results of Operations in its Annual Report on Form 10-K for the fiscal year ended December 31, 2017.</w:t>
      </w:r>
    </w:p>
    <w:p w:rsidR="0073293D" w:rsidRDefault="0073293D">
      <w:pPr>
        <w:spacing w:before="160"/>
        <w:ind w:left="720"/>
        <w:jc w:val="both"/>
        <w:sectPr w:rsidR="0073293D">
          <w:pgSz w:w="12240" w:h="15840"/>
          <w:pgMar w:top="900" w:right="990" w:bottom="900" w:left="990" w:header="270" w:footer="270" w:gutter="0"/>
          <w:cols w:space="720"/>
        </w:sectPr>
      </w:pPr>
    </w:p>
    <w:p w:rsidR="0073293D" w:rsidRDefault="0073293D">
      <w:pPr>
        <w:ind w:left="1440" w:hanging="1440"/>
        <w:jc w:val="both"/>
      </w:pPr>
      <w:bookmarkStart w:id="30" w:name="Section30"/>
      <w:bookmarkEnd w:id="30"/>
    </w:p>
    <w:p w:rsidR="0073293D" w:rsidRDefault="00CC4FC6">
      <w:pPr>
        <w:ind w:left="1440" w:hanging="1440"/>
        <w:jc w:val="both"/>
      </w:pPr>
      <w:r>
        <w:rPr>
          <w:rFonts w:ascii="Arial" w:eastAsia="Arial" w:hAnsi="Arial" w:cs="Arial"/>
          <w:b/>
          <w:sz w:val="20"/>
        </w:rPr>
        <w:t>Item 3.</w:t>
      </w:r>
      <w:r>
        <w:rPr>
          <w:rFonts w:ascii="Arial" w:eastAsia="Arial" w:hAnsi="Arial" w:cs="Arial"/>
          <w:b/>
          <w:sz w:val="20"/>
        </w:rPr>
        <w:tab/>
        <w:t>Quantitative And Qualitative Disclosures About Market Risk.</w:t>
      </w:r>
    </w:p>
    <w:p w:rsidR="0073293D" w:rsidRDefault="0073293D">
      <w:pPr>
        <w:ind w:left="720"/>
        <w:jc w:val="both"/>
      </w:pPr>
    </w:p>
    <w:p w:rsidR="0073293D" w:rsidRDefault="00CC4FC6">
      <w:pPr>
        <w:ind w:left="720"/>
        <w:jc w:val="both"/>
      </w:pPr>
      <w:r>
        <w:rPr>
          <w:rFonts w:ascii="Arial" w:eastAsia="Arial" w:hAnsi="Arial" w:cs="Arial"/>
          <w:sz w:val="20"/>
        </w:rPr>
        <w:t>The Company is subject to market risk exposures of varying correlations and volatilities, including foreign exchange rate risk and interest rate risk.  Historically, volatile equity markets could negatively impact the Company's financial performance due to realized losses on the sale of equity investments and/or recognized losses due to other-than-temporary impairment adjustment on available for sale securities (mark-to-market adjustments).  During the quarter ended September 30, 2018, there are no material changes in the risk factors previously disclosed in the Company's report on Form 10-K for the fiscal year ended December 31, 2017, except as set forth in Item 2.</w:t>
      </w:r>
    </w:p>
    <w:p w:rsidR="0073293D" w:rsidRDefault="00CC4FC6">
      <w:pPr>
        <w:spacing w:before="160"/>
        <w:ind w:left="720"/>
        <w:jc w:val="both"/>
      </w:pPr>
      <w:r>
        <w:rPr>
          <w:rFonts w:ascii="Arial" w:eastAsia="Arial" w:hAnsi="Arial" w:cs="Arial"/>
          <w:sz w:val="20"/>
        </w:rPr>
        <w:t>The Company has some assets, liabilities and operations outside the United States, including euro-denominated accounts, which currently are not significant overall to the Company as a whole. Because the Company sells its automotive mirrors throughout the world, and automotive manufacturing is highly dependent on general economic conditions, the Company could be affected by uncertain economic conditions in foreign markets that can reduce demand for its products.</w:t>
      </w:r>
    </w:p>
    <w:p w:rsidR="0073293D" w:rsidRDefault="0073293D">
      <w:pPr>
        <w:spacing w:before="160"/>
        <w:ind w:left="720"/>
        <w:jc w:val="both"/>
        <w:sectPr w:rsidR="0073293D">
          <w:type w:val="continuous"/>
          <w:pgSz w:w="12240" w:h="15840"/>
          <w:pgMar w:top="900" w:right="990" w:bottom="900" w:left="990" w:header="270" w:footer="270" w:gutter="0"/>
          <w:cols w:space="720"/>
        </w:sectPr>
      </w:pPr>
    </w:p>
    <w:p w:rsidR="0073293D" w:rsidRDefault="00CC4FC6">
      <w:pPr>
        <w:spacing w:before="160"/>
        <w:ind w:left="1440" w:hanging="1440"/>
        <w:jc w:val="both"/>
      </w:pPr>
      <w:bookmarkStart w:id="31" w:name="Section31"/>
      <w:bookmarkEnd w:id="31"/>
      <w:r>
        <w:rPr>
          <w:rFonts w:ascii="Arial" w:eastAsia="Arial" w:hAnsi="Arial" w:cs="Arial"/>
          <w:b/>
          <w:sz w:val="20"/>
        </w:rPr>
        <w:t>Item 4.</w:t>
      </w:r>
      <w:r>
        <w:rPr>
          <w:rFonts w:ascii="Arial" w:eastAsia="Arial" w:hAnsi="Arial" w:cs="Arial"/>
          <w:b/>
          <w:sz w:val="20"/>
        </w:rPr>
        <w:tab/>
        <w:t>Controls And Procedures.</w:t>
      </w:r>
    </w:p>
    <w:p w:rsidR="0073293D" w:rsidRDefault="0073293D">
      <w:pPr>
        <w:ind w:left="720"/>
        <w:jc w:val="both"/>
      </w:pPr>
    </w:p>
    <w:p w:rsidR="0073293D" w:rsidRDefault="00CC4FC6">
      <w:pPr>
        <w:ind w:left="720"/>
        <w:jc w:val="both"/>
      </w:pPr>
      <w:r>
        <w:rPr>
          <w:rFonts w:ascii="Arial" w:eastAsia="Arial" w:hAnsi="Arial" w:cs="Arial"/>
          <w:color w:val="000000"/>
          <w:sz w:val="20"/>
          <w:u w:val="single"/>
        </w:rPr>
        <w:t>Evaluation of Disclosure Controls and Procedures</w:t>
      </w:r>
      <w:r>
        <w:rPr>
          <w:rFonts w:ascii="Arial" w:eastAsia="Arial" w:hAnsi="Arial" w:cs="Arial"/>
          <w:sz w:val="20"/>
        </w:rPr>
        <w:t xml:space="preserve">.  </w:t>
      </w:r>
    </w:p>
    <w:p w:rsidR="0073293D" w:rsidRDefault="0073293D">
      <w:pPr>
        <w:ind w:left="720"/>
        <w:jc w:val="both"/>
      </w:pPr>
    </w:p>
    <w:p w:rsidR="0073293D" w:rsidRDefault="00CC4FC6">
      <w:pPr>
        <w:ind w:left="720"/>
        <w:jc w:val="both"/>
      </w:pPr>
      <w:r>
        <w:rPr>
          <w:rFonts w:ascii="Arial" w:eastAsia="Arial" w:hAnsi="Arial" w:cs="Arial"/>
          <w:sz w:val="20"/>
        </w:rPr>
        <w:t>Under the supervision of, and with the participation of management, the Company's Chief Executive Officer and Chief Financial Officer have evaluated the effectiveness of the Company's disclosure controls and procedures (as defined in Exchange Act Rules 13a-15(e) and 15d-15(e)) as of September 30, 2018, and have concluded that as of that date, the Company's disclosure controls and procedures are effective.</w:t>
      </w:r>
    </w:p>
    <w:p w:rsidR="0073293D" w:rsidRDefault="0073293D">
      <w:pPr>
        <w:ind w:left="720"/>
        <w:jc w:val="both"/>
      </w:pPr>
    </w:p>
    <w:p w:rsidR="0073293D" w:rsidRDefault="00CC4FC6">
      <w:pPr>
        <w:ind w:left="720"/>
        <w:jc w:val="both"/>
      </w:pPr>
      <w:r>
        <w:rPr>
          <w:rFonts w:ascii="Arial" w:eastAsia="Arial" w:hAnsi="Arial" w:cs="Arial"/>
          <w:color w:val="000000"/>
          <w:sz w:val="20"/>
          <w:u w:val="single"/>
        </w:rPr>
        <w:t>Changes in Internal Control Over Financial Reporting</w:t>
      </w:r>
    </w:p>
    <w:p w:rsidR="0073293D" w:rsidRDefault="0073293D">
      <w:pPr>
        <w:ind w:left="720"/>
        <w:jc w:val="both"/>
      </w:pPr>
    </w:p>
    <w:p w:rsidR="0073293D" w:rsidRDefault="00CC4FC6">
      <w:pPr>
        <w:ind w:left="720"/>
        <w:jc w:val="both"/>
      </w:pPr>
      <w:r>
        <w:rPr>
          <w:rFonts w:ascii="Arial" w:eastAsia="Arial" w:hAnsi="Arial" w:cs="Arial"/>
          <w:sz w:val="20"/>
        </w:rPr>
        <w:t>There were no changes in the Company's internal control over financial reporting (as defined in Exchange Act Rules 13a-15(f) and 15d-15(f)) during the quarter ended September 30, 2018 that materially affected, or are reasonably likely to materially affect, the Company's internal control over financial reporting.</w:t>
      </w:r>
    </w:p>
    <w:p w:rsidR="0073293D" w:rsidRDefault="00CC4FC6">
      <w:pPr>
        <w:spacing w:before="160"/>
        <w:ind w:left="720"/>
        <w:jc w:val="both"/>
      </w:pPr>
      <w:r>
        <w:rPr>
          <w:rFonts w:ascii="Arial" w:eastAsia="Arial" w:hAnsi="Arial" w:cs="Arial"/>
          <w:b/>
          <w:color w:val="000000"/>
          <w:sz w:val="20"/>
          <w:u w:val="single"/>
        </w:rPr>
        <w:t>SAFE HARBOR STATEMENT:</w:t>
      </w:r>
    </w:p>
    <w:p w:rsidR="0073293D" w:rsidRDefault="0073293D">
      <w:pPr>
        <w:ind w:left="720"/>
        <w:jc w:val="both"/>
      </w:pPr>
    </w:p>
    <w:p w:rsidR="0073293D" w:rsidRDefault="00CC4FC6">
      <w:pPr>
        <w:ind w:left="720"/>
        <w:jc w:val="both"/>
      </w:pPr>
      <w:r>
        <w:rPr>
          <w:rFonts w:ascii="Arial" w:eastAsia="Arial" w:hAnsi="Arial" w:cs="Arial"/>
          <w:sz w:val="20"/>
        </w:rPr>
        <w:t>This Quarterly Report contains forward-looking statements within the meaning of the safe harbor provisions of the Private Securities Litigation Reform Act of 1995.  The statements contained in this communication that are not purely historical are forward-looking statements.  Forward-looking statements give the Company’s current expectations or forecasts of future events. These forward-looking statements generally can be identified by the use of words such as “anticipate”, “believe”, “could”, “estimate”, “expect”, “forecast”, “goal”, “hope”, “may”, “plan”, “project”, “will”, and variations of such words and similar expressions.  Such statements are subject to risks and uncertainties that are often difficult to predict and beyond the Company’s control, and could cause the Company’s results to differ materially from those described. These risks and uncertainties include, without limitation: changes in general industry or regional market conditions; changes in consumer and customer preferences for our products (such as cameras replacing mirrors and/or autonomous driving); our ability to be awarded new business; continued uncertainty in pricing negotiations with customers; loss of business from increased competition; changes in strategic relationships; customer bankruptcies or divestiture of customer brands; fluctuation in vehicle production schedules; changes in product mix; raw material shortages; higher raw material, fuel, energy and other costs; unfavorable fluctuations in currencies or interest rates in the regions in which we operate; costs or difficulties related to the integration and/or ability to maximize the value of any new or acquired technologies and businesses; changes in regulatory conditions; warranty and recall claims and other litigation and customer reactions thereto; possible adverse results of pending or future litigation or infringement claims; changes in tax laws; import and export duty and tariff rates in or with the countries with which we conduct business; and negative impact of any governmental investigations and associated litigations including securities litigations relating to the conduct of our business. Readers are cautioned not to place undue reliance on these forward-looking statements, which speak only as of the date they are made. The Company undertakes no obligation to publicly update or revise any forward-looking statement, whether as a result of new information, future events or otherwise, except as required by law or the rules of the NASDAQ Global Select Market. Includes content supplied by IHS Markit Light Vehicle Production Forecast (October, 2018) (http://www.gentex.com/ forecast-disclaimer).</w:t>
      </w:r>
    </w:p>
    <w:p w:rsidR="0073293D" w:rsidRDefault="0073293D">
      <w:pPr>
        <w:ind w:left="720"/>
        <w:jc w:val="both"/>
        <w:sectPr w:rsidR="0073293D">
          <w:type w:val="continuous"/>
          <w:pgSz w:w="12240" w:h="15840"/>
          <w:pgMar w:top="900" w:right="990" w:bottom="900" w:left="990" w:header="270" w:footer="270" w:gutter="0"/>
          <w:cols w:space="720"/>
        </w:sectPr>
      </w:pPr>
    </w:p>
    <w:p w:rsidR="0073293D" w:rsidRDefault="00CC4FC6">
      <w:pPr>
        <w:jc w:val="center"/>
      </w:pPr>
      <w:bookmarkStart w:id="32" w:name="Section32"/>
      <w:bookmarkEnd w:id="32"/>
      <w:r>
        <w:rPr>
          <w:rFonts w:ascii="Arial" w:eastAsia="Arial" w:hAnsi="Arial" w:cs="Arial"/>
          <w:b/>
          <w:sz w:val="20"/>
        </w:rPr>
        <w:t>PART II—OTHER INFORMATION</w:t>
      </w:r>
    </w:p>
    <w:p w:rsidR="0073293D" w:rsidRDefault="0073293D">
      <w:pPr>
        <w:jc w:val="center"/>
        <w:sectPr w:rsidR="0073293D">
          <w:pgSz w:w="12240" w:h="15840"/>
          <w:pgMar w:top="900" w:right="990" w:bottom="900" w:left="990" w:header="270" w:footer="270" w:gutter="0"/>
          <w:cols w:space="720"/>
        </w:sectPr>
      </w:pPr>
    </w:p>
    <w:p w:rsidR="0073293D" w:rsidRDefault="0073293D">
      <w:pPr>
        <w:jc w:val="both"/>
      </w:pPr>
      <w:bookmarkStart w:id="33" w:name="Section33"/>
      <w:bookmarkEnd w:id="33"/>
    </w:p>
    <w:p w:rsidR="0073293D" w:rsidRDefault="00CC4FC6">
      <w:pPr>
        <w:ind w:left="1440" w:hanging="1440"/>
        <w:jc w:val="both"/>
      </w:pPr>
      <w:r>
        <w:rPr>
          <w:rFonts w:ascii="Arial" w:eastAsia="Arial" w:hAnsi="Arial" w:cs="Arial"/>
          <w:b/>
          <w:sz w:val="20"/>
        </w:rPr>
        <w:t>Item 1A. Risk Factors.</w:t>
      </w:r>
    </w:p>
    <w:p w:rsidR="0073293D" w:rsidRDefault="00CC4FC6">
      <w:pPr>
        <w:spacing w:before="100"/>
        <w:ind w:left="720"/>
        <w:jc w:val="both"/>
      </w:pPr>
      <w:r>
        <w:rPr>
          <w:rFonts w:ascii="Arial" w:eastAsia="Arial" w:hAnsi="Arial" w:cs="Arial"/>
          <w:sz w:val="20"/>
        </w:rPr>
        <w:t>Information regarding risk factors appears in Management’s Discussion and Analysis of Financial Condition and Results of Operations in Part I – Item 2 of this Form 10-Q and in Part I – Item 1A – Risk Factors of the Company’s report on Form 10-K for the fiscal year ended December 31, 2017. There have been no material changes from the risk factors previously disclosed in the Company’s report on Form 10-K for the year ended December 31, 2017, except to the extent described in Part I – Item 2 and Item 3 of this Form 10-Q.</w:t>
      </w:r>
    </w:p>
    <w:p w:rsidR="0073293D" w:rsidRDefault="0073293D">
      <w:pPr>
        <w:spacing w:before="100"/>
        <w:ind w:left="720"/>
        <w:jc w:val="both"/>
      </w:pPr>
    </w:p>
    <w:p w:rsidR="0073293D" w:rsidRDefault="0073293D">
      <w:pPr>
        <w:spacing w:before="100"/>
        <w:ind w:left="720"/>
        <w:jc w:val="both"/>
        <w:sectPr w:rsidR="0073293D">
          <w:type w:val="continuous"/>
          <w:pgSz w:w="12240" w:h="15840"/>
          <w:pgMar w:top="900" w:right="990" w:bottom="900" w:left="990" w:header="270" w:footer="270" w:gutter="0"/>
          <w:cols w:space="720"/>
        </w:sectPr>
      </w:pPr>
    </w:p>
    <w:p w:rsidR="0073293D" w:rsidRDefault="00CC4FC6">
      <w:bookmarkStart w:id="34" w:name="Section34"/>
      <w:bookmarkEnd w:id="34"/>
      <w:r>
        <w:rPr>
          <w:rFonts w:ascii="Arial" w:eastAsia="Arial" w:hAnsi="Arial" w:cs="Arial"/>
          <w:b/>
          <w:sz w:val="20"/>
        </w:rPr>
        <w:t>Item 2.  Unregistered Sales of Equity Securities and Use of Proceeds.</w:t>
      </w:r>
    </w:p>
    <w:p w:rsidR="0073293D" w:rsidRDefault="0073293D"/>
    <w:p w:rsidR="0073293D" w:rsidRDefault="00CC4FC6">
      <w:r>
        <w:rPr>
          <w:rFonts w:ascii="Arial" w:eastAsia="Arial" w:hAnsi="Arial" w:cs="Arial"/>
          <w:b/>
          <w:sz w:val="20"/>
        </w:rPr>
        <w:t>(c)</w:t>
      </w:r>
      <w:r>
        <w:rPr>
          <w:rFonts w:ascii="Arial" w:eastAsia="Arial" w:hAnsi="Arial" w:cs="Arial"/>
          <w:b/>
          <w:sz w:val="20"/>
        </w:rPr>
        <w:tab/>
        <w:t>Issuer Purchase of Equity Securities</w:t>
      </w:r>
    </w:p>
    <w:p w:rsidR="0073293D" w:rsidRDefault="0073293D"/>
    <w:p w:rsidR="0073293D" w:rsidRDefault="00CC4FC6">
      <w:pPr>
        <w:ind w:left="720"/>
        <w:jc w:val="both"/>
      </w:pPr>
      <w:r>
        <w:rPr>
          <w:rFonts w:ascii="Arial" w:eastAsia="Arial" w:hAnsi="Arial" w:cs="Arial"/>
          <w:sz w:val="20"/>
        </w:rPr>
        <w:t xml:space="preserve">On October 8, 2002, the Company announced a share repurchase plan, under which it may purchase up to 16,000,000 shares (post-split) based on a number of factors.  On July 20, 2005, the Company announced that it had raised the price at which the Company may repurchase shares under the existing plan.  On May 16, 2006, the Company announced that the Company's Board of Directors had authorized the repurchase of an additional 16,000,000 shares (post-split) under the plan.  On August 14, 2006, the Company announced that the Company's Board of Directors had authorized the repurchase of an additional 16,000,000 shares (post -split) under the plan.  On February 26, 2008, the Company announced that the Company's Board of Directors had authorized the repurchase of an additional 8,000,000 shares (post-split) under the plan.  On October 23, 2012, the Company announced that the Company's Board of Directors had authorized the repurchase of an additional 8,000,000 shares (post - split) under the plan.  On October 21, 2015, the Company announced that the Company's Board of Directors had authorized the repurchase of an additional 5,000,000 shares (post - split) under the plan. On February 23, 2016, the Company's Board of Directors authorized the repurchase of an additional 5,000,000 shares (post-split) under the plan. On October 20, 2016, the Company announced that the Company's Board of Directors had authorized the repurchase of an additional 7,500,000 shares (post - split) under the plan.  On August 23, 2017, the Company announced that the Company's Board of Directors had authorized the repurchase of an additional 15,000,000 shares (post - split) under the plan. On January 16, 2018, the Company repurchased approximately 5.5 million shares of common stock from the former CEO pursuant to his retirement agreement, as previously announced.  These share repurchases were approved by the Company's Board of Directors and were not repurchased as part of the Company's existing share repurchase plan. On March 9, 2018, the Company announced that the Company's Board of Directors had authorized the repurchase of an additional 20,000,000 shares (post - split) under the plan. The Company may purchase authorized shares of its common stock under the plan based on a number of factors, including: market, economic, and industry conditions; the market price of the Company's common stock; anti-dilutive effect on earnings; available cash; and other factors that the Company deems appropriate, including the Company's previously announced capital allocation strategy. The plan does not have an expiration date, but the Board of Directors reviews such plan periodically. </w:t>
      </w:r>
    </w:p>
    <w:p w:rsidR="0073293D" w:rsidRDefault="0073293D">
      <w:pPr>
        <w:ind w:left="720"/>
        <w:jc w:val="both"/>
      </w:pPr>
    </w:p>
    <w:p w:rsidR="0073293D" w:rsidRDefault="00CC4FC6">
      <w:pPr>
        <w:ind w:left="720"/>
      </w:pPr>
      <w:r>
        <w:rPr>
          <w:rFonts w:ascii="Arial" w:eastAsia="Arial" w:hAnsi="Arial" w:cs="Arial"/>
          <w:sz w:val="20"/>
        </w:rPr>
        <w:t>The following is a summary of share repurchase activity during the nine months ended September 30, 2018:</w:t>
      </w:r>
    </w:p>
    <w:tbl>
      <w:tblPr>
        <w:tblW w:w="94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747"/>
        <w:gridCol w:w="1373"/>
        <w:gridCol w:w="1983"/>
        <w:gridCol w:w="1983"/>
      </w:tblGrid>
      <w:tr w:rsidR="0073293D">
        <w:trPr>
          <w:trHeight w:hRule="exact" w:val="255"/>
        </w:trPr>
        <w:tc>
          <w:tcPr>
            <w:tcW w:w="9495" w:type="dxa"/>
            <w:gridSpan w:val="5"/>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Issuer Purchase of Equity Securities</w:t>
            </w:r>
          </w:p>
        </w:tc>
      </w:tr>
      <w:tr w:rsidR="0073293D">
        <w:trPr>
          <w:trHeight w:hRule="exact" w:val="735"/>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Period</w:t>
            </w:r>
          </w:p>
        </w:tc>
        <w:tc>
          <w:tcPr>
            <w:tcW w:w="175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Total Number of Shares Purchased</w:t>
            </w:r>
          </w:p>
        </w:tc>
        <w:tc>
          <w:tcPr>
            <w:tcW w:w="1380" w:type="dxa"/>
            <w:tcBorders>
              <w:top w:val="nil"/>
              <w:left w:val="nil"/>
              <w:bottom w:val="nil"/>
              <w:right w:val="nil"/>
            </w:tcBorders>
            <w:shd w:val="clear" w:color="auto" w:fill="auto"/>
            <w:tcMar>
              <w:top w:w="0" w:type="dxa"/>
              <w:left w:w="53" w:type="dxa"/>
              <w:bottom w:w="0" w:type="dxa"/>
              <w:right w:w="53" w:type="dxa"/>
            </w:tcMar>
            <w:vAlign w:val="bottom"/>
          </w:tcPr>
          <w:p w:rsidR="0073293D" w:rsidRDefault="0073293D">
            <w:pPr>
              <w:spacing w:before="55"/>
              <w:jc w:val="center"/>
            </w:pPr>
          </w:p>
          <w:p w:rsidR="0073293D" w:rsidRDefault="00CC4FC6">
            <w:pPr>
              <w:jc w:val="center"/>
            </w:pPr>
            <w:r>
              <w:rPr>
                <w:rFonts w:ascii="Arial" w:eastAsia="Arial" w:hAnsi="Arial" w:cs="Arial"/>
                <w:b/>
                <w:sz w:val="16"/>
              </w:rPr>
              <w:t>Weighted</w:t>
            </w:r>
          </w:p>
          <w:p w:rsidR="0073293D" w:rsidRDefault="00CC4FC6">
            <w:pPr>
              <w:spacing w:after="10"/>
              <w:jc w:val="center"/>
            </w:pPr>
            <w:r>
              <w:rPr>
                <w:rFonts w:ascii="Arial" w:eastAsia="Arial" w:hAnsi="Arial" w:cs="Arial"/>
                <w:b/>
                <w:sz w:val="16"/>
              </w:rPr>
              <w:t>Average Price Paid Per Share</w:t>
            </w:r>
          </w:p>
        </w:tc>
        <w:tc>
          <w:tcPr>
            <w:tcW w:w="19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Total Number of Shares Purchased As Part of a Publicly Announced Plan or Program*</w:t>
            </w:r>
          </w:p>
        </w:tc>
        <w:tc>
          <w:tcPr>
            <w:tcW w:w="19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Maximum Number of Shares That May Yet Be Purchased Under the Plan or Program*</w:t>
            </w:r>
          </w:p>
        </w:tc>
      </w:tr>
      <w:tr w:rsidR="0073293D">
        <w:trPr>
          <w:trHeight w:hRule="exact" w:val="255"/>
        </w:trPr>
        <w:tc>
          <w:tcPr>
            <w:tcW w:w="237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January 2018</w:t>
            </w:r>
          </w:p>
        </w:tc>
        <w:tc>
          <w:tcPr>
            <w:tcW w:w="175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6,649,731</w:t>
            </w:r>
          </w:p>
        </w:tc>
        <w:tc>
          <w:tcPr>
            <w:tcW w:w="1380"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21.33</w:t>
            </w:r>
          </w:p>
        </w:tc>
        <w:tc>
          <w:tcPr>
            <w:tcW w:w="199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6,649,731</w:t>
            </w:r>
          </w:p>
        </w:tc>
        <w:tc>
          <w:tcPr>
            <w:tcW w:w="199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8,640,893</w:t>
            </w:r>
          </w:p>
        </w:tc>
      </w:tr>
      <w:tr w:rsidR="0073293D">
        <w:trPr>
          <w:trHeight w:hRule="exact" w:val="255"/>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February 2018</w:t>
            </w:r>
          </w:p>
        </w:tc>
        <w:tc>
          <w:tcPr>
            <w:tcW w:w="175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1,944,826</w:t>
            </w:r>
          </w:p>
        </w:tc>
        <w:tc>
          <w:tcPr>
            <w:tcW w:w="138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22.60</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1,944,826</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6,696,067</w:t>
            </w:r>
          </w:p>
        </w:tc>
      </w:tr>
      <w:tr w:rsidR="0073293D">
        <w:trPr>
          <w:trHeight w:hRule="exact" w:val="255"/>
        </w:trPr>
        <w:tc>
          <w:tcPr>
            <w:tcW w:w="23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March 2018</w:t>
            </w:r>
          </w:p>
        </w:tc>
        <w:tc>
          <w:tcPr>
            <w:tcW w:w="175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736,942</w:t>
            </w:r>
          </w:p>
        </w:tc>
        <w:tc>
          <w:tcPr>
            <w:tcW w:w="138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22.81</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736,942</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25,959,125</w:t>
            </w:r>
          </w:p>
        </w:tc>
      </w:tr>
      <w:tr w:rsidR="0073293D">
        <w:trPr>
          <w:trHeight w:hRule="exact" w:val="255"/>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20" w:after="20"/>
            </w:pPr>
            <w:r>
              <w:rPr>
                <w:rFonts w:ascii="Arial" w:eastAsia="Arial" w:hAnsi="Arial" w:cs="Arial"/>
                <w:color w:val="000000"/>
                <w:sz w:val="20"/>
              </w:rPr>
              <w:t>1st Quarter 2018 Total</w:t>
            </w:r>
          </w:p>
        </w:tc>
        <w:tc>
          <w:tcPr>
            <w:tcW w:w="175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9,331,499</w:t>
            </w:r>
          </w:p>
        </w:tc>
        <w:tc>
          <w:tcPr>
            <w:tcW w:w="138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21.71</w:t>
            </w:r>
          </w:p>
        </w:tc>
        <w:tc>
          <w:tcPr>
            <w:tcW w:w="1995"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9,331,499</w:t>
            </w:r>
          </w:p>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55"/>
        </w:trPr>
        <w:tc>
          <w:tcPr>
            <w:tcW w:w="23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75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255"/>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April 2018</w:t>
            </w:r>
          </w:p>
        </w:tc>
        <w:tc>
          <w:tcPr>
            <w:tcW w:w="175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1,531,711</w:t>
            </w:r>
          </w:p>
        </w:tc>
        <w:tc>
          <w:tcPr>
            <w:tcW w:w="138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22.59</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1,531,711</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24,427,414</w:t>
            </w:r>
          </w:p>
        </w:tc>
      </w:tr>
      <w:tr w:rsidR="0073293D">
        <w:trPr>
          <w:trHeight w:hRule="exact" w:val="255"/>
        </w:trPr>
        <w:tc>
          <w:tcPr>
            <w:tcW w:w="23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May 2018</w:t>
            </w:r>
          </w:p>
        </w:tc>
        <w:tc>
          <w:tcPr>
            <w:tcW w:w="175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2,121,554</w:t>
            </w:r>
          </w:p>
        </w:tc>
        <w:tc>
          <w:tcPr>
            <w:tcW w:w="138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23.18</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2,121,554</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22,305,860</w:t>
            </w:r>
          </w:p>
        </w:tc>
      </w:tr>
      <w:tr w:rsidR="0073293D">
        <w:trPr>
          <w:trHeight w:hRule="exact" w:val="255"/>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June 2018</w:t>
            </w:r>
          </w:p>
        </w:tc>
        <w:tc>
          <w:tcPr>
            <w:tcW w:w="175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2,631,552</w:t>
            </w:r>
          </w:p>
        </w:tc>
        <w:tc>
          <w:tcPr>
            <w:tcW w:w="138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23.88</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2,631,552</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19,674,308</w:t>
            </w:r>
          </w:p>
        </w:tc>
      </w:tr>
      <w:tr w:rsidR="0073293D">
        <w:trPr>
          <w:trHeight w:hRule="exact" w:val="255"/>
        </w:trPr>
        <w:tc>
          <w:tcPr>
            <w:tcW w:w="23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2nd Quarter 2018 Total</w:t>
            </w:r>
          </w:p>
        </w:tc>
        <w:tc>
          <w:tcPr>
            <w:tcW w:w="175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6,284,817</w:t>
            </w:r>
          </w:p>
        </w:tc>
        <w:tc>
          <w:tcPr>
            <w:tcW w:w="138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23.33</w:t>
            </w:r>
          </w:p>
        </w:tc>
        <w:tc>
          <w:tcPr>
            <w:tcW w:w="1995" w:type="dxa"/>
            <w:tcBorders>
              <w:top w:val="single" w:sz="8" w:space="0" w:color="000000"/>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6,284,817</w:t>
            </w:r>
          </w:p>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150"/>
        </w:trPr>
        <w:tc>
          <w:tcPr>
            <w:tcW w:w="237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75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38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55"/>
        </w:trPr>
        <w:tc>
          <w:tcPr>
            <w:tcW w:w="23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July 2018</w:t>
            </w:r>
          </w:p>
        </w:tc>
        <w:tc>
          <w:tcPr>
            <w:tcW w:w="175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sz w:val="20"/>
              </w:rPr>
              <w:t>2,079,020</w:t>
            </w:r>
          </w:p>
        </w:tc>
        <w:tc>
          <w:tcPr>
            <w:tcW w:w="138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22.47</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2,079,020</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17,595,288</w:t>
            </w:r>
          </w:p>
        </w:tc>
      </w:tr>
      <w:tr w:rsidR="0073293D">
        <w:trPr>
          <w:trHeight w:hRule="exact" w:val="255"/>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August 2018</w:t>
            </w:r>
          </w:p>
        </w:tc>
        <w:tc>
          <w:tcPr>
            <w:tcW w:w="175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sz w:val="20"/>
              </w:rPr>
              <w:t>3,303,809</w:t>
            </w:r>
          </w:p>
        </w:tc>
        <w:tc>
          <w:tcPr>
            <w:tcW w:w="138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23.59</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3,303,809</w:t>
            </w:r>
          </w:p>
        </w:tc>
        <w:tc>
          <w:tcPr>
            <w:tcW w:w="1995"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14,291,479</w:t>
            </w:r>
          </w:p>
        </w:tc>
      </w:tr>
      <w:tr w:rsidR="0073293D">
        <w:trPr>
          <w:trHeight w:hRule="exact" w:val="255"/>
        </w:trPr>
        <w:tc>
          <w:tcPr>
            <w:tcW w:w="2370"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September 2018</w:t>
            </w:r>
          </w:p>
        </w:tc>
        <w:tc>
          <w:tcPr>
            <w:tcW w:w="175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sz w:val="20"/>
              </w:rPr>
              <w:t>2,125,420</w:t>
            </w:r>
          </w:p>
        </w:tc>
        <w:tc>
          <w:tcPr>
            <w:tcW w:w="1380"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22.53</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2,125,420</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12,166,059</w:t>
            </w:r>
          </w:p>
        </w:tc>
      </w:tr>
      <w:tr w:rsidR="0073293D">
        <w:trPr>
          <w:trHeight w:hRule="exact" w:val="255"/>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3rd Quarter 2018 Total</w:t>
            </w:r>
          </w:p>
        </w:tc>
        <w:tc>
          <w:tcPr>
            <w:tcW w:w="1755" w:type="dxa"/>
            <w:tcBorders>
              <w:top w:val="single" w:sz="8" w:space="0" w:color="000000"/>
              <w:left w:val="nil"/>
              <w:bottom w:val="nil"/>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7,508,249</w:t>
            </w:r>
          </w:p>
        </w:tc>
        <w:tc>
          <w:tcPr>
            <w:tcW w:w="138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22.98</w:t>
            </w:r>
          </w:p>
        </w:tc>
        <w:tc>
          <w:tcPr>
            <w:tcW w:w="1995" w:type="dxa"/>
            <w:tcBorders>
              <w:top w:val="single" w:sz="8" w:space="0" w:color="000000"/>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7,508,249</w:t>
            </w:r>
          </w:p>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r>
      <w:tr w:rsidR="0073293D">
        <w:trPr>
          <w:trHeight w:hRule="exact" w:val="255"/>
        </w:trPr>
        <w:tc>
          <w:tcPr>
            <w:tcW w:w="237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75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380"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r>
      <w:tr w:rsidR="0073293D">
        <w:trPr>
          <w:trHeight w:hRule="exact" w:val="300"/>
        </w:trPr>
        <w:tc>
          <w:tcPr>
            <w:tcW w:w="237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color w:val="000000"/>
                <w:sz w:val="20"/>
              </w:rPr>
              <w:t>2018 Total</w:t>
            </w:r>
          </w:p>
        </w:tc>
        <w:tc>
          <w:tcPr>
            <w:tcW w:w="1755" w:type="dxa"/>
            <w:tcBorders>
              <w:top w:val="single" w:sz="8" w:space="0" w:color="000000"/>
              <w:left w:val="nil"/>
              <w:bottom w:val="double" w:sz="8" w:space="0" w:color="000000"/>
              <w:right w:val="nil"/>
            </w:tcBorders>
            <w:shd w:val="clear" w:color="auto" w:fill="auto"/>
            <w:tcMar>
              <w:top w:w="0" w:type="dxa"/>
              <w:left w:w="53" w:type="dxa"/>
              <w:bottom w:w="0" w:type="dxa"/>
              <w:right w:w="53" w:type="dxa"/>
            </w:tcMar>
            <w:vAlign w:val="bottom"/>
          </w:tcPr>
          <w:p w:rsidR="0073293D" w:rsidRDefault="00CC4FC6">
            <w:pPr>
              <w:jc w:val="right"/>
            </w:pPr>
            <w:r>
              <w:rPr>
                <w:rFonts w:ascii="Arial" w:eastAsia="Arial" w:hAnsi="Arial" w:cs="Arial"/>
                <w:color w:val="000000"/>
                <w:sz w:val="20"/>
              </w:rPr>
              <w:t>23,124,565</w:t>
            </w:r>
          </w:p>
        </w:tc>
        <w:tc>
          <w:tcPr>
            <w:tcW w:w="1380" w:type="dxa"/>
            <w:tcBorders>
              <w:top w:val="nil"/>
              <w:left w:val="nil"/>
              <w:bottom w:val="nil"/>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22.56</w:t>
            </w:r>
          </w:p>
        </w:tc>
        <w:tc>
          <w:tcPr>
            <w:tcW w:w="1995" w:type="dxa"/>
            <w:tcBorders>
              <w:top w:val="single" w:sz="8" w:space="0" w:color="000000"/>
              <w:left w:val="nil"/>
              <w:bottom w:val="double" w:sz="8" w:space="0" w:color="000000"/>
              <w:right w:val="nil"/>
            </w:tcBorders>
            <w:shd w:val="clear" w:color="auto" w:fill="auto"/>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23,124,565</w:t>
            </w:r>
          </w:p>
        </w:tc>
        <w:tc>
          <w:tcPr>
            <w:tcW w:w="1995" w:type="dxa"/>
            <w:tcBorders>
              <w:top w:val="nil"/>
              <w:left w:val="nil"/>
              <w:bottom w:val="nil"/>
              <w:right w:val="nil"/>
            </w:tcBorders>
            <w:shd w:val="clear" w:color="auto" w:fill="CCEEFF"/>
            <w:tcMar>
              <w:top w:w="0" w:type="dxa"/>
              <w:left w:w="53" w:type="dxa"/>
              <w:bottom w:w="0" w:type="dxa"/>
              <w:right w:w="15" w:type="dxa"/>
            </w:tcMar>
            <w:vAlign w:val="bottom"/>
          </w:tcPr>
          <w:p w:rsidR="0073293D" w:rsidRDefault="00CC4FC6">
            <w:pPr>
              <w:jc w:val="right"/>
            </w:pPr>
            <w:r>
              <w:rPr>
                <w:rFonts w:ascii="Arial" w:eastAsia="Arial" w:hAnsi="Arial" w:cs="Arial"/>
                <w:color w:val="000000"/>
                <w:sz w:val="20"/>
              </w:rPr>
              <w:t>12,166,059</w:t>
            </w:r>
          </w:p>
        </w:tc>
      </w:tr>
    </w:tbl>
    <w:p w:rsidR="0073293D" w:rsidRDefault="00CC4FC6">
      <w:pPr>
        <w:spacing w:before="120"/>
        <w:ind w:left="720"/>
      </w:pPr>
      <w:r>
        <w:rPr>
          <w:rFonts w:ascii="Arial" w:eastAsia="Arial" w:hAnsi="Arial" w:cs="Arial"/>
          <w:sz w:val="20"/>
        </w:rPr>
        <w:t>*See above and below for additional plan or program details.</w:t>
      </w:r>
    </w:p>
    <w:p w:rsidR="0073293D" w:rsidRDefault="00CC4FC6">
      <w:pPr>
        <w:spacing w:before="160"/>
        <w:ind w:left="720"/>
      </w:pPr>
      <w:r>
        <w:rPr>
          <w:rFonts w:ascii="Arial" w:eastAsia="Arial" w:hAnsi="Arial" w:cs="Arial"/>
          <w:sz w:val="20"/>
        </w:rPr>
        <w:t>As of September 30, 2018 the Company has repurchased 109,833,669 shares at a total cost of $1,472,333,946 under the plan or otherwise.  The following is a summary of quarterly share repurchase activity under the plan to date (adjusted for 2 for 1 stock splits each effected in the form of a 100% stock dividend issued effective May 6, 2005 and December 31, 2014, respectively):</w:t>
      </w:r>
    </w:p>
    <w:tbl>
      <w:tblPr>
        <w:tblW w:w="92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61"/>
        <w:gridCol w:w="2774"/>
        <w:gridCol w:w="112"/>
        <w:gridCol w:w="112"/>
        <w:gridCol w:w="1770"/>
      </w:tblGrid>
      <w:tr w:rsidR="0073293D">
        <w:trPr>
          <w:trHeight w:hRule="exact" w:val="900"/>
        </w:trPr>
        <w:tc>
          <w:tcPr>
            <w:tcW w:w="51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Quarter Ended</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Total Number of Shares Purchased All as Part of a Publicly Announced Plan(Post - Split)</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jc w:val="center"/>
            </w:pPr>
            <w:r>
              <w:rPr>
                <w:rFonts w:ascii="Arial" w:eastAsia="Arial" w:hAnsi="Arial" w:cs="Arial"/>
                <w:b/>
                <w:sz w:val="16"/>
              </w:rPr>
              <w:t>Cost of Shares </w:t>
            </w:r>
          </w:p>
          <w:p w:rsidR="0073293D" w:rsidRDefault="00CC4FC6">
            <w:pPr>
              <w:spacing w:after="10"/>
              <w:jc w:val="center"/>
            </w:pPr>
            <w:r>
              <w:rPr>
                <w:rFonts w:ascii="Arial" w:eastAsia="Arial" w:hAnsi="Arial" w:cs="Arial"/>
                <w:b/>
                <w:sz w:val="16"/>
              </w:rPr>
              <w:t>Purchased</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March 31, 2003</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1,660,000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8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10,246,810</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September 30, 2005</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2,992,118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25,214,573</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March 31, 2006</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5,607,096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47,145,310</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June 30, 2006</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14,402,162</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104,604,414</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September 30, 2006</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7,936,342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55,614,102</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December 31, 2006</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2,465,768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19,487,427</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March 31, 2007</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895,420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7,328,015</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March 31, 2008</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4,401,504</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34,619,490</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June 30, 2008</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2,407,120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19,043,775</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September 30, 2008</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5,038,306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39,689,410</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December 31, 2008</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4,250,506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17,907,128</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September 30, 2012</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3,943,658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33,716,725</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September 30, 2014</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703,130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9,999,957</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December 31, 2014</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1,094,350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20,010,925</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March 31, 2015</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1,406,595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25,049,145</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June 30, 2015</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1,427,469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25,058,050</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September 30, 2015</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2,051,013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32,793,258</w:t>
            </w:r>
          </w:p>
        </w:tc>
      </w:tr>
      <w:tr w:rsidR="0073293D">
        <w:trPr>
          <w:trHeight w:hRule="exact" w:val="270"/>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December 31, 2015</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1,765,496</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28,328,372</w:t>
            </w:r>
          </w:p>
        </w:tc>
      </w:tr>
      <w:tr w:rsidR="0073293D">
        <w:trPr>
          <w:trHeight w:hRule="exact" w:val="270"/>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March 31, 2016</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3,124,053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44,585,668</w:t>
            </w:r>
          </w:p>
        </w:tc>
      </w:tr>
      <w:tr w:rsidR="0073293D">
        <w:trPr>
          <w:trHeight w:hRule="exact" w:val="255"/>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June 30, 2016</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3,080,993</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47,689,204</w:t>
            </w:r>
          </w:p>
        </w:tc>
      </w:tr>
      <w:tr w:rsidR="0073293D">
        <w:trPr>
          <w:trHeight w:hRule="exact" w:val="255"/>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September 30, 2016</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1,836,312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30,466,752</w:t>
            </w:r>
          </w:p>
        </w:tc>
      </w:tr>
      <w:tr w:rsidR="0073293D">
        <w:trPr>
          <w:trHeight w:hRule="exact" w:val="255"/>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December 31, 2016</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2,264,769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40,622,598</w:t>
            </w:r>
          </w:p>
        </w:tc>
      </w:tr>
      <w:tr w:rsidR="0073293D">
        <w:trPr>
          <w:trHeight w:hRule="exact" w:val="255"/>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March 31, 2017</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1,473,403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30,986,386</w:t>
            </w:r>
          </w:p>
        </w:tc>
      </w:tr>
      <w:tr w:rsidR="0073293D">
        <w:trPr>
          <w:trHeight w:hRule="exact" w:val="255"/>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June 30, 2017</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2,181,875</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42,570,501</w:t>
            </w:r>
          </w:p>
        </w:tc>
      </w:tr>
      <w:tr w:rsidR="0073293D">
        <w:trPr>
          <w:trHeight w:hRule="exact" w:val="255"/>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September 30, 2017</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3,213,146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56,270,779</w:t>
            </w:r>
          </w:p>
        </w:tc>
      </w:tr>
      <w:tr w:rsidR="0073293D">
        <w:trPr>
          <w:trHeight w:hRule="exact" w:val="255"/>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December 31, 2017</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5,086,500</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101,535,549</w:t>
            </w:r>
          </w:p>
        </w:tc>
      </w:tr>
      <w:tr w:rsidR="0073293D">
        <w:trPr>
          <w:trHeight w:hRule="exact" w:val="255"/>
        </w:trPr>
        <w:tc>
          <w:tcPr>
            <w:tcW w:w="517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March 31, 2018</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9,331,499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202,572,393</w:t>
            </w:r>
          </w:p>
        </w:tc>
      </w:tr>
      <w:tr w:rsidR="0073293D">
        <w:trPr>
          <w:trHeight w:hRule="exact" w:val="255"/>
        </w:trPr>
        <w:tc>
          <w:tcPr>
            <w:tcW w:w="517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20" w:after="20"/>
            </w:pPr>
            <w:r>
              <w:rPr>
                <w:rFonts w:ascii="Arial" w:eastAsia="Arial" w:hAnsi="Arial" w:cs="Arial"/>
                <w:color w:val="000000"/>
                <w:sz w:val="20"/>
              </w:rPr>
              <w:t>June 30, 2018</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1995" w:type="dxa"/>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6,284,817</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gridSpan w:val="2"/>
            <w:tcBorders>
              <w:top w:val="nil"/>
              <w:left w:val="nil"/>
              <w:bottom w:val="nil"/>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146,633,527</w:t>
            </w:r>
          </w:p>
        </w:tc>
      </w:tr>
      <w:tr w:rsidR="0073293D">
        <w:trPr>
          <w:trHeight w:hRule="exact" w:val="255"/>
        </w:trPr>
        <w:tc>
          <w:tcPr>
            <w:tcW w:w="51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September 30, 2018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73293D" w:rsidRDefault="0073293D"/>
        </w:tc>
        <w:tc>
          <w:tcPr>
            <w:tcW w:w="1995" w:type="dxa"/>
            <w:tcBorders>
              <w:top w:val="nil"/>
              <w:left w:val="nil"/>
              <w:bottom w:val="nil"/>
              <w:right w:val="nil"/>
            </w:tcBorders>
            <w:shd w:val="clear" w:color="auto" w:fill="CCEEFF"/>
            <w:tcMar>
              <w:top w:w="0" w:type="dxa"/>
              <w:left w:w="0" w:type="dxa"/>
              <w:bottom w:w="0" w:type="dxa"/>
              <w:right w:w="0" w:type="dxa"/>
            </w:tcMar>
            <w:vAlign w:val="bottom"/>
          </w:tcPr>
          <w:p w:rsidR="0073293D" w:rsidRDefault="00CC4FC6">
            <w:pPr>
              <w:jc w:val="right"/>
            </w:pPr>
            <w:r>
              <w:rPr>
                <w:rFonts w:ascii="Arial" w:eastAsia="Arial" w:hAnsi="Arial" w:cs="Arial"/>
                <w:sz w:val="20"/>
              </w:rPr>
              <w:t>7,508,249</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rsidR="0073293D" w:rsidRDefault="0073293D">
            <w:pPr>
              <w:spacing w:before="20" w:after="20"/>
            </w:pPr>
          </w:p>
        </w:tc>
        <w:tc>
          <w:tcPr>
            <w:tcW w:w="1995" w:type="dxa"/>
            <w:gridSpan w:val="2"/>
            <w:tcBorders>
              <w:top w:val="nil"/>
              <w:left w:val="nil"/>
              <w:bottom w:val="nil"/>
              <w:right w:val="nil"/>
            </w:tcBorders>
            <w:shd w:val="clear" w:color="auto" w:fill="CCEEFF"/>
            <w:tcMar>
              <w:top w:w="0" w:type="dxa"/>
              <w:left w:w="53" w:type="dxa"/>
              <w:bottom w:w="0" w:type="dxa"/>
              <w:right w:w="53" w:type="dxa"/>
            </w:tcMar>
            <w:vAlign w:val="bottom"/>
          </w:tcPr>
          <w:p w:rsidR="0073293D" w:rsidRDefault="00CC4FC6">
            <w:pPr>
              <w:jc w:val="right"/>
            </w:pPr>
            <w:r>
              <w:rPr>
                <w:rFonts w:ascii="Arial" w:eastAsia="Arial" w:hAnsi="Arial" w:cs="Arial"/>
                <w:sz w:val="20"/>
              </w:rPr>
              <w:t>172,543,703</w:t>
            </w:r>
          </w:p>
        </w:tc>
      </w:tr>
      <w:tr w:rsidR="0073293D">
        <w:trPr>
          <w:trHeight w:hRule="exact" w:val="255"/>
        </w:trPr>
        <w:tc>
          <w:tcPr>
            <w:tcW w:w="51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20" w:after="20"/>
            </w:pPr>
            <w:r>
              <w:rPr>
                <w:rFonts w:ascii="Arial" w:eastAsia="Arial" w:hAnsi="Arial" w:cs="Arial"/>
                <w:sz w:val="20"/>
              </w:rPr>
              <w:t>Totals</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99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109,833,669</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100"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r>
              <w:rPr>
                <w:rFonts w:ascii="Arial" w:eastAsia="Arial" w:hAnsi="Arial" w:cs="Arial"/>
                <w:color w:val="000000"/>
                <w:sz w:val="20"/>
              </w:rPr>
              <w:t>$</w:t>
            </w:r>
          </w:p>
        </w:tc>
        <w:tc>
          <w:tcPr>
            <w:tcW w:w="1895" w:type="dxa"/>
            <w:tcBorders>
              <w:top w:val="single" w:sz="8" w:space="0" w:color="000000"/>
              <w:left w:val="nil"/>
              <w:bottom w:val="double" w:sz="8" w:space="0" w:color="000000"/>
              <w:right w:val="nil"/>
            </w:tcBorders>
            <w:shd w:val="clear" w:color="auto" w:fill="auto"/>
            <w:tcMar>
              <w:top w:w="0" w:type="dxa"/>
              <w:left w:w="0" w:type="dxa"/>
              <w:bottom w:w="0" w:type="dxa"/>
              <w:right w:w="0" w:type="dxa"/>
            </w:tcMar>
            <w:vAlign w:val="bottom"/>
          </w:tcPr>
          <w:p w:rsidR="0073293D" w:rsidRDefault="00CC4FC6">
            <w:pPr>
              <w:jc w:val="right"/>
            </w:pPr>
            <w:r>
              <w:rPr>
                <w:rFonts w:ascii="Arial" w:eastAsia="Arial" w:hAnsi="Arial" w:cs="Arial"/>
                <w:color w:val="000000"/>
                <w:sz w:val="20"/>
              </w:rPr>
              <w:t>1,472,333,946</w:t>
            </w:r>
          </w:p>
        </w:tc>
      </w:tr>
    </w:tbl>
    <w:p w:rsidR="0073293D" w:rsidRDefault="0073293D">
      <w:pPr>
        <w:spacing w:before="120"/>
      </w:pPr>
    </w:p>
    <w:p w:rsidR="0073293D" w:rsidRDefault="0073293D">
      <w:pPr>
        <w:spacing w:before="120"/>
        <w:sectPr w:rsidR="0073293D">
          <w:type w:val="continuous"/>
          <w:pgSz w:w="12240" w:h="15840"/>
          <w:pgMar w:top="900" w:right="990" w:bottom="900" w:left="990" w:header="270" w:footer="270" w:gutter="0"/>
          <w:cols w:space="720"/>
        </w:sectPr>
      </w:pPr>
    </w:p>
    <w:p w:rsidR="0073293D" w:rsidRDefault="0073293D">
      <w:pPr>
        <w:ind w:left="1440" w:hanging="1440"/>
      </w:pPr>
      <w:bookmarkStart w:id="35" w:name="Section35"/>
      <w:bookmarkEnd w:id="35"/>
    </w:p>
    <w:p w:rsidR="0073293D" w:rsidRDefault="0073293D">
      <w:pPr>
        <w:ind w:left="1440" w:hanging="1440"/>
      </w:pPr>
    </w:p>
    <w:p w:rsidR="0073293D" w:rsidRDefault="00CC4FC6">
      <w:pPr>
        <w:ind w:left="1440" w:hanging="1440"/>
      </w:pPr>
      <w:r>
        <w:rPr>
          <w:rFonts w:ascii="Arial" w:eastAsia="Arial" w:hAnsi="Arial" w:cs="Arial"/>
          <w:b/>
          <w:sz w:val="20"/>
        </w:rPr>
        <w:t>Item 6.</w:t>
      </w:r>
      <w:r>
        <w:rPr>
          <w:rFonts w:ascii="Arial" w:eastAsia="Arial" w:hAnsi="Arial" w:cs="Arial"/>
          <w:b/>
          <w:sz w:val="20"/>
        </w:rPr>
        <w:tab/>
        <w:t>Exhibits.</w:t>
      </w:r>
    </w:p>
    <w:p w:rsidR="0073293D" w:rsidRDefault="0073293D"/>
    <w:tbl>
      <w:tblPr>
        <w:tblW w:w="3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tblGrid>
      <w:tr w:rsidR="0073293D">
        <w:trPr>
          <w:trHeight w:hRule="exact" w:val="300"/>
        </w:trPr>
        <w:tc>
          <w:tcPr>
            <w:tcW w:w="390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rPr>
                <w:sz w:val="20"/>
              </w:rPr>
            </w:pPr>
            <w:r>
              <w:rPr>
                <w:rFonts w:ascii="Arial" w:eastAsia="Arial" w:hAnsi="Arial" w:cs="Arial"/>
                <w:sz w:val="20"/>
              </w:rPr>
              <w:t xml:space="preserve">See Exhibit Index on Page </w:t>
            </w:r>
            <w:hyperlink w:anchor="Section37" w:history="1">
              <w:r>
                <w:rPr>
                  <w:rFonts w:ascii="Arial" w:eastAsia="Arial" w:hAnsi="Arial" w:cs="Arial"/>
                  <w:color w:val="0000FF"/>
                  <w:sz w:val="20"/>
                  <w:u w:val="single"/>
                </w:rPr>
                <w:t>#SectionPage#</w:t>
              </w:r>
            </w:hyperlink>
          </w:p>
        </w:tc>
      </w:tr>
    </w:tbl>
    <w:p w:rsidR="0073293D" w:rsidRDefault="0073293D">
      <w:pPr>
        <w:spacing w:before="120"/>
      </w:pPr>
    </w:p>
    <w:p w:rsidR="0073293D" w:rsidRDefault="0073293D">
      <w:pPr>
        <w:spacing w:before="120"/>
        <w:sectPr w:rsidR="0073293D">
          <w:type w:val="continuous"/>
          <w:pgSz w:w="12240" w:h="15840"/>
          <w:pgMar w:top="900" w:right="990" w:bottom="900" w:left="990" w:header="270" w:footer="270" w:gutter="0"/>
          <w:cols w:space="720"/>
        </w:sectPr>
      </w:pPr>
    </w:p>
    <w:p w:rsidR="0073293D" w:rsidRDefault="00CC4FC6">
      <w:pPr>
        <w:jc w:val="both"/>
      </w:pPr>
      <w:bookmarkStart w:id="36" w:name="Section36"/>
      <w:bookmarkEnd w:id="36"/>
      <w:r>
        <w:rPr>
          <w:rFonts w:ascii="Arial" w:eastAsia="Arial" w:hAnsi="Arial" w:cs="Arial"/>
          <w:b/>
          <w:sz w:val="20"/>
        </w:rPr>
        <w:t>SIGNATURES</w:t>
      </w:r>
    </w:p>
    <w:p w:rsidR="0073293D" w:rsidRDefault="00CC4FC6">
      <w:pPr>
        <w:spacing w:before="180"/>
      </w:pPr>
      <w:r>
        <w:rPr>
          <w:rFonts w:ascii="Arial" w:eastAsia="Arial" w:hAnsi="Arial" w:cs="Arial"/>
          <w:sz w:val="20"/>
        </w:rPr>
        <w:t>Pursuant to the requirements of the Securities Exchange Act of 1934, the registrant has duly caused this report to be signed on its behalf by the undersigned thereunto duly authorized.</w:t>
      </w:r>
    </w:p>
    <w:p w:rsidR="0073293D" w:rsidRDefault="00CC4FC6">
      <w:r>
        <w:rPr>
          <w:rFonts w:ascii="Arial" w:eastAsia="Arial" w:hAnsi="Arial" w:cs="Arial"/>
          <w:sz w:val="28"/>
        </w:rPr>
        <w:t>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464"/>
        <w:gridCol w:w="74"/>
        <w:gridCol w:w="6101"/>
      </w:tblGrid>
      <w:tr w:rsidR="0073293D">
        <w:trPr>
          <w:trHeight w:hRule="exact" w:val="270"/>
        </w:trPr>
        <w:tc>
          <w:tcPr>
            <w:tcW w:w="600"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61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GENTEX CORPORATION</w:t>
            </w:r>
          </w:p>
        </w:tc>
      </w:tr>
      <w:tr w:rsidR="0073293D">
        <w:trPr>
          <w:trHeight w:hRule="exact" w:val="75"/>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210" w:type="dxa"/>
            <w:gridSpan w:val="2"/>
            <w:vMerge w:val="restart"/>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75"/>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210" w:type="dxa"/>
            <w:gridSpan w:val="2"/>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300"/>
        </w:trPr>
        <w:tc>
          <w:tcPr>
            <w:tcW w:w="60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Date:</w:t>
            </w:r>
          </w:p>
        </w:tc>
        <w:tc>
          <w:tcPr>
            <w:tcW w:w="24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November 2, 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61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 Steven R. Downing</w:t>
            </w:r>
          </w:p>
        </w:tc>
      </w:tr>
      <w:tr w:rsidR="0073293D">
        <w:trPr>
          <w:trHeight w:hRule="exact" w:val="270"/>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135" w:type="dxa"/>
            <w:tcBorders>
              <w:top w:val="single" w:sz="8" w:space="0" w:color="000000"/>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Steven R. Downing</w:t>
            </w:r>
          </w:p>
        </w:tc>
      </w:tr>
      <w:tr w:rsidR="0073293D">
        <w:trPr>
          <w:trHeight w:hRule="exact" w:val="300"/>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1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President and Chief Executive Officer</w:t>
            </w:r>
          </w:p>
        </w:tc>
      </w:tr>
      <w:tr w:rsidR="0073293D">
        <w:trPr>
          <w:trHeight w:hRule="exact" w:val="300"/>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1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(Principal Executive Officer) on behalf of Gentex Corporation</w:t>
            </w:r>
          </w:p>
        </w:tc>
      </w:tr>
      <w:tr w:rsidR="0073293D">
        <w:trPr>
          <w:trHeight w:hRule="exact" w:val="135"/>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135" w:type="dxa"/>
            <w:tcBorders>
              <w:top w:val="nil"/>
              <w:left w:val="nil"/>
              <w:bottom w:val="nil"/>
              <w:right w:val="nil"/>
            </w:tcBorders>
            <w:shd w:val="clear" w:color="auto" w:fill="auto"/>
            <w:tcMar>
              <w:top w:w="0" w:type="dxa"/>
              <w:left w:w="0" w:type="dxa"/>
              <w:bottom w:w="0" w:type="dxa"/>
              <w:right w:w="0" w:type="dxa"/>
            </w:tcMar>
          </w:tcPr>
          <w:p w:rsidR="0073293D" w:rsidRDefault="0073293D"/>
        </w:tc>
      </w:tr>
      <w:tr w:rsidR="0073293D">
        <w:trPr>
          <w:trHeight w:hRule="exact" w:val="300"/>
        </w:trPr>
        <w:tc>
          <w:tcPr>
            <w:tcW w:w="60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Date:</w:t>
            </w:r>
          </w:p>
        </w:tc>
        <w:tc>
          <w:tcPr>
            <w:tcW w:w="247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spacing w:before="55" w:after="10"/>
            </w:pPr>
            <w:r>
              <w:rPr>
                <w:rFonts w:ascii="Arial" w:eastAsia="Arial" w:hAnsi="Arial" w:cs="Arial"/>
                <w:sz w:val="20"/>
              </w:rPr>
              <w:t>November 2, 2018</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61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/s/ Kevin C. Nash</w:t>
            </w:r>
          </w:p>
        </w:tc>
      </w:tr>
      <w:tr w:rsidR="0073293D">
        <w:trPr>
          <w:trHeight w:hRule="exact" w:val="300"/>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135" w:type="dxa"/>
            <w:tcBorders>
              <w:top w:val="single" w:sz="8" w:space="0" w:color="000000"/>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Kevin C. Nash</w:t>
            </w:r>
          </w:p>
        </w:tc>
      </w:tr>
      <w:tr w:rsidR="0073293D">
        <w:trPr>
          <w:trHeight w:hRule="exact" w:val="300"/>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1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Vice President, Finance, Chief Financial Officer and Treasurer</w:t>
            </w:r>
          </w:p>
        </w:tc>
      </w:tr>
      <w:tr w:rsidR="0073293D">
        <w:trPr>
          <w:trHeight w:hRule="exact" w:val="450"/>
        </w:trPr>
        <w:tc>
          <w:tcPr>
            <w:tcW w:w="600"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24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613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pPr>
            <w:r>
              <w:rPr>
                <w:rFonts w:ascii="Arial" w:eastAsia="Arial" w:hAnsi="Arial" w:cs="Arial"/>
                <w:color w:val="000000"/>
                <w:sz w:val="20"/>
              </w:rPr>
              <w:t>(Principal Financial Officer and Principal Accounting Officer) on behalf of Gentex Corporation</w:t>
            </w:r>
          </w:p>
        </w:tc>
      </w:tr>
    </w:tbl>
    <w:p w:rsidR="0073293D" w:rsidRDefault="0073293D">
      <w:pPr>
        <w:spacing w:before="120"/>
        <w:jc w:val="center"/>
      </w:pPr>
    </w:p>
    <w:p w:rsidR="0073293D" w:rsidRDefault="0073293D">
      <w:pPr>
        <w:spacing w:before="120"/>
        <w:jc w:val="center"/>
        <w:sectPr w:rsidR="0073293D">
          <w:pgSz w:w="12240" w:h="15840"/>
          <w:pgMar w:top="900" w:right="990" w:bottom="900" w:left="990" w:header="270" w:footer="270" w:gutter="0"/>
          <w:cols w:space="720"/>
        </w:sectPr>
      </w:pPr>
    </w:p>
    <w:p w:rsidR="0073293D" w:rsidRDefault="00CC4FC6">
      <w:pPr>
        <w:jc w:val="center"/>
      </w:pPr>
      <w:bookmarkStart w:id="37" w:name="Section37"/>
      <w:bookmarkEnd w:id="37"/>
      <w:r>
        <w:rPr>
          <w:rFonts w:ascii="Arial" w:eastAsia="Arial" w:hAnsi="Arial" w:cs="Arial"/>
          <w:b/>
          <w:sz w:val="20"/>
        </w:rPr>
        <w:t>EXHIBIT INDEX</w:t>
      </w:r>
    </w:p>
    <w:p w:rsidR="0073293D" w:rsidRDefault="00CC4FC6">
      <w:r>
        <w:rPr>
          <w:rFonts w:ascii="Arial" w:eastAsia="Arial" w:hAnsi="Arial" w:cs="Arial"/>
          <w:sz w:val="18"/>
        </w:rPr>
        <w:t> </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75"/>
        <w:gridCol w:w="9031"/>
      </w:tblGrid>
      <w:tr w:rsidR="0073293D">
        <w:trPr>
          <w:trHeight w:hRule="exact" w:val="255"/>
        </w:trPr>
        <w:tc>
          <w:tcPr>
            <w:tcW w:w="1095"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pPr>
            <w:r>
              <w:rPr>
                <w:rFonts w:ascii="Arial" w:eastAsia="Arial" w:hAnsi="Arial" w:cs="Arial"/>
                <w:b/>
                <w:color w:val="000000"/>
                <w:sz w:val="16"/>
              </w:rPr>
              <w:t>Exhibit No.</w:t>
            </w:r>
          </w:p>
        </w:tc>
        <w:tc>
          <w:tcPr>
            <w:tcW w:w="75" w:type="dxa"/>
            <w:tcBorders>
              <w:top w:val="nil"/>
              <w:left w:val="nil"/>
              <w:bottom w:val="nil"/>
              <w:right w:val="nil"/>
            </w:tcBorders>
            <w:shd w:val="clear" w:color="auto" w:fill="auto"/>
            <w:tcMar>
              <w:top w:w="0" w:type="dxa"/>
              <w:left w:w="0" w:type="dxa"/>
              <w:bottom w:w="0" w:type="dxa"/>
              <w:right w:w="0" w:type="dxa"/>
            </w:tcMar>
            <w:vAlign w:val="bottom"/>
          </w:tcPr>
          <w:p w:rsidR="0073293D" w:rsidRDefault="0073293D"/>
        </w:tc>
        <w:tc>
          <w:tcPr>
            <w:tcW w:w="9060" w:type="dxa"/>
            <w:tcBorders>
              <w:top w:val="nil"/>
              <w:left w:val="nil"/>
              <w:bottom w:val="nil"/>
              <w:right w:val="nil"/>
            </w:tcBorders>
            <w:shd w:val="clear" w:color="auto" w:fill="auto"/>
            <w:tcMar>
              <w:top w:w="0" w:type="dxa"/>
              <w:left w:w="53" w:type="dxa"/>
              <w:bottom w:w="0" w:type="dxa"/>
              <w:right w:w="53" w:type="dxa"/>
            </w:tcMar>
            <w:vAlign w:val="bottom"/>
          </w:tcPr>
          <w:p w:rsidR="0073293D" w:rsidRDefault="00CC4FC6">
            <w:pPr>
              <w:widowControl w:val="0"/>
              <w:spacing w:before="55" w:after="10"/>
              <w:jc w:val="center"/>
            </w:pPr>
            <w:r>
              <w:rPr>
                <w:rFonts w:ascii="Arial" w:eastAsia="Arial" w:hAnsi="Arial" w:cs="Arial"/>
                <w:b/>
                <w:color w:val="000000"/>
                <w:sz w:val="16"/>
              </w:rPr>
              <w:t>Description</w:t>
            </w:r>
          </w:p>
        </w:tc>
      </w:tr>
      <w:tr w:rsidR="0073293D">
        <w:trPr>
          <w:trHeight w:hRule="exact" w:val="480"/>
        </w:trPr>
        <w:tc>
          <w:tcPr>
            <w:tcW w:w="109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pPr>
            <w:r>
              <w:rPr>
                <w:rFonts w:ascii="Arial" w:eastAsia="Arial" w:hAnsi="Arial" w:cs="Arial"/>
                <w:color w:val="000000"/>
                <w:sz w:val="20"/>
              </w:rPr>
              <w:t>31.1</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tc>
        <w:tc>
          <w:tcPr>
            <w:tcW w:w="9060" w:type="dxa"/>
            <w:tcBorders>
              <w:top w:val="nil"/>
              <w:left w:val="nil"/>
              <w:bottom w:val="nil"/>
              <w:right w:val="nil"/>
            </w:tcBorders>
            <w:shd w:val="clear" w:color="auto" w:fill="auto"/>
            <w:tcMar>
              <w:top w:w="0" w:type="dxa"/>
              <w:left w:w="53" w:type="dxa"/>
              <w:bottom w:w="0" w:type="dxa"/>
              <w:right w:w="53" w:type="dxa"/>
            </w:tcMar>
          </w:tcPr>
          <w:p w:rsidR="0073293D" w:rsidRDefault="00C7629A">
            <w:pPr>
              <w:spacing w:before="55" w:after="10"/>
              <w:rPr>
                <w:sz w:val="20"/>
              </w:rPr>
            </w:pPr>
            <w:hyperlink r:id="rId17" w:history="1">
              <w:r w:rsidR="00CC4FC6">
                <w:rPr>
                  <w:rFonts w:ascii="Arial" w:eastAsia="Arial" w:hAnsi="Arial" w:cs="Arial"/>
                  <w:color w:val="0000FF"/>
                  <w:sz w:val="20"/>
                  <w:u w:val="single"/>
                </w:rPr>
                <w:t>Certificate of the Chief Executive Officer of Gentex Corporation pursuant to Section 302 of the Sarbanes-Oxley Act of 2002 (18 U.S.C. 1350).</w:t>
              </w:r>
            </w:hyperlink>
          </w:p>
        </w:tc>
      </w:tr>
      <w:tr w:rsidR="0073293D">
        <w:trPr>
          <w:trHeight w:hRule="exact" w:val="495"/>
        </w:trPr>
        <w:tc>
          <w:tcPr>
            <w:tcW w:w="1095" w:type="dxa"/>
            <w:tcBorders>
              <w:top w:val="nil"/>
              <w:left w:val="nil"/>
              <w:bottom w:val="nil"/>
              <w:right w:val="nil"/>
            </w:tcBorders>
            <w:shd w:val="clear" w:color="auto" w:fill="CCEEFF"/>
            <w:tcMar>
              <w:top w:w="0" w:type="dxa"/>
              <w:left w:w="53" w:type="dxa"/>
              <w:bottom w:w="0" w:type="dxa"/>
              <w:right w:w="53" w:type="dxa"/>
            </w:tcMar>
          </w:tcPr>
          <w:p w:rsidR="0073293D" w:rsidRDefault="00CC4FC6">
            <w:pPr>
              <w:spacing w:before="55" w:after="10"/>
              <w:rPr>
                <w:sz w:val="20"/>
              </w:rPr>
            </w:pPr>
            <w:r>
              <w:rPr>
                <w:rFonts w:ascii="Arial" w:eastAsia="Arial" w:hAnsi="Arial" w:cs="Arial"/>
                <w:color w:val="000000"/>
                <w:sz w:val="20"/>
              </w:rPr>
              <w:t>31.2</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CCEEFF"/>
            <w:tcMar>
              <w:top w:w="0" w:type="dxa"/>
              <w:left w:w="53" w:type="dxa"/>
              <w:bottom w:w="0" w:type="dxa"/>
              <w:right w:w="53" w:type="dxa"/>
            </w:tcMar>
          </w:tcPr>
          <w:p w:rsidR="0073293D" w:rsidRDefault="00C7629A">
            <w:pPr>
              <w:spacing w:before="55" w:after="10"/>
              <w:rPr>
                <w:sz w:val="20"/>
              </w:rPr>
            </w:pPr>
            <w:hyperlink r:id="rId18" w:history="1">
              <w:r w:rsidR="00CC4FC6">
                <w:rPr>
                  <w:rFonts w:ascii="Arial" w:eastAsia="Arial" w:hAnsi="Arial" w:cs="Arial"/>
                  <w:color w:val="0000FF"/>
                  <w:sz w:val="20"/>
                  <w:u w:val="single"/>
                </w:rPr>
                <w:t>Certificate of the Chief Financial Officer of Gentex Corporation pursuant to Section 302 of the Sarbanes-Oxley Act of 2002 (18 U.S.C. 1350).</w:t>
              </w:r>
            </w:hyperlink>
          </w:p>
        </w:tc>
      </w:tr>
      <w:tr w:rsidR="0073293D">
        <w:trPr>
          <w:trHeight w:hRule="exact" w:val="495"/>
        </w:trPr>
        <w:tc>
          <w:tcPr>
            <w:tcW w:w="1095" w:type="dxa"/>
            <w:tcBorders>
              <w:top w:val="nil"/>
              <w:left w:val="nil"/>
              <w:bottom w:val="nil"/>
              <w:right w:val="nil"/>
            </w:tcBorders>
            <w:shd w:val="clear" w:color="auto" w:fill="auto"/>
            <w:tcMar>
              <w:top w:w="0" w:type="dxa"/>
              <w:left w:w="53" w:type="dxa"/>
              <w:bottom w:w="0" w:type="dxa"/>
              <w:right w:w="53" w:type="dxa"/>
            </w:tcMar>
          </w:tcPr>
          <w:p w:rsidR="0073293D" w:rsidRDefault="00CC4FC6">
            <w:pPr>
              <w:spacing w:before="55" w:after="10"/>
              <w:rPr>
                <w:sz w:val="20"/>
              </w:rPr>
            </w:pPr>
            <w:r>
              <w:rPr>
                <w:rFonts w:ascii="Arial" w:eastAsia="Arial" w:hAnsi="Arial" w:cs="Arial"/>
                <w:color w:val="000000"/>
                <w:sz w:val="20"/>
              </w:rPr>
              <w:t>32</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auto"/>
            <w:tcMar>
              <w:top w:w="0" w:type="dxa"/>
              <w:left w:w="53" w:type="dxa"/>
              <w:bottom w:w="0" w:type="dxa"/>
              <w:right w:w="53" w:type="dxa"/>
            </w:tcMar>
          </w:tcPr>
          <w:p w:rsidR="0073293D" w:rsidRDefault="00C7629A">
            <w:pPr>
              <w:spacing w:before="55" w:after="10"/>
              <w:rPr>
                <w:sz w:val="20"/>
              </w:rPr>
            </w:pPr>
            <w:hyperlink r:id="rId19" w:history="1">
              <w:r w:rsidR="00CC4FC6">
                <w:rPr>
                  <w:rFonts w:ascii="Arial" w:eastAsia="Arial" w:hAnsi="Arial" w:cs="Arial"/>
                  <w:color w:val="0000FF"/>
                  <w:sz w:val="20"/>
                  <w:u w:val="single"/>
                </w:rPr>
                <w:t>Certificate of the Chief Executive Officer and Chief Financial Officer of Gentex Corporation pursuant to Section 906 of the Sarbanes-Oxley Act of 2002 (18 U.S.C. 1350).</w:t>
              </w:r>
            </w:hyperlink>
          </w:p>
        </w:tc>
      </w:tr>
      <w:tr w:rsidR="0073293D">
        <w:trPr>
          <w:trHeight w:hRule="exact" w:val="495"/>
        </w:trPr>
        <w:tc>
          <w:tcPr>
            <w:tcW w:w="109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101.INS</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XBRL Instance Document - the instance document does not appear in the Interactive Data File because its XBRL tags are embedded within the Inline XBRL document</w:t>
            </w:r>
          </w:p>
        </w:tc>
      </w:tr>
      <w:tr w:rsidR="0073293D">
        <w:trPr>
          <w:trHeight w:hRule="exact" w:val="300"/>
        </w:trPr>
        <w:tc>
          <w:tcPr>
            <w:tcW w:w="109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101.SCH</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XBRL Taxonomy Extension Schema</w:t>
            </w:r>
          </w:p>
        </w:tc>
      </w:tr>
      <w:tr w:rsidR="0073293D">
        <w:trPr>
          <w:trHeight w:hRule="exact" w:val="300"/>
        </w:trPr>
        <w:tc>
          <w:tcPr>
            <w:tcW w:w="109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101.CAL</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XBRL Taxonomy Extension Calculation Linkbase</w:t>
            </w:r>
          </w:p>
        </w:tc>
      </w:tr>
      <w:tr w:rsidR="0073293D">
        <w:trPr>
          <w:trHeight w:hRule="exact" w:val="300"/>
        </w:trPr>
        <w:tc>
          <w:tcPr>
            <w:tcW w:w="109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101.DEF</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XBRL Taxonomy Extension Definition Linkbase</w:t>
            </w:r>
          </w:p>
        </w:tc>
      </w:tr>
      <w:tr w:rsidR="0073293D">
        <w:trPr>
          <w:trHeight w:hRule="exact" w:val="300"/>
        </w:trPr>
        <w:tc>
          <w:tcPr>
            <w:tcW w:w="1095"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101.LAB</w:t>
            </w:r>
          </w:p>
        </w:tc>
        <w:tc>
          <w:tcPr>
            <w:tcW w:w="75" w:type="dxa"/>
            <w:tcBorders>
              <w:top w:val="nil"/>
              <w:left w:val="nil"/>
              <w:bottom w:val="nil"/>
              <w:right w:val="nil"/>
            </w:tcBorders>
            <w:shd w:val="clear" w:color="auto" w:fill="CCEEFF"/>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CCEEFF"/>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XBRL Taxonomy Extension Label Linkbase</w:t>
            </w:r>
          </w:p>
        </w:tc>
      </w:tr>
      <w:tr w:rsidR="0073293D">
        <w:trPr>
          <w:trHeight w:hRule="exact" w:val="300"/>
        </w:trPr>
        <w:tc>
          <w:tcPr>
            <w:tcW w:w="1095"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101.PRE</w:t>
            </w:r>
          </w:p>
        </w:tc>
        <w:tc>
          <w:tcPr>
            <w:tcW w:w="75" w:type="dxa"/>
            <w:tcBorders>
              <w:top w:val="nil"/>
              <w:left w:val="nil"/>
              <w:bottom w:val="nil"/>
              <w:right w:val="nil"/>
            </w:tcBorders>
            <w:shd w:val="clear" w:color="auto" w:fill="auto"/>
            <w:tcMar>
              <w:top w:w="0" w:type="dxa"/>
              <w:left w:w="0" w:type="dxa"/>
              <w:bottom w:w="0" w:type="dxa"/>
              <w:right w:w="0" w:type="dxa"/>
            </w:tcMar>
          </w:tcPr>
          <w:p w:rsidR="0073293D" w:rsidRDefault="0073293D">
            <w:pPr>
              <w:rPr>
                <w:sz w:val="20"/>
              </w:rPr>
            </w:pPr>
          </w:p>
        </w:tc>
        <w:tc>
          <w:tcPr>
            <w:tcW w:w="9060" w:type="dxa"/>
            <w:tcBorders>
              <w:top w:val="nil"/>
              <w:left w:val="nil"/>
              <w:bottom w:val="nil"/>
              <w:right w:val="nil"/>
            </w:tcBorders>
            <w:shd w:val="clear" w:color="auto" w:fill="auto"/>
            <w:tcMar>
              <w:top w:w="0" w:type="dxa"/>
              <w:left w:w="53" w:type="dxa"/>
              <w:bottom w:w="0" w:type="dxa"/>
              <w:right w:w="53" w:type="dxa"/>
            </w:tcMar>
          </w:tcPr>
          <w:p w:rsidR="0073293D" w:rsidRDefault="00CC4FC6">
            <w:pPr>
              <w:widowControl w:val="0"/>
              <w:spacing w:before="55" w:after="10"/>
              <w:rPr>
                <w:sz w:val="20"/>
              </w:rPr>
            </w:pPr>
            <w:r>
              <w:rPr>
                <w:rFonts w:ascii="Arial" w:eastAsia="Arial" w:hAnsi="Arial" w:cs="Arial"/>
                <w:color w:val="000000"/>
                <w:sz w:val="20"/>
              </w:rPr>
              <w:t>XBRL Taxonomy Extension Presentation Linkbase</w:t>
            </w:r>
          </w:p>
        </w:tc>
      </w:tr>
    </w:tbl>
    <w:p w:rsidR="0073293D" w:rsidRDefault="0073293D">
      <w:pPr>
        <w:spacing w:before="120"/>
        <w:ind w:left="720" w:hanging="720"/>
      </w:pPr>
    </w:p>
    <w:p w:rsidR="0073293D" w:rsidRDefault="0073293D"/>
    <w:p w:rsidR="0073293D" w:rsidRDefault="0073293D">
      <w:pPr>
        <w:jc w:val="center"/>
      </w:pPr>
    </w:p>
    <w:sectPr w:rsidR="0073293D">
      <w:pgSz w:w="12240" w:h="15840"/>
      <w:pgMar w:top="900" w:right="990" w:bottom="900" w:left="990" w:header="27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C6" w:rsidRDefault="00CC4FC6">
      <w:r>
        <w:separator/>
      </w:r>
    </w:p>
  </w:endnote>
  <w:endnote w:type="continuationSeparator" w:id="0">
    <w:p w:rsidR="00CC4FC6" w:rsidRDefault="00CC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CC4FC6">
    <w:pPr>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7629A">
      <w:rPr>
        <w:rFonts w:ascii="Arial" w:eastAsia="Arial" w:hAnsi="Arial" w:cs="Arial"/>
        <w:noProof/>
      </w:rPr>
      <w:t>1</w:t>
    </w:r>
    <w:r>
      <w:rPr>
        <w:rFonts w:ascii="Arial" w:eastAsia="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CC4FC6">
    <w:pPr>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7629A">
      <w:rPr>
        <w:rFonts w:ascii="Arial" w:eastAsia="Arial" w:hAnsi="Arial" w:cs="Arial"/>
        <w:noProof/>
      </w:rPr>
      <w:t>5</w:t>
    </w:r>
    <w:r>
      <w:rPr>
        <w:rFonts w:ascii="Arial" w:eastAsia="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CC4FC6">
    <w:pPr>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7629A">
      <w:rPr>
        <w:rFonts w:ascii="Arial" w:eastAsia="Arial" w:hAnsi="Arial" w:cs="Arial"/>
        <w:noProof/>
      </w:rPr>
      <w:t>6</w:t>
    </w:r>
    <w:r>
      <w:rPr>
        <w:rFonts w:ascii="Arial" w:eastAsia="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CC4FC6">
    <w:pPr>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7629A">
      <w:rPr>
        <w:rFonts w:ascii="Arial" w:eastAsia="Arial" w:hAnsi="Arial" w:cs="Arial"/>
        <w:noProof/>
      </w:rPr>
      <w:t>21</w:t>
    </w:r>
    <w:r>
      <w:rPr>
        <w:rFonts w:ascii="Arial" w:eastAsia="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C6" w:rsidRDefault="00CC4FC6">
      <w:r>
        <w:separator/>
      </w:r>
    </w:p>
  </w:footnote>
  <w:footnote w:type="continuationSeparator" w:id="0">
    <w:p w:rsidR="00CC4FC6" w:rsidRDefault="00CC4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7329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7329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73293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CC4FC6">
    <w:pPr>
      <w:jc w:val="center"/>
    </w:pPr>
    <w:r>
      <w:rPr>
        <w:rFonts w:ascii="Arial" w:eastAsia="Arial" w:hAnsi="Arial" w:cs="Arial"/>
        <w:b/>
        <w:sz w:val="20"/>
        <w:u w:val="single"/>
      </w:rPr>
      <w:t>GENTEX CORPORATION AND SUBSIDIARIES</w:t>
    </w:r>
  </w:p>
  <w:p w:rsidR="0073293D" w:rsidRDefault="00CC4FC6">
    <w:pPr>
      <w:jc w:val="center"/>
    </w:pPr>
    <w:r>
      <w:rPr>
        <w:rFonts w:ascii="Arial" w:eastAsia="Arial" w:hAnsi="Arial" w:cs="Arial"/>
        <w:b/>
        <w:sz w:val="20"/>
      </w:rPr>
      <w:t>NOTES TO UNAUDITED CONDENSED CONSOLIDATED FINANCIAL STATEMENTS</w:t>
    </w:r>
  </w:p>
  <w:p w:rsidR="0073293D" w:rsidRDefault="00CC4FC6">
    <w:pPr>
      <w:jc w:val="center"/>
    </w:pPr>
    <w:r>
      <w:rPr>
        <w:rFonts w:ascii="Arial" w:eastAsia="Arial" w:hAnsi="Arial" w:cs="Arial"/>
        <w:b/>
        <w:sz w:val="20"/>
      </w:rPr>
      <w:t>(Unaudited)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73293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3D" w:rsidRDefault="007329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1080"/>
        </w:tabs>
        <w:ind w:left="720" w:hanging="360"/>
      </w:pPr>
      <w:rPr>
        <w:rFonts w:ascii="Arial" w:eastAsia="Arial" w:hAnsi="Arial" w:cs="Arial"/>
        <w:color w:val="00000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064C9"/>
    <w:rsid w:val="0073293D"/>
    <w:rsid w:val="00A77B3E"/>
    <w:rsid w:val="00C7629A"/>
    <w:rsid w:val="00CA2A55"/>
    <w:rsid w:val="00CC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59B9FC-1FE8-4F7C-8305-821EAA23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file:///C:\Users\tricia.bosma\Downloads\gntx10q09302018-exx312.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file:///C:\Users\tricia.bosma\Downloads\gntx10q09302018-exx311.htm"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file:///C:\Users\tricia.bosma\Downloads\gntx10q09302018-exx32.ht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15067</Words>
  <Characters>89668</Characters>
  <Application>Microsoft Office Word</Application>
  <DocSecurity>4</DocSecurity>
  <Lines>747</Lines>
  <Paragraphs>209</Paragraphs>
  <ScaleCrop>false</ScaleCrop>
  <HeadingPairs>
    <vt:vector size="2" baseType="variant">
      <vt:variant>
        <vt:lpstr>Title</vt:lpstr>
      </vt:variant>
      <vt:variant>
        <vt:i4>1</vt:i4>
      </vt:variant>
    </vt:vector>
  </HeadingPairs>
  <TitlesOfParts>
    <vt:vector size="1" baseType="lpstr">
      <vt:lpstr>GNTX 10Q 09.30.2018</vt:lpstr>
    </vt:vector>
  </TitlesOfParts>
  <Company/>
  <LinksUpToDate>false</LinksUpToDate>
  <CharactersWithSpaces>104526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GNTX 10Q 09.30.2018</dc:title>
  <dc:creator>Bosma, Tricia</dc:creator>
  <cp:lastModifiedBy>Neil Lawrence</cp:lastModifiedBy>
  <cp:revision>2</cp:revision>
  <dcterms:created xsi:type="dcterms:W3CDTF">2018-11-13T16:10:00Z</dcterms:created>
  <dcterms:modified xsi:type="dcterms:W3CDTF">2018-11-13T16:10:00Z</dcterms:modified>
</cp:coreProperties>
</file>