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Chiodo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 CENTENNIAL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ZEELAND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49464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of Sales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28,269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12,564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58,115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24.89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54,928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39,223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25.025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35,101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47,148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28,269 shares are performance-based shares where the total number of shares granted were based on long term performance incentives.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purchased through the Gentex Corporation Employee Stock Purchase Plan, a Section 423(b)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vest 100% three years from grant award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Ryan for Matthew W. Chiodo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officerpoa2020mchiodo.txt"/>
      <w:bookmarkStart w:id="3" w:name="ksofficerpoa2020mchiodo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Kevin Nash, any successor as Chief</w:t>
      </w:r>
    </w:p>
    <w:p>
      <w:pPr>
        <w:pStyle w:val="PreformattedText"/>
        <w:bidi w:val="0"/>
        <w:spacing w:before="0" w:after="0"/>
        <w:jc w:val="left"/>
        <w:rPr/>
      </w:pPr>
      <w:r>
        <w:rPr/>
        <w:t>Financial Officer of Gentex Corporation (the "Corporation"),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Scott Ryan, any successor as General counsel of Gentex Corporation,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of their respective designees, signing singly,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(1)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Forms 3, 4,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that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 3, 4, or 5, complete and execute any amendment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amendments thereto, and timely file such form with the United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States Securities and Exchange Commission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(3) take any other action of any type whatsoever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that, in the opinion of such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may be of benefit to, in the best interest of, or legally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by,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The undersigned acknowledges that the foregoing attorneys-in-</w:t>
      </w:r>
    </w:p>
    <w:p>
      <w:pPr>
        <w:pStyle w:val="PreformattedText"/>
        <w:bidi w:val="0"/>
        <w:spacing w:before="0" w:after="0"/>
        <w:jc w:val="left"/>
        <w:rPr/>
      </w:pPr>
      <w:r>
        <w:rPr/>
        <w:t>fact, 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Corporation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This Power of Attorney revokes any and all previous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 related to this subject matter, and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force 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Corporation,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20th day of August, 2020.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 Matthew Chiodo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Matthew Chiodo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1933" TargetMode="External"/><Relationship Id="rId5" Type="http://schemas.openxmlformats.org/officeDocument/2006/relationships/hyperlink" Target="http://www.sec.gov/cgi-bin/browse-edgar?action=getcompany&amp;CIK=00003558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1145</Words>
  <Characters>6064</Characters>
  <CharactersWithSpaces>7130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