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2023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23"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5"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305" w:lineRule="auto"/>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28, 2023</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233,702,848</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21</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31</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31</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2023 and December 31, 2022</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March 31, 2023 (Unaudited)</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6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215,452,160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214,754,638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25,635,492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23,007,385</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332,867,128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276,493,752</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401,769,976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404,360,270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25,316,437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26,036,331</w:t>
            </w:r>
          </w:p>
        </w:tc>
        <w:tc>
          <w:tcPr>
            <w:tcW w:w="0" w:type="dxa"/>
            <w:vAlign w:val="bottom"/>
          </w:tcPr>
          <w:p>
            <w:pPr>
              <w:spacing w:after="0"/>
              <w:rPr>
                <w:sz w:val="1"/>
                <w:szCs w:val="1"/>
                <w:color w:val="auto"/>
              </w:rPr>
            </w:pPr>
          </w:p>
        </w:tc>
      </w:tr>
      <w:tr>
        <w:trPr>
          <w:trHeight w:val="223"/>
        </w:trPr>
        <w:tc>
          <w:tcPr>
            <w:tcW w:w="68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1,005,041,193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948,652,376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PLANT AND EQUIPMENT—NET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575,276,023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550,033,036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313,686,026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313,807,494</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229,398,824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202,331,983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214,535,910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219,360,910</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23,795,400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25,528,700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Patents and other assets, net</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71,614,459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67,515,425</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853,030,619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828,544,512</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2,433,347,835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2,327,229,924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166,922,435</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151,740,046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130,108,297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98,812,706</w:t>
            </w:r>
          </w:p>
        </w:tc>
        <w:tc>
          <w:tcPr>
            <w:tcW w:w="0" w:type="dxa"/>
            <w:vAlign w:val="bottom"/>
          </w:tcPr>
          <w:p>
            <w:pPr>
              <w:spacing w:after="0"/>
              <w:rPr>
                <w:sz w:val="1"/>
                <w:szCs w:val="1"/>
                <w:color w:val="auto"/>
              </w:rPr>
            </w:pPr>
          </w:p>
        </w:tc>
      </w:tr>
      <w:tr>
        <w:trPr>
          <w:trHeight w:val="223"/>
        </w:trPr>
        <w:tc>
          <w:tcPr>
            <w:tcW w:w="68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297,030,732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250,552,752</w:t>
            </w: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13,061,457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10,884,351</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310,092,189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261,437,103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SHAREHOLDERS’ INVESTMENT</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14,023,563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14,050,160</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928,284,890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917,499,323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1,193,171,690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1,148,386,272</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(12,224,497)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(14,142,934)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investment</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2,123,255,646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2,065,792,821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2,433,347,835</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2,327,229,924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80"/>
        <w:spacing w:after="0" w:line="286" w:lineRule="auto"/>
        <w:rPr>
          <w:sz w:val="20"/>
          <w:szCs w:val="20"/>
          <w:color w:val="auto"/>
        </w:rPr>
      </w:pPr>
      <w:r>
        <w:rPr>
          <w:rFonts w:ascii="Arial" w:cs="Arial" w:eastAsia="Arial" w:hAnsi="Arial"/>
          <w:sz w:val="13"/>
          <w:szCs w:val="13"/>
          <w:color w:val="auto"/>
        </w:rPr>
        <w:t>Note: The condensed consolidated balance sheet at December 31, 2022 has been derived from the audited consolidated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2023 and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69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b w:val="1"/>
                <w:bCs w:val="1"/>
                <w:color w:val="auto"/>
              </w:rPr>
              <w:t>2022</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550,761,311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468,250,776</w:t>
            </w:r>
          </w:p>
        </w:tc>
      </w:tr>
      <w:tr>
        <w:trPr>
          <w:trHeight w:val="230"/>
        </w:trPr>
        <w:tc>
          <w:tcPr>
            <w:tcW w:w="6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376,024,080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307,838,816</w:t>
            </w:r>
          </w:p>
        </w:tc>
      </w:tr>
      <w:tr>
        <w:trPr>
          <w:trHeight w:val="223"/>
        </w:trPr>
        <w:tc>
          <w:tcPr>
            <w:tcW w:w="694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174,737,231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160,411,960</w:t>
            </w:r>
          </w:p>
        </w:tc>
      </w:tr>
      <w:tr>
        <w:trPr>
          <w:trHeight w:val="229"/>
        </w:trPr>
        <w:tc>
          <w:tcPr>
            <w:tcW w:w="6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34,653,747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31,974,987</w:t>
            </w:r>
          </w:p>
        </w:tc>
      </w:tr>
      <w:tr>
        <w:trPr>
          <w:trHeight w:val="229"/>
        </w:trPr>
        <w:tc>
          <w:tcPr>
            <w:tcW w:w="6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26,832,837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25,131,068</w:t>
            </w:r>
          </w:p>
        </w:tc>
      </w:tr>
      <w:tr>
        <w:trPr>
          <w:trHeight w:val="223"/>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61,486,584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57,106,055</w:t>
            </w:r>
          </w:p>
        </w:tc>
      </w:tr>
      <w:tr>
        <w:trPr>
          <w:trHeight w:val="209"/>
        </w:trPr>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113,250,647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103,305,905</w:t>
            </w:r>
          </w:p>
        </w:tc>
      </w:tr>
      <w:tr>
        <w:trPr>
          <w:trHeight w:val="229"/>
        </w:trPr>
        <w:tc>
          <w:tcPr>
            <w:tcW w:w="6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2,939,195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788,316</w:t>
            </w: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loss, net</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(798,810)</w:t>
            </w:r>
          </w:p>
        </w:tc>
      </w:tr>
      <w:tr>
        <w:trPr>
          <w:trHeight w:val="223"/>
        </w:trPr>
        <w:tc>
          <w:tcPr>
            <w:tcW w:w="69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(loss)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2,744,455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r>
      <w:tr>
        <w:trPr>
          <w:trHeight w:val="209"/>
        </w:trPr>
        <w:tc>
          <w:tcPr>
            <w:tcW w:w="6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115,995,102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103,295,411</w:t>
            </w:r>
          </w:p>
        </w:tc>
      </w:tr>
      <w:tr>
        <w:trPr>
          <w:trHeight w:val="230"/>
        </w:trPr>
        <w:tc>
          <w:tcPr>
            <w:tcW w:w="6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18,416,841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15,766,785</w:t>
            </w:r>
          </w:p>
        </w:tc>
      </w:tr>
      <w:tr>
        <w:trPr>
          <w:trHeight w:val="230"/>
        </w:trPr>
        <w:tc>
          <w:tcPr>
            <w:tcW w:w="69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97,578,261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87,528,626</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9"/>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6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0.120</w:t>
            </w:r>
          </w:p>
        </w:tc>
      </w:tr>
    </w:tbl>
    <w:p>
      <w:pPr>
        <w:spacing w:after="0" w:line="26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46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2023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97,578,261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87,528,626</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(121,167)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(896,420)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(losses) on debt securities, net</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2,581,777</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(7,795,230)</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2,460,610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(8,691,650)</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related to components of other comprehensive income</w:t>
            </w:r>
          </w:p>
        </w:tc>
        <w:tc>
          <w:tcPr>
            <w:tcW w:w="50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542,173</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(1,636,998)</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5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1,918,437</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(7,054,652)</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99,496,698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80,473,974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255" w:right="339" w:bottom="1440" w:gutter="0" w:footer="0" w:header="0"/>
        </w:sectPr>
      </w:pPr>
    </w:p>
    <w:bookmarkStart w:id="5" w:name="page6"/>
    <w:bookmarkEnd w:id="5"/>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2023 and 2022</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2023</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56" w:lineRule="auto"/>
        <w:rPr>
          <w:sz w:val="20"/>
          <w:szCs w:val="20"/>
          <w:color w:val="auto"/>
        </w:rPr>
      </w:pPr>
      <w:r>
        <w:rPr>
          <w:rFonts w:ascii="Arial" w:cs="Arial" w:eastAsia="Arial" w:hAnsi="Arial"/>
          <w:sz w:val="16"/>
          <w:szCs w:val="16"/>
          <w:color w:val="auto"/>
        </w:rPr>
        <w:t>Other comprehensive income BALANCE AS OF MARCH 31, 2023</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2022</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Other comprehensive loss BALANCE AS OF MARCH 31, 2022</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114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8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234,169,335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14,050,160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917,499,323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1,148,386,272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(14,142,934)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2,065,792,821</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603,636</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36,218</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5,919,804</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5,956,022</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(1,046,926)</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(62,815)</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(3,653,772)</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(24,746,045)</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(28,462,632)</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8,519,535</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8,519,535</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(28,046,798)</w:t>
            </w:r>
          </w:p>
        </w:tc>
        <w:tc>
          <w:tcPr>
            <w:tcW w:w="20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(28,046,798)</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97,578,261</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97,578,261</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1,918,437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1,918,437</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233,726,045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14,023,563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928,284,890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1,193,171,690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(12,224,497)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2,123,255,646</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236,440,840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14,186,450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879,413,385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1,042,461,388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1,927,244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1,937,988,467</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476,688</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28,601</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3,295,546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3,324,147</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(2,440,190)</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(146,411)</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(8,125,830)</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(62,979,781)</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(71,252,022)</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6,788,337</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6,788,337</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(28,354,003)</w:t>
            </w:r>
          </w:p>
        </w:tc>
        <w:tc>
          <w:tcPr>
            <w:tcW w:w="20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(28,354,003)</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87,528,626</w:t>
            </w:r>
          </w:p>
        </w:tc>
        <w:tc>
          <w:tcPr>
            <w:tcW w:w="2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87,528,626</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(7,054,652)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(7,054,652)</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234,477,338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14,068,640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881,371,438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1,038,656,230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(5,127,408)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1,928,968,900</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-3068320</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-2691130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-2211070</wp:posOffset>
            </wp:positionV>
            <wp:extent cx="71151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-1919605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-1628140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-1319530</wp:posOffset>
            </wp:positionV>
            <wp:extent cx="71151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-942340</wp:posOffset>
            </wp:positionV>
            <wp:extent cx="711517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-445135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-170815</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6" w:name="page7"/>
    <w:bookmarkEnd w:id="6"/>
    <w:p>
      <w:pPr>
        <w:jc w:val="center"/>
        <w:ind w:right="6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97,578,261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87,528,626</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24,041,648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24,711,500</w:t>
            </w: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(106,743)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(33,982)</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(Gain) on sale of investments and equity method investment income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(1,199,707)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(367,879)</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equity method investment losses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704,214</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141,959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8,519,535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6,788,337</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44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(56,373,376)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(31,666,772)</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2,590,294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(46,469,079)</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16,082,077</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11,112,425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42,968,193</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33,525,890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15,702,241</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120,914,110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115,958,543</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3,128,110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37,158,611</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(32,178,155)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(15,889,063)</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(42,819,075)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(23,892,169)</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118,410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33,740</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(2,110,935)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(455,419)</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(72,396,645)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(2,044,300)</w:t>
            </w:r>
          </w:p>
        </w:tc>
        <w:tc>
          <w:tcPr>
            <w:tcW w:w="0" w:type="dxa"/>
            <w:vAlign w:val="bottom"/>
          </w:tcPr>
          <w:p>
            <w:pPr>
              <w:spacing w:after="0"/>
              <w:rPr>
                <w:sz w:val="1"/>
                <w:szCs w:val="1"/>
                <w:color w:val="auto"/>
              </w:rPr>
            </w:pPr>
          </w:p>
        </w:tc>
      </w:tr>
      <w:tr>
        <w:trPr>
          <w:trHeight w:val="142"/>
        </w:trPr>
        <w:tc>
          <w:tcPr>
            <w:tcW w:w="7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3,324,147</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(28,099,993)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(28,589,625)</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(25,675,972)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(71,252,022)</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(47,819,943)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(96,517,500)</w:t>
            </w:r>
          </w:p>
        </w:tc>
        <w:tc>
          <w:tcPr>
            <w:tcW w:w="0" w:type="dxa"/>
            <w:vAlign w:val="bottom"/>
          </w:tcPr>
          <w:p>
            <w:pPr>
              <w:spacing w:after="0"/>
              <w:rPr>
                <w:sz w:val="1"/>
                <w:szCs w:val="1"/>
                <w:color w:val="auto"/>
              </w:rPr>
            </w:pPr>
          </w:p>
        </w:tc>
      </w:tr>
      <w:tr>
        <w:trPr>
          <w:trHeight w:val="128"/>
        </w:trPr>
        <w:tc>
          <w:tcPr>
            <w:tcW w:w="7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697,522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17,396,743</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218,754,638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262,311,670</w:t>
            </w:r>
          </w:p>
        </w:tc>
        <w:tc>
          <w:tcPr>
            <w:tcW w:w="0" w:type="dxa"/>
            <w:vAlign w:val="bottom"/>
          </w:tcPr>
          <w:p>
            <w:pPr>
              <w:spacing w:after="0"/>
              <w:rPr>
                <w:sz w:val="1"/>
                <w:szCs w:val="1"/>
                <w:color w:val="auto"/>
              </w:rPr>
            </w:pPr>
          </w:p>
        </w:tc>
      </w:tr>
      <w:tr>
        <w:trPr>
          <w:trHeight w:val="129"/>
        </w:trPr>
        <w:tc>
          <w:tcPr>
            <w:tcW w:w="7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219,452,160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279,708,413</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2022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2023,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$ 0.2 million as part of the acquisition of Air-Craftglass Production BV ("Air-Craftglass") in the third quarter of 2020; $1.0 million as a part of the acquisition of Argil, Inc. ("Argil") in the fourth quarter of 2020; and $2.0 million as part of the acquisition of Guardian Optical Technologies ("Guardian") in the first quarter of 2021. The carrying value of Goodwill as of both March 31, 2023 and December 31, 2022 was $313.7 million and $313.8 million, respectively, as set forth in the table below:</w:t>
      </w:r>
    </w:p>
    <w:p>
      <w:pPr>
        <w:spacing w:after="0" w:line="263"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Balance as of December 31, 2022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313,807,494</w:t>
            </w: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(121,468)</w:t>
            </w:r>
          </w:p>
        </w:tc>
      </w:tr>
      <w:tr>
        <w:trPr>
          <w:trHeight w:val="24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313,686,026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component shortages, supply chain constraints, inflation, and labor shortages were again considered in the most recently completed quarter, but did not indicate the need for interim impairment testing.</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40" w:type="dxa"/>
            <w:vAlign w:val="bottom"/>
          </w:tcPr>
          <w:p>
            <w:pPr>
              <w:spacing w:after="0"/>
              <w:rPr>
                <w:sz w:val="14"/>
                <w:szCs w:val="14"/>
                <w:color w:val="auto"/>
              </w:rPr>
            </w:pPr>
          </w:p>
        </w:tc>
        <w:tc>
          <w:tcPr>
            <w:tcW w:w="12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40,619,268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(28,072,946)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12,546,322</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(142,500,000)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Existing Customer Platforms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(40,850,000)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2,150,000</w:t>
            </w:r>
          </w:p>
        </w:tc>
        <w:tc>
          <w:tcPr>
            <w:tcW w:w="40" w:type="dxa"/>
            <w:vAlign w:val="bottom"/>
          </w:tcPr>
          <w:p>
            <w:pPr>
              <w:spacing w:after="0"/>
              <w:rPr>
                <w:sz w:val="19"/>
                <w:szCs w:val="19"/>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Vaporsens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Air-Craftglass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1,507,778</w:t>
            </w:r>
          </w:p>
        </w:tc>
        <w:tc>
          <w:tcPr>
            <w:tcW w:w="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Guardian In-Process R&amp;D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6,800,000</w:t>
            </w: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397,885,910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(183,350,000)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214,535,910</w:t>
            </w: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438,505,178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(211,422,946)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227,082,232</w:t>
            </w: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As of December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4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2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40" w:type="dxa"/>
            <w:vAlign w:val="bottom"/>
          </w:tcPr>
          <w:p>
            <w:pPr>
              <w:spacing w:after="0"/>
              <w:rPr>
                <w:sz w:val="14"/>
                <w:szCs w:val="14"/>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40,653,851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(27,820,383)</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12,833,468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ind w:left="112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Existing Customer Platforms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(39,775,000)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20"/>
              <w:spacing w:after="0"/>
              <w:rPr>
                <w:sz w:val="20"/>
                <w:szCs w:val="20"/>
                <w:color w:val="auto"/>
              </w:rPr>
            </w:pPr>
            <w:r>
              <w:rPr>
                <w:rFonts w:ascii="Arial" w:cs="Arial" w:eastAsia="Arial" w:hAnsi="Arial"/>
                <w:sz w:val="18"/>
                <w:szCs w:val="18"/>
                <w:color w:val="auto"/>
              </w:rPr>
              <w:t>Vaporsens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Argil In-Process R&amp;D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0"/>
              <w:spacing w:after="0"/>
              <w:rPr>
                <w:sz w:val="20"/>
                <w:szCs w:val="20"/>
                <w:color w:val="auto"/>
              </w:rPr>
            </w:pPr>
            <w:r>
              <w:rPr>
                <w:rFonts w:ascii="Arial" w:cs="Arial" w:eastAsia="Arial" w:hAnsi="Arial"/>
                <w:sz w:val="18"/>
                <w:szCs w:val="18"/>
                <w:color w:val="auto"/>
              </w:rPr>
              <w:t>Air-Craftglass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1,507,778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Guardian Trade Names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Guardian In-Process R&amp;D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397,885,910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(178,525,000)</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219,360,910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438,539,761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(206,345,383)</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232,194,378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on patents and intangible assets was approximately $5.3 million during the three months ended March 31, 2023, and approximately $5.5 million for the same period ended March 31, 2022.</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2023 to be approximately $20 million, for the year ending December 31, 2024 to be approximately $ 16 million, for the year ending December 31, 2025 to be approximately $12 million, and for each of the years ending December 31, 2026 and December 31, 2027 to be approximately $5 million.</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0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180"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The Company also periodically makes technology investments in certain non-consolidated third parties. These equity investments are accounted for in accordance with ASC 323, </w:t>
      </w:r>
      <w:r>
        <w:rPr>
          <w:rFonts w:ascii="Arial" w:cs="Arial" w:eastAsia="Arial" w:hAnsi="Arial"/>
          <w:sz w:val="17"/>
          <w:szCs w:val="17"/>
          <w:i w:val="1"/>
          <w:iCs w:val="1"/>
          <w:color w:val="auto"/>
        </w:rPr>
        <w:t>Investments - Equity Method and Joint Ventures</w:t>
      </w:r>
      <w:r>
        <w:rPr>
          <w:rFonts w:ascii="Arial" w:cs="Arial" w:eastAsia="Arial" w:hAnsi="Arial"/>
          <w:sz w:val="17"/>
          <w:szCs w:val="17"/>
          <w:color w:val="auto"/>
        </w:rPr>
        <w:t xml:space="preserve">. The Company's share of the earnings or losses of non-controlled affiliates, over which the Company exercises significant influence (generally a 20% to 50% ownership interest), is included in the consolidated operating results using the equity method of accounting. These investments are classified within Equity Method Investments in the condensed consolidated balance sheets. The Company has also made technology investments in certain non-consolidated affiliates for ownership interests of less than 20% (where the Company does not have the ability to exercise significant influence). These equity investments are accounted for in accordance with ASC 321, </w:t>
      </w:r>
      <w:r>
        <w:rPr>
          <w:rFonts w:ascii="Arial" w:cs="Arial" w:eastAsia="Arial" w:hAnsi="Arial"/>
          <w:sz w:val="17"/>
          <w:szCs w:val="17"/>
          <w:i w:val="1"/>
          <w:iCs w:val="1"/>
          <w:color w:val="auto"/>
        </w:rPr>
        <w:t>Investments -</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w:t>
      </w:r>
      <w:r>
        <w:rPr>
          <w:rFonts w:ascii="Arial" w:cs="Arial" w:eastAsia="Arial" w:hAnsi="Arial"/>
          <w:sz w:val="17"/>
          <w:szCs w:val="17"/>
          <w:color w:val="auto"/>
        </w:rPr>
        <w:t>. For these equity investments that do not have readily determinable fair values, and where the Company has not</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any observable events that would cause adjustment of the valuation to date, the equity investments are held at cost.</w:t>
      </w:r>
    </w:p>
    <w:p>
      <w:pPr>
        <w:spacing w:after="0" w:line="20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Such technology investments totaled approximately $86.9 million and $69.5 million as of March 31, 2023 and December 31, 2022, respectively. On March 9, 2023, the Company purchased a 15% equity investment in Adasky, LTD. for $21.5 million. Adasky is an Israeli-based leading developer and manufacturer of intelligent thermal sensing technologies. $2.2 million and $3.8 million of these technology investments are classified within Short-Term Investments in the condensed consolidated balance sheets as of March 31, 2023 and December 31, 2022, respectively. $84.7 million and $65.7 million of these investments are classified within Long-Term Investments in the condensed consolidated balance sheets as of March 31, 2023 and December 31, 2022, respectively.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215,452,160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215,452,160</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1,741,295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1,741,295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5,495,110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6,155,223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6,155,223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4,474,175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1,007,150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3,467,025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18,718,258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18,718,258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37,242,499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37,242,499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36,922,649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50,870,849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50,870,849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720,910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720,910</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385,996,220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223,160,622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162,835,598</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rPr>
              <w:t>As of December 31, 2022:</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214,754,638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214,754,638</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1,736,163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1,736,163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4,423,041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4,423,041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2,347,602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1,093,602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1,254,000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18,829,696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18,829,696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36,310,477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36,310,477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48,430,166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48,430,166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378,544,756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222,116,628</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156,428,128</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March 31, 2023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5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1,741,295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5,542,607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6,190,793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6,155,223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3,998,537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4,474,175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4,474,175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18,852,424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(134,166)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18,718,258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40,819,361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(3,597,540)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37,242,499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39,525,976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54,635,848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(4,079,880)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50,870,849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720,911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176,760,632</w:t>
            </w: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(10,554,281)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166,544,061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As of December 31, 2022:</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4"/>
        </w:trPr>
        <w:tc>
          <w:tcPr>
            <w:tcW w:w="3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1,750,256</w:t>
            </w:r>
          </w:p>
        </w:tc>
        <w:tc>
          <w:tcPr>
            <w:tcW w:w="10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(14,093)</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1,736,163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5,571,417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(98,076)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(53,572)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4,423,041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2,347,602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2,347,602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19,151,229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(321,533)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18,829,696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40,410,206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(4,099,729)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36,310,477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39,637,461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(3,104,827)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53,476,883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235,713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(5,282,430)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48,430,166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292,638</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172,587,805</w:t>
            </w:r>
          </w:p>
        </w:tc>
        <w:tc>
          <w:tcPr>
            <w:tcW w:w="10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(13,034,062)</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159,790,118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March 31, 2023,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23,213,314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10,233,116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130,046,373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153,259,687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2022, are as follows:</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4,816,103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77,701,146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8,217,959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76,643,586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154,344,732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Fixed</w:t>
            </w:r>
          </w:p>
        </w:tc>
        <w:tc>
          <w:tcPr>
            <w:tcW w:w="10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6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520" w:type="dxa"/>
            <w:vAlign w:val="bottom"/>
          </w:tcPr>
          <w:p>
            <w:pPr>
              <w:ind w:left="160"/>
              <w:spacing w:after="0"/>
              <w:rPr>
                <w:sz w:val="20"/>
                <w:szCs w:val="20"/>
                <w:color w:val="auto"/>
              </w:rPr>
            </w:pPr>
            <w:r>
              <w:rPr>
                <w:rFonts w:ascii="Arial" w:cs="Arial" w:eastAsia="Arial" w:hAnsi="Arial"/>
                <w:sz w:val="18"/>
                <w:szCs w:val="18"/>
                <w:color w:val="auto"/>
              </w:rPr>
              <w:t>as</w:t>
            </w:r>
          </w:p>
        </w:tc>
        <w:tc>
          <w:tcPr>
            <w:tcW w:w="520" w:type="dxa"/>
            <w:vAlign w:val="bottom"/>
          </w:tcPr>
          <w:p>
            <w:pPr>
              <w:ind w:left="200"/>
              <w:spacing w:after="0"/>
              <w:rPr>
                <w:sz w:val="20"/>
                <w:szCs w:val="20"/>
                <w:color w:val="auto"/>
              </w:rPr>
            </w:pPr>
            <w:r>
              <w:rPr>
                <w:rFonts w:ascii="Arial" w:cs="Arial" w:eastAsia="Arial" w:hAnsi="Arial"/>
                <w:sz w:val="18"/>
                <w:szCs w:val="18"/>
                <w:color w:val="auto"/>
              </w:rPr>
              <w:t>of</w:t>
            </w:r>
          </w:p>
        </w:tc>
        <w:tc>
          <w:tcPr>
            <w:tcW w:w="880" w:type="dxa"/>
            <w:vAlign w:val="bottom"/>
          </w:tcPr>
          <w:p>
            <w:pPr>
              <w:ind w:left="200"/>
              <w:spacing w:after="0"/>
              <w:rPr>
                <w:sz w:val="20"/>
                <w:szCs w:val="20"/>
                <w:color w:val="auto"/>
              </w:rPr>
            </w:pPr>
            <w:r>
              <w:rPr>
                <w:rFonts w:ascii="Arial" w:cs="Arial" w:eastAsia="Arial" w:hAnsi="Arial"/>
                <w:sz w:val="18"/>
                <w:szCs w:val="18"/>
                <w:color w:val="auto"/>
              </w:rPr>
              <w:t>March</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2023</w:t>
            </w:r>
          </w:p>
        </w:tc>
        <w:tc>
          <w:tcPr>
            <w:tcW w:w="760" w:type="dxa"/>
            <w:vAlign w:val="bottom"/>
          </w:tcPr>
          <w:p>
            <w:pPr>
              <w:ind w:left="180"/>
              <w:spacing w:after="0"/>
              <w:rPr>
                <w:sz w:val="20"/>
                <w:szCs w:val="20"/>
                <w:color w:val="auto"/>
              </w:rPr>
            </w:pPr>
            <w:r>
              <w:rPr>
                <w:rFonts w:ascii="Arial" w:cs="Arial" w:eastAsia="Arial" w:hAnsi="Arial"/>
                <w:sz w:val="18"/>
                <w:szCs w:val="18"/>
                <w:color w:val="auto"/>
              </w:rPr>
              <w:t>have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contractual</w:t>
            </w:r>
          </w:p>
        </w:tc>
        <w:tc>
          <w:tcPr>
            <w:tcW w:w="108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follows:</w:t>
            </w:r>
          </w:p>
        </w:tc>
      </w:tr>
      <w:tr>
        <w:trPr>
          <w:trHeight w:val="23"/>
        </w:trPr>
        <w:tc>
          <w:tcPr>
            <w:tcW w:w="1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17,355,612</w:t>
            </w:r>
          </w:p>
        </w:tc>
        <w:tc>
          <w:tcPr>
            <w:tcW w:w="740" w:type="dxa"/>
            <w:vAlign w:val="bottom"/>
          </w:tcPr>
          <w:p>
            <w:pPr>
              <w:spacing w:after="0"/>
              <w:rPr>
                <w:sz w:val="19"/>
                <w:szCs w:val="19"/>
                <w:color w:val="auto"/>
              </w:rPr>
            </w:pPr>
          </w:p>
        </w:tc>
      </w:tr>
      <w:tr>
        <w:trPr>
          <w:trHeight w:val="230"/>
        </w:trPr>
        <w:tc>
          <w:tcPr>
            <w:tcW w:w="274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93,840,749</w:t>
            </w:r>
          </w:p>
        </w:tc>
        <w:tc>
          <w:tcPr>
            <w:tcW w:w="740" w:type="dxa"/>
            <w:vAlign w:val="bottom"/>
          </w:tcPr>
          <w:p>
            <w:pPr>
              <w:spacing w:after="0"/>
              <w:rPr>
                <w:sz w:val="19"/>
                <w:szCs w:val="19"/>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50,152,613</w:t>
            </w:r>
          </w:p>
        </w:tc>
        <w:tc>
          <w:tcPr>
            <w:tcW w:w="7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161,348,974</w:t>
            </w:r>
          </w:p>
        </w:tc>
        <w:tc>
          <w:tcPr>
            <w:tcW w:w="7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301,876,129</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304,184,004</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44,534,016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45,512,275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55,359,831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54,663,991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401,769,976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404,360,270</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share under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two-class</w:t>
            </w:r>
          </w:p>
        </w:tc>
        <w:tc>
          <w:tcPr>
            <w:tcW w:w="1100" w:type="dxa"/>
            <w:vAlign w:val="bottom"/>
          </w:tcPr>
          <w:p>
            <w:pPr>
              <w:ind w:left="180"/>
              <w:spacing w:after="0"/>
              <w:rPr>
                <w:sz w:val="20"/>
                <w:szCs w:val="20"/>
                <w:color w:val="auto"/>
              </w:rPr>
            </w:pPr>
            <w:r>
              <w:rPr>
                <w:rFonts w:ascii="Arial" w:cs="Arial" w:eastAsia="Arial" w:hAnsi="Arial"/>
                <w:sz w:val="18"/>
                <w:szCs w:val="18"/>
                <w:color w:val="auto"/>
              </w:rPr>
              <w:t>method</w:t>
            </w:r>
          </w:p>
        </w:tc>
        <w:tc>
          <w:tcPr>
            <w:tcW w:w="580" w:type="dxa"/>
            <w:vAlign w:val="bottom"/>
          </w:tcPr>
          <w:p>
            <w:pPr>
              <w:ind w:left="40"/>
              <w:spacing w:after="0"/>
              <w:rPr>
                <w:sz w:val="20"/>
                <w:szCs w:val="20"/>
                <w:color w:val="auto"/>
              </w:rPr>
            </w:pPr>
            <w:r>
              <w:rPr>
                <w:rFonts w:ascii="Arial" w:cs="Arial" w:eastAsia="Arial" w:hAnsi="Arial"/>
                <w:sz w:val="18"/>
                <w:szCs w:val="18"/>
                <w:color w:val="auto"/>
              </w:rPr>
              <w:t>for</w:t>
            </w:r>
          </w:p>
        </w:tc>
        <w:tc>
          <w:tcPr>
            <w:tcW w:w="440" w:type="dxa"/>
            <w:vAlign w:val="bottom"/>
          </w:tcPr>
          <w:p>
            <w:pPr>
              <w:ind w:left="20"/>
              <w:spacing w:after="0"/>
              <w:rPr>
                <w:sz w:val="20"/>
                <w:szCs w:val="20"/>
                <w:color w:val="auto"/>
              </w:rPr>
            </w:pPr>
            <w:r>
              <w:rPr>
                <w:rFonts w:ascii="Arial" w:cs="Arial" w:eastAsia="Arial" w:hAnsi="Arial"/>
                <w:sz w:val="18"/>
                <w:szCs w:val="18"/>
                <w:color w:val="auto"/>
              </w:rPr>
              <w:t>the</w:t>
            </w:r>
          </w:p>
        </w:tc>
        <w:tc>
          <w:tcPr>
            <w:tcW w:w="920" w:type="dxa"/>
            <w:vAlign w:val="bottom"/>
          </w:tcPr>
          <w:p>
            <w:pPr>
              <w:ind w:left="180"/>
              <w:spacing w:after="0"/>
              <w:rPr>
                <w:sz w:val="20"/>
                <w:szCs w:val="20"/>
                <w:color w:val="auto"/>
              </w:rPr>
            </w:pPr>
            <w:r>
              <w:rPr>
                <w:rFonts w:ascii="Arial" w:cs="Arial" w:eastAsia="Arial" w:hAnsi="Arial"/>
                <w:sz w:val="18"/>
                <w:szCs w:val="18"/>
                <w:color w:val="auto"/>
              </w:rPr>
              <w:t>three</w:t>
            </w:r>
          </w:p>
        </w:tc>
        <w:tc>
          <w:tcPr>
            <w:tcW w:w="940" w:type="dxa"/>
            <w:vAlign w:val="bottom"/>
          </w:tcPr>
          <w:p>
            <w:pPr>
              <w:ind w:left="40"/>
              <w:spacing w:after="0"/>
              <w:rPr>
                <w:sz w:val="20"/>
                <w:szCs w:val="20"/>
                <w:color w:val="auto"/>
              </w:rPr>
            </w:pPr>
            <w:r>
              <w:rPr>
                <w:rFonts w:ascii="Arial" w:cs="Arial" w:eastAsia="Arial" w:hAnsi="Arial"/>
                <w:sz w:val="18"/>
                <w:szCs w:val="18"/>
                <w:color w:val="auto"/>
              </w:rPr>
              <w:t>months</w:t>
            </w:r>
          </w:p>
        </w:tc>
        <w:tc>
          <w:tcPr>
            <w:tcW w:w="820" w:type="dxa"/>
            <w:vAlign w:val="bottom"/>
          </w:tcPr>
          <w:p>
            <w:pPr>
              <w:ind w:left="40"/>
              <w:spacing w:after="0"/>
              <w:rPr>
                <w:sz w:val="20"/>
                <w:szCs w:val="20"/>
                <w:color w:val="auto"/>
              </w:rPr>
            </w:pPr>
            <w:r>
              <w:rPr>
                <w:rFonts w:ascii="Arial" w:cs="Arial" w:eastAsia="Arial" w:hAnsi="Arial"/>
                <w:sz w:val="18"/>
                <w:szCs w:val="18"/>
                <w:color w:val="auto"/>
              </w:rPr>
              <w:t>ended</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March</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and</w:t>
            </w:r>
          </w:p>
        </w:tc>
        <w:tc>
          <w:tcPr>
            <w:tcW w:w="760" w:type="dxa"/>
            <w:vAlign w:val="bottom"/>
          </w:tcPr>
          <w:p>
            <w:pPr>
              <w:ind w:left="180"/>
              <w:spacing w:after="0"/>
              <w:rPr>
                <w:sz w:val="20"/>
                <w:szCs w:val="20"/>
                <w:color w:val="auto"/>
              </w:rPr>
            </w:pPr>
            <w:r>
              <w:rPr>
                <w:rFonts w:ascii="Arial" w:cs="Arial" w:eastAsia="Arial" w:hAnsi="Arial"/>
                <w:sz w:val="18"/>
                <w:szCs w:val="18"/>
                <w:color w:val="auto"/>
              </w:rPr>
              <w:t>March</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97,578,261</w:t>
            </w:r>
          </w:p>
        </w:tc>
        <w:tc>
          <w:tcPr>
            <w:tcW w:w="1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87,528,626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gridSpan w:val="6"/>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 allocated to</w:t>
            </w: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1,456,913</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1,360,047</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participating securities</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vMerge w:val="continue"/>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gridSpan w:val="5"/>
          </w:tcPr>
          <w:p>
            <w:pPr>
              <w:ind w:left="240"/>
              <w:spacing w:after="0"/>
              <w:rPr>
                <w:sz w:val="20"/>
                <w:szCs w:val="20"/>
                <w:color w:val="auto"/>
              </w:rPr>
            </w:pPr>
            <w:r>
              <w:rPr>
                <w:rFonts w:ascii="Arial" w:cs="Arial" w:eastAsia="Arial" w:hAnsi="Arial"/>
                <w:sz w:val="18"/>
                <w:szCs w:val="18"/>
                <w:color w:val="auto"/>
                <w:w w:val="99"/>
              </w:rPr>
              <w:t>Net Income available to common shareholders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96,121,348</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86,168,579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gridSpan w:val="5"/>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230,605,626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232,151,296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0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6"/>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8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96,121,348</w:t>
            </w:r>
          </w:p>
        </w:tc>
        <w:tc>
          <w:tcPr>
            <w:tcW w:w="1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86,168,579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6"/>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8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96,122,624</w:t>
            </w:r>
          </w:p>
        </w:tc>
        <w:tc>
          <w:tcPr>
            <w:tcW w:w="1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86,171,079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gridSpan w:val="5"/>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gridSpan w:val="5"/>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230,605,626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232,151,296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Additional weighted average dilutive common stock equivalents</w:t>
            </w: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290,220</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638,515</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5"/>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230,895,846</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232,789,811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gridSpan w:val="4"/>
          </w:tcPr>
          <w:p>
            <w:pPr>
              <w:ind w:left="240"/>
              <w:spacing w:after="0"/>
              <w:rPr>
                <w:sz w:val="20"/>
                <w:szCs w:val="20"/>
                <w:color w:val="auto"/>
              </w:rPr>
            </w:pPr>
            <w:r>
              <w:rPr>
                <w:rFonts w:ascii="Arial" w:cs="Arial" w:eastAsia="Arial" w:hAnsi="Arial"/>
                <w:sz w:val="18"/>
                <w:szCs w:val="18"/>
                <w:color w:val="auto"/>
              </w:rPr>
              <w:t>Net Income per share - Diluted</w:t>
            </w: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20" w:type="dxa"/>
            <w:vAlign w:val="bottom"/>
            <w:gridSpan w:val="7"/>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720" w:type="dxa"/>
            <w:vAlign w:val="bottom"/>
            <w:gridSpan w:val="7"/>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 diluted average common</w:t>
            </w:r>
          </w:p>
        </w:tc>
        <w:tc>
          <w:tcPr>
            <w:tcW w:w="70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1,810,685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1,572,223</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900" w:type="dxa"/>
            <w:vAlign w:val="bottom"/>
            <w:gridSpan w:val="6"/>
          </w:tcPr>
          <w:p>
            <w:pPr>
              <w:ind w:left="20"/>
              <w:spacing w:after="0"/>
              <w:rPr>
                <w:sz w:val="20"/>
                <w:szCs w:val="20"/>
                <w:color w:val="auto"/>
              </w:rPr>
            </w:pPr>
            <w:r>
              <w:rPr>
                <w:rFonts w:ascii="Arial" w:cs="Arial" w:eastAsia="Arial" w:hAnsi="Arial"/>
                <w:sz w:val="18"/>
                <w:szCs w:val="18"/>
                <w:color w:val="auto"/>
                <w:w w:val="99"/>
              </w:rPr>
              <w:t>shares outstanding because their effect would be anti-dilutive</w:t>
            </w: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March 31, 2023,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2022, for additional information related to the Prior Plans.</w:t>
      </w:r>
    </w:p>
    <w:p>
      <w:pPr>
        <w:spacing w:after="0" w:line="7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 recognized total compensation expense for share-based payments of $8,519,535 for the three months ended March 31, 2023. The Company recognized compensation expense for share-based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payments of $6,788,337 for the three months ended March 31, 2022. A portion of the compensation cost for share based payment awards is capitalized as part of inventory.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March 31, 2023, 8,991,744 share awards have been made under the Plan, resulting in 22,671,217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4"/>
                <w:szCs w:val="14"/>
                <w:color w:val="auto"/>
              </w:rPr>
            </w:pPr>
          </w:p>
        </w:tc>
        <w:tc>
          <w:tcPr>
            <w:tcW w:w="1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4,521,328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4,521,328</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3,609,000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14,652,540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861,416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3,497,349</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8,991,744</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22,671,217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March 31, 2023, there was $8,754,103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p>
      <w:pPr>
        <w:ind w:left="6644"/>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558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r>
      <w:tr>
        <w:trPr>
          <w:trHeight w:val="224"/>
        </w:trPr>
        <w:tc>
          <w:tcPr>
            <w:tcW w:w="55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6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29.04 %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28.16 %</w:t>
            </w:r>
          </w:p>
        </w:tc>
      </w:tr>
      <w:tr>
        <w:trPr>
          <w:trHeight w:val="229"/>
        </w:trPr>
        <w:tc>
          <w:tcPr>
            <w:tcW w:w="6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30"/>
        </w:trPr>
        <w:tc>
          <w:tcPr>
            <w:tcW w:w="6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bl>
    <w:p>
      <w:pPr>
        <w:spacing w:after="0" w:line="72" w:lineRule="exact"/>
        <w:rPr>
          <w:sz w:val="20"/>
          <w:szCs w:val="20"/>
          <w:color w:val="auto"/>
        </w:rPr>
      </w:pPr>
    </w:p>
    <w:p>
      <w:pPr>
        <w:ind w:left="324" w:hanging="324"/>
        <w:spacing w:after="0"/>
        <w:tabs>
          <w:tab w:leader="none" w:pos="324"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324" w:right="260" w:hanging="324"/>
        <w:spacing w:after="0" w:line="221" w:lineRule="auto"/>
        <w:tabs>
          <w:tab w:leader="none" w:pos="32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84" w:lineRule="auto"/>
        <w:tabs>
          <w:tab w:leader="none" w:pos="321"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2023, the Company had unearned stock-based compensation of $45,419,558 associated with the restricted stock grants issued under the 2019 Omnibus Plan and the Prior Plan. The unearned stock-based compensation related to these grants is being amortized to compensation expense over the applicable restriction periods. Compensation expense from</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restricted stock grants in the three months ended March 31, 2023 was $5,946,054. Compensation expense from restricted stock grants in the three months ended March 31, 2022 was $5,290,805.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March 31, 2023, the Company had unearned stock-based compensation of $19,418,307 associated with these performance share grants. The unearned stock-based compensation related to these grants is being amortized to compensation expense over the applicable performance periods.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March 31, 2023,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1,624,122 shares under this prior plan.</w:t>
      </w:r>
    </w:p>
    <w:p>
      <w:pPr>
        <w:spacing w:after="0" w:line="20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March 31, 2023, the Company has issued 156,103 shares under this plan.</w:t>
      </w:r>
    </w:p>
    <w:p>
      <w:pPr>
        <w:spacing w:after="0" w:line="200" w:lineRule="exact"/>
        <w:rPr>
          <w:sz w:val="20"/>
          <w:szCs w:val="20"/>
          <w:color w:val="auto"/>
        </w:rPr>
      </w:pPr>
    </w:p>
    <w:p>
      <w:pPr>
        <w:spacing w:after="0" w:line="24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8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58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2022</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(4,032,239)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920,589</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(121,167)</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(896,420)</w:t>
            </w:r>
          </w:p>
        </w:tc>
      </w:tr>
      <w:tr>
        <w:trPr>
          <w:trHeight w:val="223"/>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(121,167)</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(896,420)</w:t>
            </w:r>
          </w:p>
        </w:tc>
      </w:tr>
      <w:tr>
        <w:trPr>
          <w:trHeight w:val="223"/>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(4,153,406)</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24,169</w:t>
            </w:r>
          </w:p>
        </w:tc>
      </w:tr>
      <w:tr>
        <w:trPr>
          <w:trHeight w:val="88"/>
        </w:trPr>
        <w:tc>
          <w:tcPr>
            <w:tcW w:w="5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on available-for-sale debt securities: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(10,110,695)</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1,006,655</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277,718</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(6,423,937)</w:t>
            </w:r>
          </w:p>
        </w:tc>
      </w:tr>
      <w:tr>
        <w:trPr>
          <w:trHeight w:val="22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1,761,886</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265,705</w:t>
            </w:r>
          </w:p>
        </w:tc>
      </w:tr>
      <w:tr>
        <w:trPr>
          <w:trHeight w:val="223"/>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2,039,604</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(6,158,232)</w:t>
            </w:r>
          </w:p>
        </w:tc>
      </w:tr>
      <w:tr>
        <w:trPr>
          <w:trHeight w:val="262"/>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(8,071,091)</w:t>
            </w: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(5,151,577)</w:t>
            </w:r>
          </w:p>
        </w:tc>
      </w:tr>
      <w:tr>
        <w:trPr>
          <w:trHeight w:val="229"/>
        </w:trPr>
        <w:tc>
          <w:tcPr>
            <w:tcW w:w="58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 end of period</w:t>
            </w:r>
          </w:p>
        </w:tc>
        <w:tc>
          <w:tcPr>
            <w:tcW w:w="480" w:type="dxa"/>
            <w:vAlign w:val="bottom"/>
            <w:tcBorders>
              <w:top w:val="single" w:sz="8" w:color="CCEEFF"/>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(12,224,497)</w:t>
            </w:r>
          </w:p>
        </w:tc>
        <w:tc>
          <w:tcPr>
            <w:tcW w:w="480" w:type="dxa"/>
            <w:vAlign w:val="bottom"/>
            <w:tcBorders>
              <w:top w:val="single" w:sz="8" w:color="CCEEFF"/>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(5,127,408)</w:t>
            </w:r>
          </w:p>
        </w:tc>
      </w:tr>
      <w:tr>
        <w:trPr>
          <w:trHeight w:val="21"/>
        </w:trPr>
        <w:tc>
          <w:tcPr>
            <w:tcW w:w="5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months ended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31, 2023 and 2022:</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Details about Accumulated Other Comprehensive</w:t>
            </w:r>
          </w:p>
        </w:tc>
        <w:tc>
          <w:tcPr>
            <w:tcW w:w="160" w:type="dxa"/>
            <w:vAlign w:val="bottom"/>
          </w:tcPr>
          <w:p>
            <w:pPr>
              <w:spacing w:after="0"/>
              <w:rPr>
                <w:sz w:val="16"/>
                <w:szCs w:val="16"/>
                <w:color w:val="auto"/>
              </w:rPr>
            </w:pPr>
          </w:p>
        </w:tc>
        <w:tc>
          <w:tcPr>
            <w:tcW w:w="2860" w:type="dxa"/>
            <w:vAlign w:val="bottom"/>
            <w:gridSpan w:val="4"/>
            <w:vMerge w:val="restart"/>
          </w:tcPr>
          <w:p>
            <w:pPr>
              <w:jc w:val="center"/>
              <w:ind w:right="81"/>
              <w:spacing w:after="0"/>
              <w:rPr>
                <w:sz w:val="20"/>
                <w:szCs w:val="20"/>
                <w:color w:val="auto"/>
              </w:rPr>
            </w:pPr>
            <w:r>
              <w:rPr>
                <w:rFonts w:ascii="Arial" w:cs="Arial" w:eastAsia="Arial" w:hAnsi="Arial"/>
                <w:sz w:val="16"/>
                <w:szCs w:val="16"/>
                <w:b w:val="1"/>
                <w:bCs w:val="1"/>
                <w:color w:val="auto"/>
              </w:rPr>
              <w:t>Amounts Reclassified from Other</w:t>
            </w:r>
          </w:p>
        </w:tc>
        <w:tc>
          <w:tcPr>
            <w:tcW w:w="10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4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Consolidated Statements of</w:t>
            </w:r>
          </w:p>
        </w:tc>
        <w:tc>
          <w:tcPr>
            <w:tcW w:w="0" w:type="dxa"/>
            <w:vAlign w:val="bottom"/>
          </w:tcPr>
          <w:p>
            <w:pPr>
              <w:spacing w:after="0"/>
              <w:rPr>
                <w:sz w:val="1"/>
                <w:szCs w:val="1"/>
                <w:color w:val="auto"/>
              </w:rPr>
            </w:pPr>
          </w:p>
        </w:tc>
      </w:tr>
      <w:tr>
        <w:trPr>
          <w:trHeight w:val="216"/>
        </w:trPr>
        <w:tc>
          <w:tcPr>
            <w:tcW w:w="4120" w:type="dxa"/>
            <w:vAlign w:val="bottom"/>
            <w:gridSpan w:val="2"/>
          </w:tcPr>
          <w:p>
            <w:pPr>
              <w:ind w:left="1300"/>
              <w:spacing w:after="0"/>
              <w:rPr>
                <w:sz w:val="20"/>
                <w:szCs w:val="20"/>
                <w:color w:val="auto"/>
              </w:rPr>
            </w:pPr>
            <w:r>
              <w:rPr>
                <w:rFonts w:ascii="Arial" w:cs="Arial" w:eastAsia="Arial" w:hAnsi="Arial"/>
                <w:sz w:val="16"/>
                <w:szCs w:val="16"/>
                <w:b w:val="1"/>
                <w:bCs w:val="1"/>
                <w:color w:val="auto"/>
              </w:rPr>
              <w:t>Loss Components</w:t>
            </w:r>
          </w:p>
        </w:tc>
        <w:tc>
          <w:tcPr>
            <w:tcW w:w="160" w:type="dxa"/>
            <w:vAlign w:val="bottom"/>
          </w:tcPr>
          <w:p>
            <w:pPr>
              <w:spacing w:after="0"/>
              <w:rPr>
                <w:sz w:val="18"/>
                <w:szCs w:val="18"/>
                <w:color w:val="auto"/>
              </w:rPr>
            </w:pPr>
          </w:p>
        </w:tc>
        <w:tc>
          <w:tcPr>
            <w:tcW w:w="2860" w:type="dxa"/>
            <w:vAlign w:val="bottom"/>
            <w:gridSpan w:val="4"/>
          </w:tcPr>
          <w:p>
            <w:pPr>
              <w:jc w:val="center"/>
              <w:ind w:right="61"/>
              <w:spacing w:after="0"/>
              <w:rPr>
                <w:sz w:val="20"/>
                <w:szCs w:val="20"/>
                <w:color w:val="auto"/>
              </w:rPr>
            </w:pPr>
            <w:r>
              <w:rPr>
                <w:rFonts w:ascii="Arial" w:cs="Arial" w:eastAsia="Arial" w:hAnsi="Arial"/>
                <w:sz w:val="16"/>
                <w:szCs w:val="16"/>
                <w:b w:val="1"/>
                <w:bCs w:val="1"/>
                <w:color w:val="auto"/>
              </w:rPr>
              <w:t>Comprehensive Loss</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94"/>
        </w:trPr>
        <w:tc>
          <w:tcPr>
            <w:tcW w:w="4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4"/>
          </w:tcPr>
          <w:p>
            <w:pPr>
              <w:jc w:val="center"/>
              <w:ind w:right="8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Unrealized (losses) gains on available-for-sale</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12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Realized loss on sale</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of securities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(2,230,236)</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(336,335)</w:t>
            </w:r>
          </w:p>
        </w:tc>
        <w:tc>
          <w:tcPr>
            <w:tcW w:w="100" w:type="dxa"/>
            <w:vAlign w:val="bottom"/>
          </w:tcPr>
          <w:p>
            <w:pPr>
              <w:spacing w:after="0"/>
              <w:rPr>
                <w:sz w:val="21"/>
                <w:szCs w:val="21"/>
                <w:color w:val="auto"/>
              </w:rPr>
            </w:pPr>
          </w:p>
        </w:tc>
        <w:tc>
          <w:tcPr>
            <w:tcW w:w="2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70,630</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0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(1,761,886)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(265,705)</w:t>
            </w: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On October 15, 2018, the Company entered into a credit agreement with PNC as the administrative agent and sole lender, which has now been amended and restated as discussed below.</w:t>
      </w:r>
    </w:p>
    <w:p>
      <w:pPr>
        <w:spacing w:after="0" w:line="1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February 21, 2023, as previously disclosed, the Company entered into an amended and restated credit agreement ("Credit Agreement") that provided for, among other things, a three-year unsecured revolving credit facility with a borrowing capacity of up to $250.0 million ("Revolver") that matures on February 21, 2026, replacing in its entirety the Company's above referenced prior $150.0 million revolving credit facility scheduled to mature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March 31, 2023, there was no outstanding balance on the Revolver.</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three months ended March 31, 2023, was primarily due to the repurchases of 1.0 million shares, partially offset by the issuance of 0.6 million shares of the Company’s common stock, net of cancellations, under the Company’s stock-based compensation plans. The total net decrease was 0.4 million shares.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recorded a cash dividend of $0.120 per share during the first quarter of 2023 as compared to a cash dividend of $0.120 per share during the first quarter of 2022. The first quarter 2023 dividend of $28.0 million was declared on February 28, 2023 and was paid on April 19, 2023.</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80" w:type="dxa"/>
            <w:vAlign w:val="bottom"/>
            <w:gridSpan w:val="3"/>
          </w:tcPr>
          <w:p>
            <w:pPr>
              <w:jc w:val="right"/>
              <w:ind w:right="873"/>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57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2022</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537,422,988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457,952,554</w:t>
            </w:r>
          </w:p>
        </w:tc>
      </w:tr>
      <w:tr>
        <w:trPr>
          <w:trHeight w:val="229"/>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13,338,323</w:t>
            </w:r>
          </w:p>
        </w:tc>
        <w:tc>
          <w:tcPr>
            <w:tcW w:w="5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10,298,222</w:t>
            </w:r>
          </w:p>
        </w:tc>
      </w:tr>
      <w:tr>
        <w:trPr>
          <w:trHeight w:val="223"/>
        </w:trPr>
        <w:tc>
          <w:tcPr>
            <w:tcW w:w="5760" w:type="dxa"/>
            <w:vAlign w:val="bottom"/>
          </w:tcPr>
          <w:p>
            <w:pPr>
              <w:ind w:left="2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550,761,311</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468,250,776</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5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111,439,798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103,475,509</w:t>
            </w:r>
          </w:p>
        </w:tc>
      </w:tr>
      <w:tr>
        <w:trPr>
          <w:trHeight w:val="229"/>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1,810,849</w:t>
            </w:r>
          </w:p>
        </w:tc>
        <w:tc>
          <w:tcPr>
            <w:tcW w:w="5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(169,604)</w:t>
            </w:r>
          </w:p>
        </w:tc>
      </w:tr>
      <w:tr>
        <w:trPr>
          <w:trHeight w:val="223"/>
        </w:trPr>
        <w:tc>
          <w:tcPr>
            <w:tcW w:w="5760" w:type="dxa"/>
            <w:vAlign w:val="bottom"/>
          </w:tcPr>
          <w:p>
            <w:pPr>
              <w:ind w:left="2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113,250,647</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103,305,905</w:t>
            </w:r>
          </w:p>
        </w:tc>
      </w:tr>
      <w:tr>
        <w:trPr>
          <w:trHeight w:val="20"/>
        </w:trPr>
        <w:tc>
          <w:tcPr>
            <w:tcW w:w="5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15.9% in the three months ended March 31, 2023, compared to an effective tax rate of 15.3% for the same period in 2022.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month periods ended March 31, 2023 and March 31, 2022: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gridSpan w:val="3"/>
          </w:tcPr>
          <w:p>
            <w:pPr>
              <w:jc w:val="right"/>
              <w:ind w:right="852"/>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2022</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U.S.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170,781,604</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142,193,971</w:t>
            </w: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80,579,465</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67,565,320</w:t>
            </w: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Japan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72,155,984</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54,762,488</w:t>
            </w: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34,287,544</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32,135,079</w:t>
            </w:r>
          </w:p>
        </w:tc>
      </w:tr>
      <w:tr>
        <w:trPr>
          <w:trHeight w:val="230"/>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179,618,391</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161,295,696</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537,422,988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457,952,554</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13,338,323</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10,298,222</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550,761,311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468,250,776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global supply chain constraints;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3" w:lineRule="exact"/>
        <w:rPr>
          <w:sz w:val="20"/>
          <w:szCs w:val="20"/>
          <w:color w:val="auto"/>
        </w:rPr>
      </w:pPr>
    </w:p>
    <w:p>
      <w:pPr>
        <w:ind w:left="660" w:right="56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month periods ended March 31, 2023 and March 31, 2022: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1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spacing w:after="0"/>
              <w:rPr>
                <w:sz w:val="17"/>
                <w:szCs w:val="17"/>
                <w:color w:val="auto"/>
              </w:rPr>
            </w:pPr>
          </w:p>
        </w:tc>
        <w:tc>
          <w:tcPr>
            <w:tcW w:w="334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1"/>
        </w:trPr>
        <w:tc>
          <w:tcPr>
            <w:tcW w:w="612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20"/>
                <w:szCs w:val="20"/>
                <w:color w:val="auto"/>
              </w:rPr>
            </w:pPr>
          </w:p>
        </w:tc>
        <w:tc>
          <w:tcPr>
            <w:tcW w:w="1440" w:type="dxa"/>
            <w:vAlign w:val="bottom"/>
          </w:tcPr>
          <w:p>
            <w:pPr>
              <w:jc w:val="right"/>
              <w:ind w:right="7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240"/>
              <w:spacing w:after="0"/>
              <w:rPr>
                <w:sz w:val="20"/>
                <w:szCs w:val="20"/>
                <w:color w:val="auto"/>
              </w:rPr>
            </w:pPr>
            <w:r>
              <w:rPr>
                <w:rFonts w:ascii="Arial" w:cs="Arial" w:eastAsia="Arial" w:hAnsi="Arial"/>
                <w:sz w:val="18"/>
                <w:szCs w:val="18"/>
                <w:color w:val="auto"/>
              </w:rPr>
              <w:t>Automotive Mirrors &amp; Electronics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505,731,576</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423,626,489</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31,691,412</w:t>
            </w: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34,326,065</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Total Automotive Products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537,422,988</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457,952,554</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Other Segment</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9,301,153</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8,447,686</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Aerospace Products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4,037,170</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1,850,536</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13,338,323</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10,298,222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28332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March 31, 2023 was 2 years, with a weighted average discount rate of 5.8%.</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March 31,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three months ended March 31, 2023)</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1,291,999</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863,358</w:t>
            </w:r>
          </w:p>
        </w:tc>
        <w:tc>
          <w:tcPr>
            <w:tcW w:w="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492,746</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84,795</w:t>
            </w:r>
          </w:p>
        </w:tc>
        <w:tc>
          <w:tcPr>
            <w:tcW w:w="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2,733,876</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(87,129)</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2,646,747</w:t>
            </w:r>
          </w:p>
        </w:tc>
        <w:tc>
          <w:tcPr>
            <w:tcW w:w="60" w:type="dxa"/>
            <w:vAlign w:val="bottom"/>
          </w:tcPr>
          <w:p>
            <w:pPr>
              <w:spacing w:after="0"/>
              <w:rPr>
                <w:sz w:val="19"/>
                <w:szCs w:val="19"/>
                <w:color w:val="auto"/>
              </w:rPr>
            </w:pPr>
          </w:p>
        </w:tc>
      </w:tr>
      <w:tr>
        <w:trPr>
          <w:trHeight w:val="364"/>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1"/>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2023</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1,572,606</w:t>
            </w:r>
          </w:p>
        </w:tc>
        <w:tc>
          <w:tcPr>
            <w:tcW w:w="60" w:type="dxa"/>
            <w:vAlign w:val="bottom"/>
            <w:shd w:val="clear" w:color="auto" w:fill="CCEEFF"/>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1,074,141</w:t>
            </w:r>
          </w:p>
        </w:tc>
        <w:tc>
          <w:tcPr>
            <w:tcW w:w="6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2,646,747</w:t>
            </w: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 QUARTER 2023 VERSUS FIRST QUARTER 2022</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first quarter of 2023 increased by $82.5 million or 18%, when compared with the first quarter of 2022.</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Automotive net sales for the first quarter of 2023 were $537.4 million, a 17% increase when compared with automotive net sales of $458.0 million in the first quarter of 2022. The 16% increase in automotive mirror unit shipments in the first quarter of 2023 to 12.7 million units compared with 11.0 million units in the first quarter of 2022, was driven by a 20% quarter over quarter increase in exterior auto-dimming mirror unit shipments.</w:t>
      </w:r>
    </w:p>
    <w:p>
      <w:pPr>
        <w:spacing w:after="0" w:line="203"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2023, and 2022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3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7"/>
                <w:szCs w:val="17"/>
                <w:color w:val="auto"/>
              </w:rPr>
            </w:pPr>
          </w:p>
        </w:tc>
      </w:tr>
      <w:tr>
        <w:trPr>
          <w:trHeight w:val="196"/>
        </w:trPr>
        <w:tc>
          <w:tcPr>
            <w:tcW w:w="54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2023</w:t>
            </w:r>
          </w:p>
        </w:tc>
        <w:tc>
          <w:tcPr>
            <w:tcW w:w="164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6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2,426</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2,161</w:t>
            </w:r>
          </w:p>
        </w:tc>
        <w:tc>
          <w:tcPr>
            <w:tcW w:w="1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9"/>
              </w:rPr>
              <w:t>12%</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1,619</w:t>
            </w:r>
          </w:p>
        </w:tc>
        <w:tc>
          <w:tcPr>
            <w:tcW w:w="16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1,461</w:t>
            </w:r>
          </w:p>
        </w:tc>
        <w:tc>
          <w:tcPr>
            <w:tcW w:w="110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94"/>
              </w:rPr>
              <w:t>11%</w:t>
            </w:r>
          </w:p>
        </w:tc>
      </w:tr>
      <w:tr>
        <w:trPr>
          <w:trHeight w:val="223"/>
        </w:trPr>
        <w:tc>
          <w:tcPr>
            <w:tcW w:w="5400" w:type="dxa"/>
            <w:vAlign w:val="bottom"/>
            <w:shd w:val="clear" w:color="auto" w:fill="CCEEFF"/>
          </w:tcPr>
          <w:p>
            <w:pPr>
              <w:jc w:val="right"/>
              <w:ind w:right="2430"/>
              <w:spacing w:after="0"/>
              <w:rPr>
                <w:sz w:val="20"/>
                <w:szCs w:val="20"/>
                <w:color w:val="auto"/>
              </w:rPr>
            </w:pPr>
            <w:r>
              <w:rPr>
                <w:rFonts w:ascii="Arial" w:cs="Arial" w:eastAsia="Arial" w:hAnsi="Arial"/>
                <w:sz w:val="18"/>
                <w:szCs w:val="18"/>
                <w:color w:val="auto"/>
              </w:rPr>
              <w:t>Total North American Mirror Units</w:t>
            </w:r>
          </w:p>
        </w:tc>
        <w:tc>
          <w:tcPr>
            <w:tcW w:w="16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4,045</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3,623</w:t>
            </w:r>
          </w:p>
        </w:tc>
        <w:tc>
          <w:tcPr>
            <w:tcW w:w="1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9"/>
              </w:rPr>
              <w:t>12%</w:t>
            </w:r>
          </w:p>
        </w:tc>
      </w:tr>
      <w:tr>
        <w:trPr>
          <w:trHeight w:val="270"/>
        </w:trPr>
        <w:tc>
          <w:tcPr>
            <w:tcW w:w="54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6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5,771</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5,087</w:t>
            </w:r>
          </w:p>
        </w:tc>
        <w:tc>
          <w:tcPr>
            <w:tcW w:w="1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9"/>
              </w:rPr>
              <w:t>13%</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2,901</w:t>
            </w:r>
          </w:p>
        </w:tc>
        <w:tc>
          <w:tcPr>
            <w:tcW w:w="16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2,293</w:t>
            </w: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color w:val="auto"/>
                <w:w w:val="99"/>
              </w:rPr>
              <w:t>26%</w:t>
            </w:r>
          </w:p>
        </w:tc>
      </w:tr>
      <w:tr>
        <w:trPr>
          <w:trHeight w:val="223"/>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6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8,672</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7,380</w:t>
            </w:r>
          </w:p>
        </w:tc>
        <w:tc>
          <w:tcPr>
            <w:tcW w:w="1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9"/>
              </w:rPr>
              <w:t>18%</w:t>
            </w:r>
          </w:p>
        </w:tc>
      </w:tr>
      <w:tr>
        <w:trPr>
          <w:trHeight w:val="270"/>
        </w:trPr>
        <w:tc>
          <w:tcPr>
            <w:tcW w:w="54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6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8,197</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7,248</w:t>
            </w:r>
          </w:p>
        </w:tc>
        <w:tc>
          <w:tcPr>
            <w:tcW w:w="1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9"/>
              </w:rPr>
              <w:t>13%</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4,519</w:t>
            </w:r>
          </w:p>
        </w:tc>
        <w:tc>
          <w:tcPr>
            <w:tcW w:w="16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3,755</w:t>
            </w: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color w:val="auto"/>
                <w:w w:val="99"/>
              </w:rPr>
              <w:t>20%</w:t>
            </w:r>
          </w:p>
        </w:tc>
      </w:tr>
      <w:tr>
        <w:trPr>
          <w:trHeight w:val="248"/>
        </w:trPr>
        <w:tc>
          <w:tcPr>
            <w:tcW w:w="5400" w:type="dxa"/>
            <w:vAlign w:val="bottom"/>
            <w:tcBorders>
              <w:bottom w:val="single" w:sz="8" w:color="CCEEFF"/>
            </w:tcBorders>
            <w:shd w:val="clear" w:color="auto" w:fill="CCEEFF"/>
          </w:tcPr>
          <w:p>
            <w:pPr>
              <w:jc w:val="right"/>
              <w:ind w:right="2430"/>
              <w:spacing w:after="0"/>
              <w:rPr>
                <w:sz w:val="20"/>
                <w:szCs w:val="20"/>
                <w:color w:val="auto"/>
              </w:rPr>
            </w:pPr>
            <w:r>
              <w:rPr>
                <w:rFonts w:ascii="Arial" w:cs="Arial" w:eastAsia="Arial" w:hAnsi="Arial"/>
                <w:sz w:val="18"/>
                <w:szCs w:val="18"/>
                <w:color w:val="auto"/>
              </w:rPr>
              <w:t>Total Auto-Dimming Mirror Units</w:t>
            </w:r>
          </w:p>
        </w:tc>
        <w:tc>
          <w:tcPr>
            <w:tcW w:w="16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12,717</w:t>
            </w:r>
          </w:p>
        </w:tc>
        <w:tc>
          <w:tcPr>
            <w:tcW w:w="16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11,003</w:t>
            </w:r>
          </w:p>
        </w:tc>
        <w:tc>
          <w:tcPr>
            <w:tcW w:w="1100" w:type="dxa"/>
            <w:vAlign w:val="bottom"/>
            <w:tcBorders>
              <w:bottom w:val="single" w:sz="8" w:color="auto"/>
            </w:tcBorders>
            <w:shd w:val="clear" w:color="auto" w:fill="CCEEFF"/>
          </w:tcPr>
          <w:p>
            <w:pPr>
              <w:jc w:val="center"/>
              <w:ind w:right="252"/>
              <w:spacing w:after="0"/>
              <w:rPr>
                <w:sz w:val="20"/>
                <w:szCs w:val="20"/>
                <w:color w:val="auto"/>
              </w:rPr>
            </w:pPr>
            <w:r>
              <w:rPr>
                <w:rFonts w:ascii="Arial" w:cs="Arial" w:eastAsia="Arial" w:hAnsi="Arial"/>
                <w:sz w:val="18"/>
                <w:szCs w:val="18"/>
                <w:color w:val="auto"/>
                <w:w w:val="99"/>
              </w:rPr>
              <w:t>16%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Other net sales were $13.3 million in the first quarter of 2023, compared to $10.3 million in the first quarter of 2022. Fire protection sales increased by 10% to $9.3 million for the first quarter of 2023, compared to $8.4 million in the same quarter of last year. Dimmable aircraft sales increased by 118% for the first quarter of 2023 to $4.0 million, from $1.9 million in the same quarter of last year.</w:t>
      </w:r>
    </w:p>
    <w:p>
      <w:pPr>
        <w:spacing w:after="0" w:line="10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68.3% for the first quarter of 2023, versus 65.7%</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The quarter over quarter decrease in the gross profit margin was primarily the result of raw material cost increases, prior commitments to annual customer price reductions, unfavorable product mix, and labor cost increases, which were partially offset by decreases in freight expense. On a quarter over quarter basis, both raw material increases and annual customer price reductions each had a separate individual impact on gross margin of approximately 100 - 150 basis points on gross margin. Both product mix shifts and labor cost increases each had a separate negative impact on gross margin of approximately 50 - 100 basis points on a quarter over quarter basis. The decrease in freight expense had a positive impact on gross margin of approximately 100 - 150 basis points on a quarter over quarter basis.</w:t>
      </w:r>
    </w:p>
    <w:p>
      <w:pPr>
        <w:spacing w:after="0" w:line="117"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for the first quarter of 2023 increased by $2.7 million,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first quarter of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Selling, general and administrative ("S, G &amp; A") expenses increased by 7% or $1.7 million for the first quarter of 2023, compared to the first quarter of 2022. S, G &amp; A expenses were 5% of net sales in the first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8"/>
          <w:szCs w:val="18"/>
          <w:color w:val="auto"/>
        </w:rPr>
        <w:t>quarter of 2023 and in the first quarter of 2022. S, G, &amp; A expenses increased on a quarter over quarter basis primarily due to staffing and professional fees.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operating expenses were $61.5 million in the first quarter of 2023, an increase of 8% quarter over quarter or $4.4 million, from $57.1 million in the first quarter of 2022.</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first quarter of 2023 increased by $2.8 million, when compared with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2022.</w:t>
      </w:r>
    </w:p>
    <w:p>
      <w:pPr>
        <w:spacing w:after="0" w:line="3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15.9% for, and an income tax expense of $18.4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2023, compared to an effective tax rate of 15.3% for, and an income tax expense of $15.8 million for the same quarter of 2022.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first quarter of 2023 was $97.6 million, up from a net income of $87.5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change in net income was primarily the result of quarter over quarter increases in net sales and operating profits.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first quarter of 2023 of $0.42,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$0.37 for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Company's cash and cash equivalents as of March 31, 2023 were $215.5 million, which increased $0.7 million compared to $214.8 million as of December 31, 2022. The increase was primarily due to cash flows from operations, which was largely offset by capital expenditures, dividend payments, investment purchases, and share repurchases during the three months ended March 31, 2023.</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Short-term investments as of March 31, 2023 were $ 25.6 million, up from $ 23.0 million as of December 31, 2022, and long-term investments were $229.4 million as of March 31, 2023, up from $202.3 million as of December 31, 2022.</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as of March 31, 2023 increased approximately $56.4 million compared to December 31, 2022, primarily due to the timing of sales during the three months ended March 31, 2023. As of March 31, 2023, all of the Company's material tier one and OEM customers continue to be in good standing.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March 31, 2023 were $401.8 million, compared to $404.4 million as of December 31, 2022.</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Accounts payable as of March 31, 2023 increased approximately $15.2 million to $166.9 million, when compared to December 31, 2022, primarily driven by month end payment timing and increased capital expenditures.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Accrued liabilities as of March 31, 2023 increased approximately $31.3 million compared to December 31, 2022, primarily due to an increase in accrued salaries and wages, as well as accrued income taxes.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flow from operating activities for the three months ended March 31, 2023 increased $5.0 million to $120.9 million, compared with $116.0 million during the same three month period last year, primarily due to an increase in net income, which was partially offset by changes in working capital.</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Capital expenditures for the three months ended March 31, 2023 were approximately $42.8 million, compared with approximately $23.9 million for the same quarter last year. The increase was primarily due to an increase in expenditures related to building and facility construction projects previously disclosed.</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the first quarter of 2022, the Company began construction on a 350,000 square-foot manufacturing facility located at a 140 acre site in Zeeland, Michigan, where the Company previously performed master planning and completed land infrastructure improvements. The total cost of the building project is still expected to be approximately $80 - $90 million, which will be funded with cash and cash equivalents on hand. The facility is expected to be operational in the fourth quarter of 2023. The Company has also begun construction on two building expansions during the second quarter of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 The Company also entered into a multi-year lease for 32,000 square feet of manufacturing space at a location approximately 20 miles from its main campus that is scheduled be operational in the second quarter of 2023.</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34 - 37 million interior mirror units annually and approximately 15 - 18 million exterior mirror units annually, based on current product mix. The Company also evaluates equipment capacity on an ongoing basis and adds equipment as needed.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708,010,461</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698,099,624</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229,398,824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202,331,983</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937,409,285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900,431,607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industry-wide parts shortages, and global supply chain and labor constraints), market trends, and other factors the Company deems appropriate (including the market price of the stock, anti-dilutive effect of repurchases, and available cash). During the three months ended March 31, 2023, the Company repurchased 1,046,926 shares. The Company has 19,736,239 shares remaining under the plan as of March 31, 2023,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first quarter of 2023, the Company reported net sales of $550.8 million, compared to net sales of $468.3 million in the first quarter of 2022, an 18% increase quarter over quarter and a new quarterly sales record for the Company. For the first quarter of 2023, global light vehicle production in North America, Europe, Japan/Korea, and China increased approximately 6%, when compared to the first quarter of 2022.</w:t>
      </w: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the first quarter of 2023, the Company had 18 net new launches of interior and exterior auto-dimming mirrors and electronic features. Over 70% of the launches in the first quarter of 2023 were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being the bulk of such launches.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As of the first quarter of 2023,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fifteen different automaker customers, which are General Motors, Subaru, Toyota, Nissan, Jaguar Land Rover, Mitsubishi, Aston Martin, Stellantis, along with Maserati and Fiat, Mercedes, Ferrari, Ford, Hyundai, and Mazda. As of the end of the first quarter of 2023,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94 nameplates. The Company remains confident that ongoing discussions with certain other 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4" w:name="page25"/>
    <w:bookmarkEnd w:id="24"/>
    <w:p>
      <w:pPr>
        <w:jc w:val="both"/>
        <w:spacing w:after="0" w:line="247" w:lineRule="auto"/>
        <w:rPr>
          <w:sz w:val="20"/>
          <w:szCs w:val="20"/>
          <w:color w:val="auto"/>
        </w:rPr>
      </w:pPr>
      <w:r>
        <w:rPr>
          <w:rFonts w:ascii="Arial" w:cs="Arial" w:eastAsia="Arial" w:hAnsi="Arial"/>
          <w:sz w:val="18"/>
          <w:szCs w:val="18"/>
          <w:color w:val="auto"/>
        </w:rPr>
        <w:t>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 monitoring systems as an option to replace conventional rearview mirrors within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States. At the annual SAE Government-Industry Meeting in January 2017, NHTSA requested that SAE develop Recommended Procedures for test protocols and performance criteria for camera monitoring systems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1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Korean market. China has now released an updated version of its GB15084, which will be effective later in 2023, and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fifteen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all fifteen of these automaker customers.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8"/>
          <w:szCs w:val="18"/>
          <w:color w:val="auto"/>
        </w:rPr>
        <w:t>such technology evolves over time, such as cameras replacing mirrors and/or autonomous driving, there will be increased competition.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for the Toyota Harrier in the second quarter of 2020.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During the first quarter of 2023, the Company continued shipping auto-dimming mirrors containing DVR for both the Toyota Yaris and the Yaris Cross for the Japan market. This product is the first Gentex DVR product that has an app available to allow the consumer to pull recorded information from the mirror to a phone, which creates a more user friendly experience.</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combining with other systems on the vehicle, including radar, navigation, steering, and related modules provided by other suppliers. This enables the Company to provide its customers with highly customizable solutions that meets their unique needs and specifications.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final rule issued by NHTSA for adaptive driving beans (AEB) was made effective February 22, 2022. The Company believes its adaptive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(dynamic lighting system), which has been manufactured and sold for many years in jurisdictions outside the United States, will be permitted under the NHTSA Final Rule.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Company's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2"/>
          <w:szCs w:val="22"/>
          <w:color w:val="auto"/>
          <w:vertAlign w:val="superscript"/>
        </w:rPr>
        <w:t>®</w:t>
      </w:r>
      <w:r>
        <w:rPr>
          <w:rFonts w:ascii="Arial" w:cs="Arial" w:eastAsia="Arial" w:hAnsi="Arial"/>
          <w:sz w:val="17"/>
          <w:szCs w:val="17"/>
          <w:color w:val="auto"/>
        </w:rPr>
        <w:t>, commonly referred to as HomeLink Connect</w:t>
      </w:r>
      <w:r>
        <w:rPr>
          <w:rFonts w:ascii="Arial" w:cs="Arial" w:eastAsia="Arial" w:hAnsi="Arial"/>
          <w:sz w:val="22"/>
          <w:szCs w:val="22"/>
          <w:color w:val="auto"/>
          <w:vertAlign w:val="superscript"/>
        </w:rPr>
        <w:t>®</w:t>
      </w:r>
      <w:r>
        <w:rPr>
          <w:rFonts w:ascii="Arial" w:cs="Arial" w:eastAsia="Arial" w:hAnsi="Arial"/>
          <w:sz w:val="17"/>
          <w:szCs w:val="17"/>
          <w:color w:val="auto"/>
        </w:rPr>
        <w:t>, which uses both RF and wireless cloud-based connectivity to deliver complete vehicle-to-home automation.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a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button press communicates with the HomeLink Connect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enabled mirror for home automation that works in conjunction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The Company further continues to work with compatibility partners for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and products. In 2017, the Company began its first volume production shipments of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units on vehicles for the China market.</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27"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the remainder of 2023 and 2024. The Company is also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recognizes automotive suppliers for superior innovation, technological advancement, and business performance.</w:t>
      </w:r>
    </w:p>
    <w:p>
      <w:pPr>
        <w:spacing w:after="0" w:line="25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2023, the Company</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8"/>
          <w:szCs w:val="18"/>
          <w:color w:val="auto"/>
        </w:rPr>
        <w:t>continues to further develop and work on the intelligent medical lighting system in order to assess system performance and work toward obtaining any necessary approvals.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as the Company engages with automotive customers regarding the inflationary aspects of the business, it continues to experience pricing pressure from such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the COVID-19 pandemic and industry-wide parts shortages and global supply constraints and labor shortages.</w:t>
      </w:r>
    </w:p>
    <w:p>
      <w:pPr>
        <w:spacing w:after="0" w:line="2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most recent forecasts for light vehicle production for the second quarter of 2023, and full years 2023 and 2024 are based on the mid-April 2023 S&amp;P Global Mobility light vehicle production forecast for light vehicle production in North America, Europe, Japan/Korea, and China. Second quarter of 2023 and calendar years 2023 and 2024 forecasted light vehicle production volumes are shown below:</w:t>
      </w:r>
    </w:p>
    <w:p>
      <w:pPr>
        <w:spacing w:after="0" w:line="239"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color w:val="auto"/>
        </w:rPr>
        <w:t>Light Vehicle Production (per S&amp;P Global Mobility mid-April light vehicle production forecast)</w:t>
      </w:r>
    </w:p>
    <w:p>
      <w:pPr>
        <w:spacing w:after="0" w:line="43"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i w:val="1"/>
          <w:iCs w:val="1"/>
          <w:color w:val="auto"/>
        </w:rPr>
        <w:t>(in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Q2 2023</w:t>
            </w:r>
          </w:p>
        </w:tc>
        <w:tc>
          <w:tcPr>
            <w:tcW w:w="7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Q2 2022</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Calendar</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Calendar</w:t>
            </w:r>
          </w:p>
        </w:tc>
        <w:tc>
          <w:tcPr>
            <w:tcW w:w="1220" w:type="dxa"/>
            <w:vAlign w:val="bottom"/>
          </w:tcPr>
          <w:p>
            <w:pPr>
              <w:jc w:val="right"/>
              <w:ind w:right="95"/>
              <w:spacing w:after="0"/>
              <w:rPr>
                <w:sz w:val="20"/>
                <w:szCs w:val="20"/>
                <w:color w:val="auto"/>
              </w:rPr>
            </w:pPr>
            <w:r>
              <w:rPr>
                <w:rFonts w:ascii="Arial" w:cs="Arial" w:eastAsia="Arial" w:hAnsi="Arial"/>
                <w:sz w:val="14"/>
                <w:szCs w:val="14"/>
                <w:b w:val="1"/>
                <w:bCs w:val="1"/>
                <w:color w:val="auto"/>
              </w:rPr>
              <w:t>2024 vs 2023</w:t>
            </w: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09"/>
        </w:trPr>
        <w:tc>
          <w:tcPr>
            <w:tcW w:w="19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rPr>
              <w:t>Year 2024</w:t>
            </w: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rPr>
              <w:t>Year 2023</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2022</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19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North America</w:t>
            </w:r>
          </w:p>
        </w:tc>
        <w:tc>
          <w:tcPr>
            <w:tcW w:w="7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3.89</w:t>
            </w:r>
          </w:p>
        </w:tc>
        <w:tc>
          <w:tcPr>
            <w:tcW w:w="7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3.55</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10 %</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15.56</w:t>
            </w: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15.04</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14.30</w:t>
            </w: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right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3 %</w:t>
            </w:r>
          </w:p>
        </w:tc>
        <w:tc>
          <w:tcPr>
            <w:tcW w:w="1200" w:type="dxa"/>
            <w:vAlign w:val="bottom"/>
            <w:tcBorders>
              <w:top w:val="single" w:sz="8" w:color="auto"/>
              <w:right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Europe</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4.29</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3.97</w:t>
            </w:r>
          </w:p>
        </w:tc>
        <w:tc>
          <w:tcPr>
            <w:tcW w:w="90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17.57</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16.94</w:t>
            </w:r>
          </w:p>
        </w:tc>
        <w:tc>
          <w:tcPr>
            <w:tcW w:w="900" w:type="dxa"/>
            <w:vAlign w:val="bottom"/>
          </w:tcPr>
          <w:p>
            <w:pPr>
              <w:jc w:val="right"/>
              <w:spacing w:after="0"/>
              <w:rPr>
                <w:sz w:val="20"/>
                <w:szCs w:val="20"/>
                <w:color w:val="auto"/>
              </w:rPr>
            </w:pPr>
            <w:r>
              <w:rPr>
                <w:rFonts w:ascii="Arial" w:cs="Arial" w:eastAsia="Arial" w:hAnsi="Arial"/>
                <w:sz w:val="18"/>
                <w:szCs w:val="18"/>
                <w:color w:val="auto"/>
              </w:rPr>
              <w:t>15.83</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11.68</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6.56</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27.97</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26.40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 Vehicle</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17.77</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15.53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72.78</w:t>
            </w: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70.40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40" w:type="dxa"/>
            <w:vAlign w:val="bottom"/>
            <w:shd w:val="clear" w:color="auto" w:fill="CCEEFF"/>
          </w:tcPr>
          <w:p>
            <w:pPr>
              <w:spacing w:after="0"/>
              <w:rPr>
                <w:sz w:val="13"/>
                <w:szCs w:val="13"/>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6"/>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results for the first three months of 2023, the Company is making no changes to its previously provided guidance for calendar year 2023 as shown below.</w:t>
      </w:r>
    </w:p>
    <w:p>
      <w:pPr>
        <w:spacing w:after="0" w:line="2" w:lineRule="exact"/>
        <w:rPr>
          <w:sz w:val="20"/>
          <w:szCs w:val="20"/>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is expected to be approximately $2.2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is expected to be between 32% and 33%</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$260 to $270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17%</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 are expected to be between $200 and $225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$100 and $110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high levels of volatility in customer orders and vehicle production volumes, electronics supply chain constraints, the Ukraine-Russia conflict, labor shortages, and overall economic uncertainty, the Company believes that revenue remains difficult to forecast for the remainder of the year and beyond.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As of March 31, 2023, the Company has 19.7 million shares remaining available for repurchase under the previously announced share repurchase plan.</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based on the Company’s current forecasts for light vehicle production for calendar year 2024, the Company still expects calendar year 2024 revenue growth of approximately 10% above the 2023 revenue guidance of $2.2 billion. As noted above, continuing uncertainties make forecasting difficult.</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2022.</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 For the quarter ended March 31, 2023, any material changes in risk factors that were disclosed in the Company's report on Form 10-K for the year ended December 31, 2022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reduced,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2023,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2023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w:t>
      </w:r>
      <w:r>
        <w:rPr>
          <w:rFonts w:ascii="Arial" w:cs="Arial" w:eastAsia="Arial" w:hAnsi="Arial"/>
          <w:sz w:val="18"/>
          <w:szCs w:val="18"/>
          <w:color w:val="0A0A0A"/>
        </w:rPr>
        <w:t>These</w:t>
      </w:r>
      <w:r>
        <w:rPr>
          <w:rFonts w:ascii="Arial" w:cs="Arial" w:eastAsia="Arial" w:hAnsi="Arial"/>
          <w:sz w:val="18"/>
          <w:szCs w:val="18"/>
          <w:color w:val="auto"/>
        </w:rPr>
        <w:t xml:space="preserve"> </w:t>
      </w:r>
      <w:r>
        <w:rPr>
          <w:rFonts w:ascii="Arial" w:cs="Arial" w:eastAsia="Arial" w:hAnsi="Arial"/>
          <w:sz w:val="18"/>
          <w:szCs w:val="18"/>
          <w:color w:val="0A0A0A"/>
        </w:rPr>
        <w:t>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0A0A0A"/>
        </w:rPr>
        <w:t>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an inflationary environment, COVID-19 (coronavirus) pandemic, and supply chain and labor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October 18, 2022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2022. There have been no material changes to the risk factors previously disclosed in the Company’s report on Form 10-K for the year ended December 31, 2022,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three months of 2023, the Company repurchased 1.0 million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and labor constraints), market trends, and other factors the Company deems appropriate (including the market price of the stock, anti-dilutive effect of repurchases, and available cash).</w:t>
      </w:r>
    </w:p>
    <w:p>
      <w:pPr>
        <w:spacing w:after="0" w:line="21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After the Company repurchased 1,046,926 shares during the first three months of 2023, the Company has 19.7 million shares remaining under the plan as of March 31, 2023.</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quarter ended March 31, 2023:</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498"/>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20,783,165</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February 2023</w:t>
            </w:r>
          </w:p>
        </w:tc>
        <w:tc>
          <w:tcPr>
            <w:tcW w:w="1800" w:type="dxa"/>
            <w:vAlign w:val="bottom"/>
          </w:tcPr>
          <w:p>
            <w:pPr>
              <w:jc w:val="right"/>
              <w:spacing w:after="0"/>
              <w:rPr>
                <w:sz w:val="20"/>
                <w:szCs w:val="20"/>
                <w:color w:val="auto"/>
              </w:rPr>
            </w:pPr>
            <w:r>
              <w:rPr>
                <w:rFonts w:ascii="Arial" w:cs="Arial" w:eastAsia="Arial" w:hAnsi="Arial"/>
                <w:sz w:val="18"/>
                <w:szCs w:val="18"/>
                <w:color w:val="auto"/>
              </w:rPr>
              <w:t>46,835</w:t>
            </w:r>
          </w:p>
        </w:tc>
        <w:tc>
          <w:tcPr>
            <w:tcW w:w="1440" w:type="dxa"/>
            <w:vAlign w:val="bottom"/>
          </w:tcPr>
          <w:p>
            <w:pPr>
              <w:jc w:val="right"/>
              <w:spacing w:after="0"/>
              <w:rPr>
                <w:sz w:val="20"/>
                <w:szCs w:val="20"/>
                <w:color w:val="auto"/>
              </w:rPr>
            </w:pPr>
            <w:r>
              <w:rPr>
                <w:rFonts w:ascii="Arial" w:cs="Arial" w:eastAsia="Arial" w:hAnsi="Arial"/>
                <w:sz w:val="18"/>
                <w:szCs w:val="18"/>
                <w:color w:val="auto"/>
              </w:rPr>
              <w:t>28.58</w:t>
            </w:r>
          </w:p>
        </w:tc>
        <w:tc>
          <w:tcPr>
            <w:tcW w:w="2060" w:type="dxa"/>
            <w:vAlign w:val="bottom"/>
          </w:tcPr>
          <w:p>
            <w:pPr>
              <w:jc w:val="right"/>
              <w:spacing w:after="0"/>
              <w:rPr>
                <w:sz w:val="20"/>
                <w:szCs w:val="20"/>
                <w:color w:val="auto"/>
              </w:rPr>
            </w:pPr>
            <w:r>
              <w:rPr>
                <w:rFonts w:ascii="Arial" w:cs="Arial" w:eastAsia="Arial" w:hAnsi="Arial"/>
                <w:sz w:val="18"/>
                <w:szCs w:val="18"/>
                <w:color w:val="auto"/>
              </w:rPr>
              <w:t>46,835</w:t>
            </w:r>
          </w:p>
        </w:tc>
        <w:tc>
          <w:tcPr>
            <w:tcW w:w="2060" w:type="dxa"/>
            <w:vAlign w:val="bottom"/>
          </w:tcPr>
          <w:p>
            <w:pPr>
              <w:jc w:val="right"/>
              <w:spacing w:after="0"/>
              <w:rPr>
                <w:sz w:val="20"/>
                <w:szCs w:val="20"/>
                <w:color w:val="auto"/>
              </w:rPr>
            </w:pPr>
            <w:r>
              <w:rPr>
                <w:rFonts w:ascii="Arial" w:cs="Arial" w:eastAsia="Arial" w:hAnsi="Arial"/>
                <w:sz w:val="18"/>
                <w:szCs w:val="18"/>
                <w:color w:val="auto"/>
              </w:rPr>
              <w:t>20,736,330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1,000,091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1,000,091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2023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1,046,926</w:t>
            </w:r>
          </w:p>
        </w:tc>
        <w:tc>
          <w:tcPr>
            <w:tcW w:w="1440" w:type="dxa"/>
            <w:vAlign w:val="bottom"/>
          </w:tcPr>
          <w:p>
            <w:pPr>
              <w:jc w:val="right"/>
              <w:spacing w:after="0"/>
              <w:rPr>
                <w:sz w:val="20"/>
                <w:szCs w:val="20"/>
                <w:color w:val="auto"/>
              </w:rPr>
            </w:pPr>
            <w:r>
              <w:rPr>
                <w:rFonts w:ascii="Arial" w:cs="Arial" w:eastAsia="Arial" w:hAnsi="Arial"/>
                <w:sz w:val="18"/>
                <w:szCs w:val="18"/>
                <w:color w:val="auto"/>
              </w:rPr>
              <w:t>27.19</w:t>
            </w:r>
          </w:p>
        </w:tc>
        <w:tc>
          <w:tcPr>
            <w:tcW w:w="2060" w:type="dxa"/>
            <w:vAlign w:val="bottom"/>
          </w:tcPr>
          <w:p>
            <w:pPr>
              <w:jc w:val="right"/>
              <w:spacing w:after="0"/>
              <w:rPr>
                <w:sz w:val="20"/>
                <w:szCs w:val="20"/>
                <w:color w:val="auto"/>
              </w:rPr>
            </w:pPr>
            <w:r>
              <w:rPr>
                <w:rFonts w:ascii="Arial" w:cs="Arial" w:eastAsia="Arial" w:hAnsi="Arial"/>
                <w:sz w:val="18"/>
                <w:szCs w:val="18"/>
                <w:color w:val="auto"/>
              </w:rPr>
              <w:t>1,046,926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2023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1,046,926</w:t>
            </w:r>
          </w:p>
        </w:tc>
        <w:tc>
          <w:tcPr>
            <w:tcW w:w="1440" w:type="dxa"/>
            <w:vAlign w:val="bottom"/>
          </w:tcPr>
          <w:p>
            <w:pPr>
              <w:jc w:val="right"/>
              <w:spacing w:after="0"/>
              <w:rPr>
                <w:sz w:val="20"/>
                <w:szCs w:val="20"/>
                <w:color w:val="auto"/>
              </w:rPr>
            </w:pPr>
            <w:r>
              <w:rPr>
                <w:rFonts w:ascii="Arial" w:cs="Arial" w:eastAsia="Arial" w:hAnsi="Arial"/>
                <w:sz w:val="18"/>
                <w:szCs w:val="18"/>
                <w:color w:val="auto"/>
              </w:rPr>
              <w:t>27.19</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1,046,926</w:t>
            </w:r>
          </w:p>
        </w:tc>
        <w:tc>
          <w:tcPr>
            <w:tcW w:w="2060" w:type="dxa"/>
            <w:vAlign w:val="bottom"/>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840"/>
        <w:spacing w:after="0" w:line="287" w:lineRule="auto"/>
        <w:rPr>
          <w:sz w:val="20"/>
          <w:szCs w:val="20"/>
          <w:color w:val="auto"/>
        </w:rPr>
      </w:pPr>
      <w:r>
        <w:rPr>
          <w:rFonts w:ascii="Arial" w:cs="Arial" w:eastAsia="Arial" w:hAnsi="Arial"/>
          <w:sz w:val="18"/>
          <w:szCs w:val="18"/>
          <w:color w:val="auto"/>
        </w:rPr>
        <w:t>As of March 31, 2023, the Company has repurchased 152,263,489 shares at a total cost of $2,629,111,108 under its share repurchase plan or as otherwise previously disclosed.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line="382"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4, 2023</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4, 2023</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bl>
    <w:p>
      <w:pPr>
        <w:ind w:left="3480" w:right="1360"/>
        <w:spacing w:after="0" w:line="234"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6"/>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1"/>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4"/>
        </w:trPr>
        <w:tc>
          <w:tcPr>
            <w:tcW w:w="132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95"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Pr>
          <w:p>
            <w:pPr>
              <w:spacing w:after="0"/>
              <w:rPr>
                <w:sz w:val="14"/>
                <w:szCs w:val="14"/>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ind w:left="1320" w:right="260" w:hanging="1294"/>
        <w:spacing w:after="0" w:line="245"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tbl>
      <w:tblPr>
        <w:tblLayout w:type="fixed"/>
        <w:tblInd w:w="0" w:type="dxa"/>
        <w:tblCellMar>
          <w:top w:w="0" w:type="dxa"/>
          <w:left w:w="0" w:type="dxa"/>
          <w:bottom w:w="0" w:type="dxa"/>
          <w:right w:w="0" w:type="dxa"/>
        </w:tblCellMar>
      </w:tblPr>
      <w:tr>
        <w:trPr>
          <w:trHeight w:val="180"/>
        </w:trPr>
        <w:tc>
          <w:tcPr>
            <w:tcW w:w="10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shd w:val="clear" w:color="auto" w:fill="CCEEFF"/>
          </w:tcPr>
          <w:p>
            <w:pPr>
              <w:spacing w:after="0"/>
              <w:rPr>
                <w:sz w:val="20"/>
                <w:szCs w:val="20"/>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3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ectPr>
          <w:pgSz w:w="11900" w:h="16838" w:orient="portrait"/>
          <w:cols w:equalWidth="0" w:num="1">
            <w:col w:w="11200"/>
          </w:cols>
          <w:pgMar w:left="320" w:top="121"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2023,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3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2023,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1)"/>
      <w:numFmt w:val="decimal"/>
      <w:start w:val="10"/>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decimal"/>
      <w:start w:val="13"/>
    </w:lvl>
  </w:abstractNum>
  <w:abstractNum w:abstractNumId="17">
    <w:nsid w:val="628C895D"/>
    <w:multiLevelType w:val="hybridMultilevel"/>
    <w:lvl w:ilvl="0">
      <w:lvlJc w:val="left"/>
      <w:lvlText w:val="(%1)"/>
      <w:numFmt w:val="decimal"/>
      <w:start w:val="14"/>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2023-05-04T10:33:59Z</dcterms:created>
  <dcterms:modified xsi:type="dcterms:W3CDTF">2023-05-04T10:33:59Z</dcterms:modified>
</cp:coreProperties>
</file>