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780"/>
        <w:spacing w:after="0"/>
        <w:rPr>
          <w:sz w:val="20"/>
          <w:szCs w:val="20"/>
          <w:color w:val="auto"/>
        </w:rPr>
      </w:pPr>
      <w:r>
        <w:rPr>
          <w:rFonts w:ascii="Arial" w:cs="Arial" w:eastAsia="Arial" w:hAnsi="Arial"/>
          <w:sz w:val="18"/>
          <w:szCs w:val="18"/>
          <w:color w:val="auto"/>
        </w:rPr>
        <w:t>Registration No. 333- _______</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_______________</w:t>
      </w:r>
    </w:p>
    <w:p>
      <w:pPr>
        <w:spacing w:after="0" w:line="171" w:lineRule="exact"/>
        <w:rPr>
          <w:sz w:val="24"/>
          <w:szCs w:val="24"/>
          <w:color w:val="auto"/>
        </w:rPr>
      </w:pPr>
    </w:p>
    <w:p>
      <w:pPr>
        <w:ind w:left="5000"/>
        <w:spacing w:after="0"/>
        <w:rPr>
          <w:sz w:val="20"/>
          <w:szCs w:val="20"/>
          <w:color w:val="auto"/>
        </w:rPr>
      </w:pPr>
      <w:r>
        <w:rPr>
          <w:rFonts w:ascii="Arial" w:cs="Arial" w:eastAsia="Arial" w:hAnsi="Arial"/>
          <w:sz w:val="24"/>
          <w:szCs w:val="24"/>
          <w:b w:val="1"/>
          <w:bCs w:val="1"/>
          <w:color w:val="auto"/>
        </w:rPr>
        <w:t>FORM S-8</w:t>
      </w:r>
    </w:p>
    <w:p>
      <w:pPr>
        <w:spacing w:after="0" w:line="45" w:lineRule="exact"/>
        <w:rPr>
          <w:sz w:val="24"/>
          <w:szCs w:val="24"/>
          <w:color w:val="auto"/>
        </w:rPr>
      </w:pPr>
    </w:p>
    <w:p>
      <w:pPr>
        <w:ind w:left="3920"/>
        <w:spacing w:after="0"/>
        <w:rPr>
          <w:sz w:val="20"/>
          <w:szCs w:val="20"/>
          <w:color w:val="auto"/>
        </w:rPr>
      </w:pPr>
      <w:r>
        <w:rPr>
          <w:rFonts w:ascii="Arial" w:cs="Arial" w:eastAsia="Arial" w:hAnsi="Arial"/>
          <w:sz w:val="24"/>
          <w:szCs w:val="24"/>
          <w:b w:val="1"/>
          <w:bCs w:val="1"/>
          <w:color w:val="auto"/>
        </w:rPr>
        <w:t>REGISTRATION STATEMENT</w:t>
      </w:r>
    </w:p>
    <w:p>
      <w:pPr>
        <w:spacing w:after="0" w:line="8" w:lineRule="exact"/>
        <w:rPr>
          <w:sz w:val="24"/>
          <w:szCs w:val="24"/>
          <w:color w:val="auto"/>
        </w:rPr>
      </w:pPr>
    </w:p>
    <w:p>
      <w:pPr>
        <w:ind w:left="3360"/>
        <w:spacing w:after="0"/>
        <w:rPr>
          <w:sz w:val="20"/>
          <w:szCs w:val="20"/>
          <w:color w:val="auto"/>
        </w:rPr>
      </w:pPr>
      <w:r>
        <w:rPr>
          <w:rFonts w:ascii="Arial" w:cs="Arial" w:eastAsia="Arial" w:hAnsi="Arial"/>
          <w:sz w:val="24"/>
          <w:szCs w:val="24"/>
          <w:b w:val="1"/>
          <w:bCs w:val="1"/>
          <w:color w:val="auto"/>
        </w:rPr>
        <w:t>UNDER THE SECURITIES ACT OF 1933</w:t>
      </w:r>
    </w:p>
    <w:p>
      <w:pPr>
        <w:spacing w:after="0" w:line="200" w:lineRule="exact"/>
        <w:rPr>
          <w:sz w:val="24"/>
          <w:szCs w:val="24"/>
          <w:color w:val="auto"/>
        </w:rPr>
      </w:pPr>
    </w:p>
    <w:tbl>
      <w:tblPr>
        <w:tblLayout w:type="fixed"/>
        <w:tblInd w:w="300" w:type="dxa"/>
        <w:tblCellMar>
          <w:top w:w="0" w:type="dxa"/>
          <w:left w:w="0" w:type="dxa"/>
          <w:bottom w:w="0" w:type="dxa"/>
          <w:right w:w="0" w:type="dxa"/>
        </w:tblCellMar>
      </w:tblPr>
      <w:tr>
        <w:trPr>
          <w:trHeight w:val="293"/>
        </w:trPr>
        <w:tc>
          <w:tcPr>
            <w:tcW w:w="3840" w:type="dxa"/>
            <w:vAlign w:val="bottom"/>
          </w:tcPr>
          <w:p>
            <w:pPr>
              <w:spacing w:after="0"/>
              <w:rPr>
                <w:sz w:val="24"/>
                <w:szCs w:val="24"/>
                <w:color w:val="auto"/>
              </w:rPr>
            </w:pPr>
          </w:p>
        </w:tc>
        <w:tc>
          <w:tcPr>
            <w:tcW w:w="3140" w:type="dxa"/>
            <w:vAlign w:val="bottom"/>
          </w:tcPr>
          <w:p>
            <w:pPr>
              <w:jc w:val="center"/>
              <w:ind w:right="120"/>
              <w:spacing w:after="0"/>
              <w:rPr>
                <w:sz w:val="20"/>
                <w:szCs w:val="20"/>
                <w:color w:val="auto"/>
              </w:rPr>
            </w:pPr>
            <w:r>
              <w:rPr>
                <w:rFonts w:ascii="Arial" w:cs="Arial" w:eastAsia="Arial" w:hAnsi="Arial"/>
                <w:sz w:val="24"/>
                <w:szCs w:val="24"/>
                <w:b w:val="1"/>
                <w:bCs w:val="1"/>
                <w:color w:val="auto"/>
              </w:rPr>
              <w:t>GENTEX CORPORATION</w:t>
            </w:r>
          </w:p>
        </w:tc>
        <w:tc>
          <w:tcPr>
            <w:tcW w:w="2460" w:type="dxa"/>
            <w:vAlign w:val="bottom"/>
          </w:tcPr>
          <w:p>
            <w:pPr>
              <w:spacing w:after="0"/>
              <w:rPr>
                <w:sz w:val="24"/>
                <w:szCs w:val="24"/>
                <w:color w:val="auto"/>
              </w:rPr>
            </w:pPr>
          </w:p>
        </w:tc>
      </w:tr>
      <w:tr>
        <w:trPr>
          <w:trHeight w:val="239"/>
        </w:trPr>
        <w:tc>
          <w:tcPr>
            <w:tcW w:w="9440" w:type="dxa"/>
            <w:vAlign w:val="bottom"/>
            <w:gridSpan w:val="3"/>
          </w:tcPr>
          <w:p>
            <w:pPr>
              <w:jc w:val="center"/>
              <w:ind w:left="1133"/>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585"/>
        </w:trPr>
        <w:tc>
          <w:tcPr>
            <w:tcW w:w="3840" w:type="dxa"/>
            <w:vAlign w:val="bottom"/>
          </w:tcPr>
          <w:p>
            <w:pPr>
              <w:jc w:val="center"/>
              <w:ind w:left="493"/>
              <w:spacing w:after="0"/>
              <w:rPr>
                <w:sz w:val="20"/>
                <w:szCs w:val="20"/>
                <w:color w:val="auto"/>
              </w:rPr>
            </w:pPr>
            <w:r>
              <w:rPr>
                <w:rFonts w:ascii="Arial" w:cs="Arial" w:eastAsia="Arial" w:hAnsi="Arial"/>
                <w:sz w:val="18"/>
                <w:szCs w:val="18"/>
                <w:b w:val="1"/>
                <w:bCs w:val="1"/>
                <w:color w:val="auto"/>
                <w:w w:val="99"/>
              </w:rPr>
              <w:t>Michigan</w:t>
            </w:r>
          </w:p>
        </w:tc>
        <w:tc>
          <w:tcPr>
            <w:tcW w:w="3140" w:type="dxa"/>
            <w:vAlign w:val="bottom"/>
          </w:tcPr>
          <w:p>
            <w:pPr>
              <w:spacing w:after="0"/>
              <w:rPr>
                <w:sz w:val="24"/>
                <w:szCs w:val="24"/>
                <w:color w:val="auto"/>
              </w:rPr>
            </w:pPr>
          </w:p>
        </w:tc>
        <w:tc>
          <w:tcPr>
            <w:tcW w:w="2460" w:type="dxa"/>
            <w:vAlign w:val="bottom"/>
          </w:tcPr>
          <w:p>
            <w:pPr>
              <w:jc w:val="right"/>
              <w:ind w:right="577"/>
              <w:spacing w:after="0"/>
              <w:rPr>
                <w:sz w:val="20"/>
                <w:szCs w:val="20"/>
                <w:color w:val="auto"/>
              </w:rPr>
            </w:pPr>
            <w:r>
              <w:rPr>
                <w:rFonts w:ascii="Arial" w:cs="Arial" w:eastAsia="Arial" w:hAnsi="Arial"/>
                <w:sz w:val="18"/>
                <w:szCs w:val="18"/>
                <w:b w:val="1"/>
                <w:bCs w:val="1"/>
                <w:color w:val="auto"/>
              </w:rPr>
              <w:t>38-2030505</w:t>
            </w:r>
          </w:p>
        </w:tc>
      </w:tr>
      <w:tr>
        <w:trPr>
          <w:trHeight w:val="216"/>
        </w:trPr>
        <w:tc>
          <w:tcPr>
            <w:tcW w:w="3840" w:type="dxa"/>
            <w:vAlign w:val="bottom"/>
          </w:tcPr>
          <w:p>
            <w:pPr>
              <w:jc w:val="center"/>
              <w:ind w:left="493"/>
              <w:spacing w:after="0"/>
              <w:rPr>
                <w:sz w:val="20"/>
                <w:szCs w:val="20"/>
                <w:color w:val="auto"/>
              </w:rPr>
            </w:pPr>
            <w:r>
              <w:rPr>
                <w:rFonts w:ascii="Arial" w:cs="Arial" w:eastAsia="Arial" w:hAnsi="Arial"/>
                <w:sz w:val="18"/>
                <w:szCs w:val="18"/>
                <w:color w:val="auto"/>
              </w:rPr>
              <w:t>(State or other jurisdiction of</w:t>
            </w:r>
          </w:p>
        </w:tc>
        <w:tc>
          <w:tcPr>
            <w:tcW w:w="3140" w:type="dxa"/>
            <w:vAlign w:val="bottom"/>
          </w:tcPr>
          <w:p>
            <w:pPr>
              <w:spacing w:after="0"/>
              <w:rPr>
                <w:sz w:val="18"/>
                <w:szCs w:val="18"/>
                <w:color w:val="auto"/>
              </w:rPr>
            </w:pPr>
          </w:p>
        </w:tc>
        <w:tc>
          <w:tcPr>
            <w:tcW w:w="2460" w:type="dxa"/>
            <w:vAlign w:val="bottom"/>
          </w:tcPr>
          <w:p>
            <w:pPr>
              <w:jc w:val="center"/>
              <w:ind w:left="97"/>
              <w:spacing w:after="0"/>
              <w:rPr>
                <w:sz w:val="20"/>
                <w:szCs w:val="20"/>
                <w:color w:val="auto"/>
              </w:rPr>
            </w:pPr>
            <w:r>
              <w:rPr>
                <w:rFonts w:ascii="Arial" w:cs="Arial" w:eastAsia="Arial" w:hAnsi="Arial"/>
                <w:sz w:val="18"/>
                <w:szCs w:val="18"/>
                <w:color w:val="auto"/>
                <w:w w:val="99"/>
              </w:rPr>
              <w:t>(I.R.S. Employer</w:t>
            </w:r>
          </w:p>
        </w:tc>
      </w:tr>
      <w:tr>
        <w:trPr>
          <w:trHeight w:val="239"/>
        </w:trPr>
        <w:tc>
          <w:tcPr>
            <w:tcW w:w="3840" w:type="dxa"/>
            <w:vAlign w:val="bottom"/>
          </w:tcPr>
          <w:p>
            <w:pPr>
              <w:jc w:val="center"/>
              <w:ind w:left="533"/>
              <w:spacing w:after="0"/>
              <w:rPr>
                <w:sz w:val="20"/>
                <w:szCs w:val="20"/>
                <w:color w:val="auto"/>
              </w:rPr>
            </w:pPr>
            <w:r>
              <w:rPr>
                <w:rFonts w:ascii="Arial" w:cs="Arial" w:eastAsia="Arial" w:hAnsi="Arial"/>
                <w:sz w:val="18"/>
                <w:szCs w:val="18"/>
                <w:color w:val="auto"/>
                <w:w w:val="99"/>
              </w:rPr>
              <w:t>incorporation or organization)</w:t>
            </w:r>
          </w:p>
        </w:tc>
        <w:tc>
          <w:tcPr>
            <w:tcW w:w="3140" w:type="dxa"/>
            <w:vAlign w:val="bottom"/>
          </w:tcPr>
          <w:p>
            <w:pPr>
              <w:spacing w:after="0"/>
              <w:rPr>
                <w:sz w:val="20"/>
                <w:szCs w:val="20"/>
                <w:color w:val="auto"/>
              </w:rPr>
            </w:pPr>
          </w:p>
        </w:tc>
        <w:tc>
          <w:tcPr>
            <w:tcW w:w="2460" w:type="dxa"/>
            <w:vAlign w:val="bottom"/>
          </w:tcPr>
          <w:p>
            <w:pPr>
              <w:jc w:val="center"/>
              <w:ind w:left="137"/>
              <w:spacing w:after="0"/>
              <w:rPr>
                <w:sz w:val="20"/>
                <w:szCs w:val="20"/>
                <w:color w:val="auto"/>
              </w:rPr>
            </w:pPr>
            <w:r>
              <w:rPr>
                <w:rFonts w:ascii="Arial" w:cs="Arial" w:eastAsia="Arial" w:hAnsi="Arial"/>
                <w:sz w:val="18"/>
                <w:szCs w:val="18"/>
                <w:color w:val="auto"/>
                <w:w w:val="99"/>
              </w:rPr>
              <w:t>Identification Number)</w:t>
            </w:r>
          </w:p>
        </w:tc>
      </w:tr>
      <w:tr>
        <w:trPr>
          <w:trHeight w:val="504"/>
        </w:trPr>
        <w:tc>
          <w:tcPr>
            <w:tcW w:w="3840" w:type="dxa"/>
            <w:vAlign w:val="bottom"/>
          </w:tcPr>
          <w:p>
            <w:pPr>
              <w:jc w:val="center"/>
              <w:ind w:left="493"/>
              <w:spacing w:after="0"/>
              <w:rPr>
                <w:sz w:val="20"/>
                <w:szCs w:val="20"/>
                <w:color w:val="auto"/>
              </w:rPr>
            </w:pPr>
            <w:r>
              <w:rPr>
                <w:rFonts w:ascii="Arial" w:cs="Arial" w:eastAsia="Arial" w:hAnsi="Arial"/>
                <w:sz w:val="18"/>
                <w:szCs w:val="18"/>
                <w:b w:val="1"/>
                <w:bCs w:val="1"/>
                <w:color w:val="auto"/>
                <w:w w:val="99"/>
              </w:rPr>
              <w:t>600 N. Centennial Street</w:t>
            </w:r>
          </w:p>
        </w:tc>
        <w:tc>
          <w:tcPr>
            <w:tcW w:w="31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840" w:type="dxa"/>
            <w:vAlign w:val="bottom"/>
          </w:tcPr>
          <w:p>
            <w:pPr>
              <w:jc w:val="center"/>
              <w:ind w:left="473"/>
              <w:spacing w:after="0"/>
              <w:rPr>
                <w:sz w:val="20"/>
                <w:szCs w:val="20"/>
                <w:color w:val="auto"/>
              </w:rPr>
            </w:pPr>
            <w:r>
              <w:rPr>
                <w:rFonts w:ascii="Arial" w:cs="Arial" w:eastAsia="Arial" w:hAnsi="Arial"/>
                <w:sz w:val="18"/>
                <w:szCs w:val="18"/>
                <w:b w:val="1"/>
                <w:bCs w:val="1"/>
                <w:color w:val="auto"/>
                <w:w w:val="99"/>
              </w:rPr>
              <w:t>Zeeland, Michigan</w:t>
            </w:r>
          </w:p>
        </w:tc>
        <w:tc>
          <w:tcPr>
            <w:tcW w:w="3140" w:type="dxa"/>
            <w:vAlign w:val="bottom"/>
          </w:tcPr>
          <w:p>
            <w:pPr>
              <w:spacing w:after="0"/>
              <w:rPr>
                <w:sz w:val="18"/>
                <w:szCs w:val="18"/>
                <w:color w:val="auto"/>
              </w:rPr>
            </w:pPr>
          </w:p>
        </w:tc>
        <w:tc>
          <w:tcPr>
            <w:tcW w:w="2460" w:type="dxa"/>
            <w:vAlign w:val="bottom"/>
          </w:tcPr>
          <w:p>
            <w:pPr>
              <w:jc w:val="right"/>
              <w:ind w:right="797"/>
              <w:spacing w:after="0"/>
              <w:rPr>
                <w:sz w:val="20"/>
                <w:szCs w:val="20"/>
                <w:color w:val="auto"/>
              </w:rPr>
            </w:pPr>
            <w:r>
              <w:rPr>
                <w:rFonts w:ascii="Arial" w:cs="Arial" w:eastAsia="Arial" w:hAnsi="Arial"/>
                <w:sz w:val="18"/>
                <w:szCs w:val="18"/>
                <w:b w:val="1"/>
                <w:bCs w:val="1"/>
                <w:color w:val="auto"/>
              </w:rPr>
              <w:t>49464</w:t>
            </w:r>
          </w:p>
        </w:tc>
      </w:tr>
      <w:tr>
        <w:trPr>
          <w:trHeight w:val="239"/>
        </w:trPr>
        <w:tc>
          <w:tcPr>
            <w:tcW w:w="3840" w:type="dxa"/>
            <w:vAlign w:val="bottom"/>
          </w:tcPr>
          <w:p>
            <w:pPr>
              <w:jc w:val="center"/>
              <w:ind w:left="553"/>
              <w:spacing w:after="0"/>
              <w:rPr>
                <w:sz w:val="20"/>
                <w:szCs w:val="20"/>
                <w:color w:val="auto"/>
              </w:rPr>
            </w:pPr>
            <w:r>
              <w:rPr>
                <w:rFonts w:ascii="Arial" w:cs="Arial" w:eastAsia="Arial" w:hAnsi="Arial"/>
                <w:sz w:val="18"/>
                <w:szCs w:val="18"/>
                <w:color w:val="auto"/>
                <w:w w:val="99"/>
              </w:rPr>
              <w:t>(Address of Principal Executive Offices)</w:t>
            </w:r>
          </w:p>
        </w:tc>
        <w:tc>
          <w:tcPr>
            <w:tcW w:w="3140" w:type="dxa"/>
            <w:vAlign w:val="bottom"/>
          </w:tcPr>
          <w:p>
            <w:pPr>
              <w:spacing w:after="0"/>
              <w:rPr>
                <w:sz w:val="20"/>
                <w:szCs w:val="20"/>
                <w:color w:val="auto"/>
              </w:rPr>
            </w:pPr>
          </w:p>
        </w:tc>
        <w:tc>
          <w:tcPr>
            <w:tcW w:w="2460" w:type="dxa"/>
            <w:vAlign w:val="bottom"/>
          </w:tcPr>
          <w:p>
            <w:pPr>
              <w:jc w:val="center"/>
              <w:ind w:left="157"/>
              <w:spacing w:after="0"/>
              <w:rPr>
                <w:sz w:val="20"/>
                <w:szCs w:val="20"/>
                <w:color w:val="auto"/>
              </w:rPr>
            </w:pPr>
            <w:r>
              <w:rPr>
                <w:rFonts w:ascii="Arial" w:cs="Arial" w:eastAsia="Arial" w:hAnsi="Arial"/>
                <w:sz w:val="18"/>
                <w:szCs w:val="18"/>
                <w:color w:val="auto"/>
              </w:rPr>
              <w:t>(Zip Code)</w:t>
            </w:r>
          </w:p>
        </w:tc>
      </w:tr>
      <w:tr>
        <w:trPr>
          <w:trHeight w:val="585"/>
        </w:trPr>
        <w:tc>
          <w:tcPr>
            <w:tcW w:w="9440" w:type="dxa"/>
            <w:vAlign w:val="bottom"/>
            <w:gridSpan w:val="3"/>
          </w:tcPr>
          <w:p>
            <w:pPr>
              <w:jc w:val="center"/>
              <w:ind w:left="1073"/>
              <w:spacing w:after="0"/>
              <w:rPr>
                <w:sz w:val="20"/>
                <w:szCs w:val="20"/>
                <w:color w:val="auto"/>
              </w:rPr>
            </w:pPr>
            <w:r>
              <w:rPr>
                <w:rFonts w:ascii="Arial" w:cs="Arial" w:eastAsia="Arial" w:hAnsi="Arial"/>
                <w:sz w:val="24"/>
                <w:szCs w:val="24"/>
                <w:b w:val="1"/>
                <w:bCs w:val="1"/>
                <w:color w:val="auto"/>
              </w:rPr>
              <w:t>GENTEX CORPORATION 2026 OMNIBUS INCENTIVE PLAN</w:t>
            </w:r>
          </w:p>
        </w:tc>
      </w:tr>
      <w:tr>
        <w:trPr>
          <w:trHeight w:val="239"/>
        </w:trPr>
        <w:tc>
          <w:tcPr>
            <w:tcW w:w="3840" w:type="dxa"/>
            <w:vAlign w:val="bottom"/>
          </w:tcPr>
          <w:p>
            <w:pPr>
              <w:spacing w:after="0"/>
              <w:rPr>
                <w:sz w:val="20"/>
                <w:szCs w:val="20"/>
                <w:color w:val="auto"/>
              </w:rPr>
            </w:pPr>
          </w:p>
        </w:tc>
        <w:tc>
          <w:tcPr>
            <w:tcW w:w="3140" w:type="dxa"/>
            <w:vAlign w:val="bottom"/>
          </w:tcPr>
          <w:p>
            <w:pPr>
              <w:jc w:val="center"/>
              <w:ind w:right="60"/>
              <w:spacing w:after="0"/>
              <w:rPr>
                <w:sz w:val="20"/>
                <w:szCs w:val="20"/>
                <w:color w:val="auto"/>
              </w:rPr>
            </w:pPr>
            <w:r>
              <w:rPr>
                <w:rFonts w:ascii="Arial" w:cs="Arial" w:eastAsia="Arial" w:hAnsi="Arial"/>
                <w:sz w:val="18"/>
                <w:szCs w:val="18"/>
                <w:color w:val="auto"/>
                <w:w w:val="99"/>
              </w:rPr>
              <w:t>(Full Title of the Plan)</w:t>
            </w:r>
          </w:p>
        </w:tc>
        <w:tc>
          <w:tcPr>
            <w:tcW w:w="2460" w:type="dxa"/>
            <w:vAlign w:val="bottom"/>
          </w:tcPr>
          <w:p>
            <w:pPr>
              <w:spacing w:after="0"/>
              <w:rPr>
                <w:sz w:val="20"/>
                <w:szCs w:val="20"/>
                <w:color w:val="auto"/>
              </w:rPr>
            </w:pPr>
          </w:p>
        </w:tc>
      </w:tr>
      <w:tr>
        <w:trPr>
          <w:trHeight w:val="530"/>
        </w:trPr>
        <w:tc>
          <w:tcPr>
            <w:tcW w:w="3840" w:type="dxa"/>
            <w:vAlign w:val="bottom"/>
          </w:tcPr>
          <w:p>
            <w:pPr>
              <w:jc w:val="center"/>
              <w:ind w:left="533"/>
              <w:spacing w:after="0"/>
              <w:rPr>
                <w:sz w:val="20"/>
                <w:szCs w:val="20"/>
                <w:color w:val="auto"/>
              </w:rPr>
            </w:pPr>
            <w:r>
              <w:rPr>
                <w:rFonts w:ascii="Arial" w:cs="Arial" w:eastAsia="Arial" w:hAnsi="Arial"/>
                <w:sz w:val="15"/>
                <w:szCs w:val="15"/>
                <w:b w:val="1"/>
                <w:bCs w:val="1"/>
                <w:color w:val="auto"/>
              </w:rPr>
              <w:t>Kevin C. Nash</w:t>
            </w:r>
          </w:p>
        </w:tc>
        <w:tc>
          <w:tcPr>
            <w:tcW w:w="3140" w:type="dxa"/>
            <w:vAlign w:val="bottom"/>
          </w:tcPr>
          <w:p>
            <w:pPr>
              <w:ind w:left="1040"/>
              <w:spacing w:after="0"/>
              <w:rPr>
                <w:sz w:val="20"/>
                <w:szCs w:val="20"/>
                <w:color w:val="auto"/>
              </w:rPr>
            </w:pPr>
            <w:r>
              <w:rPr>
                <w:rFonts w:ascii="Arial" w:cs="Arial" w:eastAsia="Arial" w:hAnsi="Arial"/>
                <w:sz w:val="18"/>
                <w:szCs w:val="18"/>
                <w:color w:val="auto"/>
              </w:rPr>
              <w:t>Copies to:</w:t>
            </w:r>
          </w:p>
        </w:tc>
        <w:tc>
          <w:tcPr>
            <w:tcW w:w="2460" w:type="dxa"/>
            <w:vAlign w:val="bottom"/>
          </w:tcPr>
          <w:p>
            <w:pPr>
              <w:jc w:val="center"/>
              <w:ind w:left="157"/>
              <w:spacing w:after="0"/>
              <w:rPr>
                <w:sz w:val="20"/>
                <w:szCs w:val="20"/>
                <w:color w:val="auto"/>
              </w:rPr>
            </w:pPr>
            <w:r>
              <w:rPr>
                <w:rFonts w:ascii="Arial" w:cs="Arial" w:eastAsia="Arial" w:hAnsi="Arial"/>
                <w:sz w:val="15"/>
                <w:szCs w:val="15"/>
                <w:b w:val="1"/>
                <w:bCs w:val="1"/>
                <w:color w:val="auto"/>
              </w:rPr>
              <w:t>Joseph B. Levan</w:t>
            </w:r>
          </w:p>
        </w:tc>
      </w:tr>
      <w:tr>
        <w:trPr>
          <w:trHeight w:val="176"/>
        </w:trPr>
        <w:tc>
          <w:tcPr>
            <w:tcW w:w="6980" w:type="dxa"/>
            <w:vAlign w:val="bottom"/>
            <w:gridSpan w:val="2"/>
          </w:tcPr>
          <w:p>
            <w:pPr>
              <w:jc w:val="center"/>
              <w:ind w:right="2400"/>
              <w:spacing w:after="0"/>
              <w:rPr>
                <w:sz w:val="20"/>
                <w:szCs w:val="20"/>
                <w:color w:val="auto"/>
              </w:rPr>
            </w:pPr>
            <w:r>
              <w:rPr>
                <w:rFonts w:ascii="Arial" w:cs="Arial" w:eastAsia="Arial" w:hAnsi="Arial"/>
                <w:sz w:val="15"/>
                <w:szCs w:val="15"/>
                <w:b w:val="1"/>
                <w:bCs w:val="1"/>
                <w:color w:val="auto"/>
              </w:rPr>
              <w:t>Vice President, Finance, Chief Financial Officer and Treasurer</w:t>
            </w:r>
          </w:p>
        </w:tc>
        <w:tc>
          <w:tcPr>
            <w:tcW w:w="2460" w:type="dxa"/>
            <w:vAlign w:val="bottom"/>
          </w:tcPr>
          <w:p>
            <w:pPr>
              <w:jc w:val="center"/>
              <w:ind w:left="157"/>
              <w:spacing w:after="0"/>
              <w:rPr>
                <w:sz w:val="20"/>
                <w:szCs w:val="20"/>
                <w:color w:val="auto"/>
              </w:rPr>
            </w:pPr>
            <w:r>
              <w:rPr>
                <w:rFonts w:ascii="Arial" w:cs="Arial" w:eastAsia="Arial" w:hAnsi="Arial"/>
                <w:sz w:val="15"/>
                <w:szCs w:val="15"/>
                <w:b w:val="1"/>
                <w:bCs w:val="1"/>
                <w:color w:val="auto"/>
              </w:rPr>
              <w:t>Varnum LLP</w:t>
            </w:r>
          </w:p>
        </w:tc>
      </w:tr>
      <w:tr>
        <w:trPr>
          <w:trHeight w:val="175"/>
        </w:trPr>
        <w:tc>
          <w:tcPr>
            <w:tcW w:w="3840" w:type="dxa"/>
            <w:vAlign w:val="bottom"/>
          </w:tcPr>
          <w:p>
            <w:pPr>
              <w:jc w:val="center"/>
              <w:ind w:left="553"/>
              <w:spacing w:after="0"/>
              <w:rPr>
                <w:sz w:val="20"/>
                <w:szCs w:val="20"/>
                <w:color w:val="auto"/>
              </w:rPr>
            </w:pPr>
            <w:r>
              <w:rPr>
                <w:rFonts w:ascii="Arial" w:cs="Arial" w:eastAsia="Arial" w:hAnsi="Arial"/>
                <w:sz w:val="15"/>
                <w:szCs w:val="15"/>
                <w:b w:val="1"/>
                <w:bCs w:val="1"/>
                <w:color w:val="auto"/>
              </w:rPr>
              <w:t>Gentex Corporation</w:t>
            </w:r>
          </w:p>
        </w:tc>
        <w:tc>
          <w:tcPr>
            <w:tcW w:w="3140" w:type="dxa"/>
            <w:vAlign w:val="bottom"/>
          </w:tcPr>
          <w:p>
            <w:pPr>
              <w:spacing w:after="0"/>
              <w:rPr>
                <w:sz w:val="15"/>
                <w:szCs w:val="15"/>
                <w:color w:val="auto"/>
              </w:rPr>
            </w:pPr>
          </w:p>
        </w:tc>
        <w:tc>
          <w:tcPr>
            <w:tcW w:w="2460" w:type="dxa"/>
            <w:vAlign w:val="bottom"/>
          </w:tcPr>
          <w:p>
            <w:pPr>
              <w:jc w:val="center"/>
              <w:ind w:left="137"/>
              <w:spacing w:after="0"/>
              <w:rPr>
                <w:sz w:val="20"/>
                <w:szCs w:val="20"/>
                <w:color w:val="auto"/>
              </w:rPr>
            </w:pPr>
            <w:r>
              <w:rPr>
                <w:rFonts w:ascii="Arial" w:cs="Arial" w:eastAsia="Arial" w:hAnsi="Arial"/>
                <w:sz w:val="15"/>
                <w:szCs w:val="15"/>
                <w:b w:val="1"/>
                <w:bCs w:val="1"/>
                <w:color w:val="auto"/>
              </w:rPr>
              <w:t>333 Bridge Street, NW</w:t>
            </w:r>
          </w:p>
        </w:tc>
      </w:tr>
      <w:tr>
        <w:trPr>
          <w:trHeight w:val="162"/>
        </w:trPr>
        <w:tc>
          <w:tcPr>
            <w:tcW w:w="3840" w:type="dxa"/>
            <w:vAlign w:val="bottom"/>
          </w:tcPr>
          <w:p>
            <w:pPr>
              <w:jc w:val="center"/>
              <w:ind w:left="533"/>
              <w:spacing w:after="0" w:line="162" w:lineRule="exact"/>
              <w:rPr>
                <w:sz w:val="20"/>
                <w:szCs w:val="20"/>
                <w:color w:val="auto"/>
              </w:rPr>
            </w:pPr>
            <w:r>
              <w:rPr>
                <w:rFonts w:ascii="Arial" w:cs="Arial" w:eastAsia="Arial" w:hAnsi="Arial"/>
                <w:sz w:val="15"/>
                <w:szCs w:val="15"/>
                <w:b w:val="1"/>
                <w:bCs w:val="1"/>
                <w:color w:val="auto"/>
              </w:rPr>
              <w:t>600 N. Centennial Street</w:t>
            </w:r>
          </w:p>
        </w:tc>
        <w:tc>
          <w:tcPr>
            <w:tcW w:w="3140" w:type="dxa"/>
            <w:vAlign w:val="bottom"/>
          </w:tcPr>
          <w:p>
            <w:pPr>
              <w:spacing w:after="0"/>
              <w:rPr>
                <w:sz w:val="14"/>
                <w:szCs w:val="14"/>
                <w:color w:val="auto"/>
              </w:rPr>
            </w:pPr>
          </w:p>
        </w:tc>
        <w:tc>
          <w:tcPr>
            <w:tcW w:w="2460" w:type="dxa"/>
            <w:vAlign w:val="bottom"/>
          </w:tcPr>
          <w:p>
            <w:pPr>
              <w:jc w:val="center"/>
              <w:ind w:left="137"/>
              <w:spacing w:after="0" w:line="162" w:lineRule="exact"/>
              <w:rPr>
                <w:sz w:val="20"/>
                <w:szCs w:val="20"/>
                <w:color w:val="auto"/>
              </w:rPr>
            </w:pPr>
            <w:r>
              <w:rPr>
                <w:rFonts w:ascii="Arial" w:cs="Arial" w:eastAsia="Arial" w:hAnsi="Arial"/>
                <w:sz w:val="15"/>
                <w:szCs w:val="15"/>
                <w:b w:val="1"/>
                <w:bCs w:val="1"/>
                <w:color w:val="auto"/>
              </w:rPr>
              <w:t>Suite 1700</w:t>
            </w:r>
          </w:p>
        </w:tc>
      </w:tr>
      <w:tr>
        <w:trPr>
          <w:trHeight w:val="194"/>
        </w:trPr>
        <w:tc>
          <w:tcPr>
            <w:tcW w:w="3840" w:type="dxa"/>
            <w:vAlign w:val="bottom"/>
          </w:tcPr>
          <w:p>
            <w:pPr>
              <w:jc w:val="center"/>
              <w:ind w:left="533"/>
              <w:spacing w:after="0"/>
              <w:rPr>
                <w:sz w:val="20"/>
                <w:szCs w:val="20"/>
                <w:color w:val="auto"/>
              </w:rPr>
            </w:pPr>
            <w:r>
              <w:rPr>
                <w:rFonts w:ascii="Arial" w:cs="Arial" w:eastAsia="Arial" w:hAnsi="Arial"/>
                <w:sz w:val="15"/>
                <w:szCs w:val="15"/>
                <w:b w:val="1"/>
                <w:bCs w:val="1"/>
                <w:color w:val="auto"/>
              </w:rPr>
              <w:t>Zeeland, Michigan 49464</w:t>
            </w:r>
          </w:p>
        </w:tc>
        <w:tc>
          <w:tcPr>
            <w:tcW w:w="3140" w:type="dxa"/>
            <w:vAlign w:val="bottom"/>
          </w:tcPr>
          <w:p>
            <w:pPr>
              <w:spacing w:after="0"/>
              <w:rPr>
                <w:sz w:val="16"/>
                <w:szCs w:val="16"/>
                <w:color w:val="auto"/>
              </w:rPr>
            </w:pPr>
          </w:p>
        </w:tc>
        <w:tc>
          <w:tcPr>
            <w:tcW w:w="2460" w:type="dxa"/>
            <w:vAlign w:val="bottom"/>
          </w:tcPr>
          <w:p>
            <w:pPr>
              <w:jc w:val="center"/>
              <w:ind w:left="157"/>
              <w:spacing w:after="0"/>
              <w:rPr>
                <w:sz w:val="20"/>
                <w:szCs w:val="20"/>
                <w:color w:val="auto"/>
              </w:rPr>
            </w:pPr>
            <w:r>
              <w:rPr>
                <w:rFonts w:ascii="Arial" w:cs="Arial" w:eastAsia="Arial" w:hAnsi="Arial"/>
                <w:sz w:val="15"/>
                <w:szCs w:val="15"/>
                <w:b w:val="1"/>
                <w:bCs w:val="1"/>
                <w:color w:val="auto"/>
              </w:rPr>
              <w:t>Grand Rapids, Michigan 49504</w:t>
            </w:r>
          </w:p>
        </w:tc>
      </w:tr>
    </w:tbl>
    <w:p>
      <w:pPr>
        <w:ind w:left="880"/>
        <w:spacing w:after="0"/>
        <w:rPr>
          <w:sz w:val="20"/>
          <w:szCs w:val="20"/>
          <w:color w:val="auto"/>
        </w:rPr>
      </w:pPr>
      <w:r>
        <w:rPr>
          <w:rFonts w:ascii="Arial" w:cs="Arial" w:eastAsia="Arial" w:hAnsi="Arial"/>
          <w:sz w:val="18"/>
          <w:szCs w:val="18"/>
          <w:color w:val="auto"/>
        </w:rPr>
        <w:t>(Name and Address of Agent for Service)</w:t>
      </w:r>
    </w:p>
    <w:p>
      <w:pPr>
        <w:spacing w:after="0" w:line="30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(616) 772-1800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80"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5396865</wp:posOffset>
            </wp:positionH>
            <wp:positionV relativeFrom="paragraph">
              <wp:posOffset>60325</wp:posOffset>
            </wp:positionV>
            <wp:extent cx="43751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515" cy="454660"/>
                    </a:xfrm>
                    <a:prstGeom prst="rect">
                      <a:avLst/>
                    </a:prstGeom>
                    <a:noFill/>
                  </pic:spPr>
                </pic:pic>
              </a:graphicData>
            </a:graphic>
          </wp:anchor>
        </w:drawing>
      </w:r>
    </w:p>
    <w:p>
      <w:pPr>
        <w:spacing w:after="0" w:line="55" w:lineRule="exact"/>
        <w:rPr>
          <w:sz w:val="24"/>
          <w:szCs w:val="24"/>
          <w:color w:val="auto"/>
        </w:rPr>
      </w:pPr>
    </w:p>
    <w:tbl>
      <w:tblPr>
        <w:tblLayout w:type="fixed"/>
        <w:tblInd w:w="520" w:type="dxa"/>
        <w:tblCellMar>
          <w:top w:w="0" w:type="dxa"/>
          <w:left w:w="0" w:type="dxa"/>
          <w:bottom w:w="0" w:type="dxa"/>
          <w:right w:w="0" w:type="dxa"/>
        </w:tblCellMar>
      </w:tblPr>
      <w:tr>
        <w:trPr>
          <w:trHeight w:val="243"/>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Large accelerated filer</w:t>
            </w:r>
          </w:p>
        </w:tc>
        <w:tc>
          <w:tcPr>
            <w:tcW w:w="500" w:type="dxa"/>
            <w:vAlign w:val="bottom"/>
            <w:tcBorders>
              <w:top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X</w:t>
            </w:r>
          </w:p>
        </w:tc>
        <w:tc>
          <w:tcPr>
            <w:tcW w:w="5080" w:type="dxa"/>
            <w:vAlign w:val="bottom"/>
          </w:tcPr>
          <w:p>
            <w:pPr>
              <w:ind w:left="2820"/>
              <w:spacing w:after="0"/>
              <w:rPr>
                <w:sz w:val="20"/>
                <w:szCs w:val="20"/>
                <w:color w:val="auto"/>
              </w:rPr>
            </w:pPr>
            <w:r>
              <w:rPr>
                <w:rFonts w:ascii="Arial" w:cs="Arial" w:eastAsia="Arial" w:hAnsi="Arial"/>
                <w:sz w:val="18"/>
                <w:szCs w:val="18"/>
                <w:color w:val="auto"/>
              </w:rPr>
              <w:t>Accelerated filer</w:t>
            </w:r>
          </w:p>
        </w:tc>
      </w:tr>
      <w:tr>
        <w:trPr>
          <w:trHeight w:val="209"/>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Non-accelerated filer</w:t>
            </w:r>
          </w:p>
        </w:tc>
        <w:tc>
          <w:tcPr>
            <w:tcW w:w="500" w:type="dxa"/>
            <w:vAlign w:val="bottom"/>
            <w:tcBorders>
              <w:bottom w:val="single" w:sz="8" w:color="auto"/>
              <w:right w:val="single" w:sz="8" w:color="auto"/>
            </w:tcBorders>
          </w:tcPr>
          <w:p>
            <w:pPr>
              <w:spacing w:after="0"/>
              <w:rPr>
                <w:sz w:val="18"/>
                <w:szCs w:val="18"/>
                <w:color w:val="auto"/>
              </w:rPr>
            </w:pPr>
          </w:p>
        </w:tc>
        <w:tc>
          <w:tcPr>
            <w:tcW w:w="5080" w:type="dxa"/>
            <w:vAlign w:val="bottom"/>
          </w:tcPr>
          <w:p>
            <w:pPr>
              <w:ind w:left="2820"/>
              <w:spacing w:after="0"/>
              <w:rPr>
                <w:sz w:val="20"/>
                <w:szCs w:val="20"/>
                <w:color w:val="auto"/>
              </w:rPr>
            </w:pPr>
            <w:r>
              <w:rPr>
                <w:rFonts w:ascii="Arial" w:cs="Arial" w:eastAsia="Arial" w:hAnsi="Arial"/>
                <w:sz w:val="18"/>
                <w:szCs w:val="18"/>
                <w:color w:val="auto"/>
                <w:w w:val="99"/>
              </w:rPr>
              <w:t>Smaller Reporting Company</w:t>
            </w:r>
          </w:p>
        </w:tc>
      </w:tr>
      <w:tr>
        <w:trPr>
          <w:trHeight w:val="219"/>
        </w:trPr>
        <w:tc>
          <w:tcPr>
            <w:tcW w:w="2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80" w:type="dxa"/>
            <w:vAlign w:val="bottom"/>
          </w:tcPr>
          <w:p>
            <w:pPr>
              <w:ind w:left="2820"/>
              <w:spacing w:after="0"/>
              <w:rPr>
                <w:sz w:val="20"/>
                <w:szCs w:val="20"/>
                <w:color w:val="auto"/>
              </w:rPr>
            </w:pPr>
            <w:r>
              <w:rPr>
                <w:rFonts w:ascii="Arial" w:cs="Arial" w:eastAsia="Arial" w:hAnsi="Arial"/>
                <w:sz w:val="18"/>
                <w:szCs w:val="18"/>
                <w:color w:val="auto"/>
              </w:rPr>
              <w:t>Emerging Growth Company</w:t>
            </w:r>
          </w:p>
        </w:tc>
      </w:tr>
    </w:tbl>
    <w:p>
      <w:pPr>
        <w:sectPr>
          <w:pgSz w:w="11900" w:h="16838" w:orient="portrait"/>
          <w:cols w:equalWidth="0" w:num="1">
            <w:col w:w="11240"/>
          </w:cols>
          <w:pgMar w:left="320" w:top="75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This registration statement on Form S-8 (the "Registration Statement") is filed by Gentex Corporation (the "Registrant" or the "Company") in accordance with the requirements of Form S-8 under the Securities Act of 1933, as amended (the "Securities Act"), in order to register 30,000,000 shares of the Registrant's common stock, par value $0.06 per share (the "Common Stock") issuable pursuant to the Gentex Corporation 2026 Omnibus Incentive Plan (the "Plan") of the Registrant.</w:t>
      </w:r>
    </w:p>
    <w:p>
      <w:pPr>
        <w:spacing w:after="0" w:line="1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Pursuant to Rule 416 under the Securities Act, this Registration Statement also covers an indeterminate number of additional shares of Common Stock that might be issued as a result of a stock dividend, stock split, recapitalization or other change in capital structure. No additional fee is required.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document(s) containing the information required in Item 1 and Item 2 of Part I of this Form S-8 will be provided to each participant in the Plan as specified by Rule 428(b)(1) promulgated by the Securities and Exchange Commission (the “Commission”) under the Securities Act. In accordance with the rules and regulations of the Commission and the instructions to Form S-8, such document(s) are not being filed with the Commission but constitute (together with the documents incorporated by reference in this Registration Statement pursuant to Item 3 of Part II hereof) a prospectus that meets the requirements of Section 10(a) of the Securities Act.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Incorporation of Documents by Reference.</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documents filed by the Registrant with the Commission are incorporated in this registration statement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reference:</w:t>
      </w:r>
    </w:p>
    <w:p>
      <w:pPr>
        <w:spacing w:after="0" w:line="194" w:lineRule="exact"/>
        <w:rPr>
          <w:sz w:val="20"/>
          <w:szCs w:val="20"/>
          <w:color w:val="auto"/>
        </w:rPr>
      </w:pPr>
    </w:p>
    <w:p>
      <w:pPr>
        <w:ind w:left="660" w:right="340" w:firstLine="644"/>
        <w:spacing w:after="0" w:line="287" w:lineRule="auto"/>
        <w:tabs>
          <w:tab w:leader="none" w:pos="172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Securities Exchange Act of 1934 (the "Exchange Act").</w:t>
      </w:r>
    </w:p>
    <w:p>
      <w:pPr>
        <w:spacing w:after="0" w:line="139" w:lineRule="exact"/>
        <w:rPr>
          <w:rFonts w:ascii="Arial" w:cs="Arial" w:eastAsia="Arial" w:hAnsi="Arial"/>
          <w:sz w:val="18"/>
          <w:szCs w:val="18"/>
          <w:color w:val="auto"/>
        </w:rPr>
      </w:pPr>
    </w:p>
    <w:p>
      <w:pPr>
        <w:ind w:left="660" w:right="440" w:firstLine="644"/>
        <w:spacing w:after="0" w:line="287" w:lineRule="auto"/>
        <w:tabs>
          <w:tab w:leader="none" w:pos="1718"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by the Registrant pursuant to Section 13(a) or 15(d) of the Exchange Act since the end of the fiscal year covered by the annual report referred to in (a) above.</w:t>
      </w:r>
    </w:p>
    <w:p>
      <w:pPr>
        <w:spacing w:after="0" w:line="139" w:lineRule="exact"/>
        <w:rPr>
          <w:rFonts w:ascii="Arial" w:cs="Arial" w:eastAsia="Arial" w:hAnsi="Arial"/>
          <w:sz w:val="18"/>
          <w:szCs w:val="18"/>
          <w:color w:val="auto"/>
        </w:rPr>
      </w:pPr>
    </w:p>
    <w:p>
      <w:pPr>
        <w:ind w:left="1720" w:hanging="416"/>
        <w:spacing w:after="0"/>
        <w:tabs>
          <w:tab w:leader="none" w:pos="1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Registrant's common stock, $.06 par value, filed as Exhibit 4.2 of the Registrant's Form 10-K filed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2019, with the Commission on February 26, 2020.</w:t>
      </w:r>
    </w:p>
    <w:p>
      <w:pPr>
        <w:jc w:val="both"/>
        <w:ind w:firstLine="242"/>
        <w:spacing w:after="0" w:line="239" w:lineRule="auto"/>
        <w:rPr>
          <w:sz w:val="20"/>
          <w:szCs w:val="20"/>
          <w:color w:val="auto"/>
        </w:rPr>
      </w:pPr>
      <w:r>
        <w:rPr>
          <w:rFonts w:ascii="Arial" w:cs="Arial" w:eastAsia="Arial" w:hAnsi="Arial"/>
          <w:sz w:val="18"/>
          <w:szCs w:val="18"/>
          <w:color w:val="auto"/>
        </w:rPr>
        <w:t>All documents filed after the date of this Registration Statement by the Registrant pursuant to Section 13(a), 13(c), 14, and 15(d) of the Exchange Act prior to the filing of a post-effective amendment that indicates that all shares of Common Stock offered hereunder have been sold or which deregisters all such shares of Common Stock remaining unsold, shall be deemed to be incorporated by reference herein and to be a part hereof from the date of the filing of such documents (except, with respect to each of the foregoing, for portions of such documents which are deemed to be furnished and/or not filed).</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Description of Securities.</w:t>
      </w:r>
    </w:p>
    <w:p>
      <w:pPr>
        <w:spacing w:after="0" w:line="30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1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29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079" w:right="339" w:bottom="1440" w:gutter="0" w:footer="0" w:header="0"/>
        </w:sectPr>
      </w:pPr>
    </w:p>
    <w:bookmarkStart w:id="2" w:name="page3"/>
    <w:bookmarkEnd w:id="2"/>
    <w:p>
      <w:pPr>
        <w:ind w:left="2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Indemnification of Directors and Officers.</w:t>
      </w:r>
    </w:p>
    <w:p>
      <w:pPr>
        <w:spacing w:after="0" w:line="306" w:lineRule="exact"/>
        <w:rPr>
          <w:sz w:val="20"/>
          <w:szCs w:val="20"/>
          <w:color w:val="auto"/>
        </w:rPr>
      </w:pPr>
    </w:p>
    <w:p>
      <w:pPr>
        <w:jc w:val="both"/>
        <w:ind w:firstLine="900"/>
        <w:spacing w:after="0" w:line="268" w:lineRule="auto"/>
        <w:rPr>
          <w:sz w:val="20"/>
          <w:szCs w:val="20"/>
          <w:color w:val="auto"/>
        </w:rPr>
      </w:pPr>
      <w:r>
        <w:rPr>
          <w:rFonts w:ascii="Arial" w:cs="Arial" w:eastAsia="Arial" w:hAnsi="Arial"/>
          <w:sz w:val="18"/>
          <w:szCs w:val="18"/>
          <w:color w:val="auto"/>
        </w:rPr>
        <w:t>The Registrant is obligated under its Amended and Restated Bylaws, as amended to date, to indemnify its directors and executive officers to the full extent permitted under the Michigan Business Corporation Act (the "MBCA"). The Registrant may similarly indemnify persons who are not directors or executive officers to the extent authorized by the Registrant's Board of Directors.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Sections 561 through 571 of the MBCA, directors and officers of a Michigan corporation may be entitled to indemnification by the corporation. The MBCA provides for indemnification of directors and officers if they acted in good faith and in a manner they reasonably believed to be in or not opposed to the best interests of the Registrant or its shareholders (and, if a criminal proceeding, if they had no reasonable cause to believe their conduct was unlawful) against: (a) expenses (including attorneys' fees), judgments, penalties, fines and amounts paid in settlement actually and reasonably incurred in connection with any threatened, pending or completed action, suit or proceeding (other than an action by or in the right of the Registrant) arising out of a position with the Registrant (or with some other entity at the Registrant's request); and (b) expenses (including attorneys' fees) and amounts paid in settlement actually and reasonably incurred in connection with any threatened, pending or completed action or suit by or in the right of the Registrant, unless the director or officer is found liable to the Registrant; provided that an appropriate court could determine that he or she is nevertheless fairly and reasonably entitled to indemnity for reasonable expenses incurred. The MBCA requires indemnification for expenses to the extent that a director or officer is successful in defending against any such action, suit or proceeding.</w:t>
      </w:r>
    </w:p>
    <w:p>
      <w:pPr>
        <w:spacing w:after="0" w:line="169" w:lineRule="exact"/>
        <w:rPr>
          <w:sz w:val="20"/>
          <w:szCs w:val="20"/>
          <w:color w:val="auto"/>
        </w:rPr>
      </w:pPr>
    </w:p>
    <w:p>
      <w:pPr>
        <w:jc w:val="both"/>
        <w:ind w:firstLine="583"/>
        <w:spacing w:after="0" w:line="253" w:lineRule="auto"/>
        <w:rPr>
          <w:sz w:val="20"/>
          <w:szCs w:val="20"/>
          <w:color w:val="auto"/>
        </w:rPr>
      </w:pPr>
      <w:r>
        <w:rPr>
          <w:rFonts w:ascii="Arial" w:cs="Arial" w:eastAsia="Arial" w:hAnsi="Arial"/>
          <w:sz w:val="18"/>
          <w:szCs w:val="18"/>
          <w:color w:val="auto"/>
        </w:rPr>
        <w:t>The MBCA generally requires that the indemnification provided for in (a) and (b) above be made only on a determination that the director or officer met the applicable standard of conduct (i) by a majority vote of a quorum of the board of directors who were not parties or threatened to be made parties to the action, suit or proceeding; (ii) if a quorum cannot be so obtained, by a majority vote of a committee of not less than two disinterested directors; (iii) by independent legal counsel; (iv) by all independent directors not parties or threatened to be made parties to the action, suit or proceeding; or (v) by the shareholders (excluding shares held by interested directors, officers, employees or agents). If the articles of incorporation include a provision eliminating or limiting the liability of a director, however, a corporation may indemnify a director for certain expenses and liabilities without a determination that the director met the applicable standards of conduct, unless the director received a financial benefit to which he or she was not entitled, intentionally inflicted harm on the corporation or its shareholders, violated Section 551 of the MBCA or intentionally committed a criminal act. In connection with an action by or in the right of the corporation, such indemnification may be for expenses (including attorneys' fees) actually and reasonably incurred. In connection with an action, suit or proceeding other than an action, suit or proceeding by or in the right of the corporation, such indemnification may be for expenses (including attorneys' fees) actually and reasonably incurred, and for judgments, penalties, fines and amounts paid in settlement actually and reasonably incurred.</w:t>
      </w:r>
    </w:p>
    <w:p>
      <w:pPr>
        <w:spacing w:after="0" w:line="174" w:lineRule="exact"/>
        <w:rPr>
          <w:sz w:val="20"/>
          <w:szCs w:val="20"/>
          <w:color w:val="auto"/>
        </w:rPr>
      </w:pPr>
    </w:p>
    <w:p>
      <w:pPr>
        <w:jc w:val="both"/>
        <w:ind w:firstLine="583"/>
        <w:spacing w:after="0" w:line="257" w:lineRule="auto"/>
        <w:rPr>
          <w:sz w:val="20"/>
          <w:szCs w:val="20"/>
          <w:color w:val="auto"/>
        </w:rPr>
      </w:pPr>
      <w:r>
        <w:rPr>
          <w:rFonts w:ascii="Arial" w:cs="Arial" w:eastAsia="Arial" w:hAnsi="Arial"/>
          <w:sz w:val="18"/>
          <w:szCs w:val="18"/>
          <w:color w:val="auto"/>
        </w:rPr>
        <w:t>In certain circumstances, the MBCA further permits advances to cover such expenses before a final disposition of the proceeding, upon receipt of an undertaking, which need not be secured and which may be accepted without reference to the financial ability of the person to make repayment, by or on behalf of the director or officer to repay such amounts if it shall ultimately be determined that he or she has not met the applicable standard of conduct. If a provision in the articles of incorporation or bylaws, a resolution of the board or shareholders, or an agreement makes indemnification mandatory, then the advancement of expenses is also mandatory, unless the provision, resolution or agreement specifically provides otherwise.</w:t>
      </w:r>
    </w:p>
    <w:p>
      <w:pPr>
        <w:spacing w:after="0" w:line="169" w:lineRule="exact"/>
        <w:rPr>
          <w:sz w:val="20"/>
          <w:szCs w:val="20"/>
          <w:color w:val="auto"/>
        </w:rPr>
      </w:pPr>
    </w:p>
    <w:p>
      <w:pPr>
        <w:jc w:val="both"/>
        <w:ind w:firstLine="583"/>
        <w:spacing w:after="0" w:line="262" w:lineRule="auto"/>
        <w:rPr>
          <w:sz w:val="20"/>
          <w:szCs w:val="20"/>
          <w:color w:val="auto"/>
        </w:rPr>
      </w:pPr>
      <w:r>
        <w:rPr>
          <w:rFonts w:ascii="Arial" w:cs="Arial" w:eastAsia="Arial" w:hAnsi="Arial"/>
          <w:sz w:val="18"/>
          <w:szCs w:val="18"/>
          <w:color w:val="auto"/>
        </w:rPr>
        <w:t>Indemnification under the MBCA is not exclusive of other rights to indemnification to which a person may be entitled under the Registrant's Amended and Restated Bylaws or a contractual agreement. However, the total amount of expenses advanced or indemnified from all sources may not exceed the amount of actual expenses incurred by the person seeking indemnification or advancement of expenses. The indemnification provided for under the MBCA continues as to a person who ceases to be a director or executive officer.</w:t>
      </w:r>
    </w:p>
    <w:p>
      <w:pPr>
        <w:spacing w:after="0" w:line="163" w:lineRule="exact"/>
        <w:rPr>
          <w:sz w:val="20"/>
          <w:szCs w:val="20"/>
          <w:color w:val="auto"/>
        </w:rPr>
      </w:pPr>
    </w:p>
    <w:p>
      <w:pPr>
        <w:jc w:val="both"/>
        <w:ind w:firstLine="583"/>
        <w:spacing w:after="0" w:line="262" w:lineRule="auto"/>
        <w:rPr>
          <w:sz w:val="20"/>
          <w:szCs w:val="20"/>
          <w:color w:val="auto"/>
        </w:rPr>
      </w:pPr>
      <w:r>
        <w:rPr>
          <w:rFonts w:ascii="Arial" w:cs="Arial" w:eastAsia="Arial" w:hAnsi="Arial"/>
          <w:sz w:val="18"/>
          <w:szCs w:val="18"/>
          <w:color w:val="auto"/>
        </w:rPr>
        <w:t>The MBCA permits the Registrant to purchase insurance on behalf of its directors and officers against liabilities arising out of their positions with the Registrant (or positions held with another entity at the request of the Registrant), whether or not such liabilities would be within the above indemnification provisions. Pursuant to this authority, the Registrant maintains such insurance on behalf of its directors and officers.</w:t>
      </w:r>
    </w:p>
    <w:p>
      <w:pPr>
        <w:spacing w:after="0" w:line="163" w:lineRule="exact"/>
        <w:rPr>
          <w:sz w:val="20"/>
          <w:szCs w:val="20"/>
          <w:color w:val="auto"/>
        </w:rPr>
      </w:pPr>
    </w:p>
    <w:p>
      <w:pPr>
        <w:jc w:val="both"/>
        <w:ind w:firstLine="583"/>
        <w:spacing w:after="0" w:line="255" w:lineRule="auto"/>
        <w:rPr>
          <w:sz w:val="20"/>
          <w:szCs w:val="20"/>
          <w:color w:val="auto"/>
        </w:rPr>
      </w:pPr>
      <w:r>
        <w:rPr>
          <w:rFonts w:ascii="Arial" w:cs="Arial" w:eastAsia="Arial" w:hAnsi="Arial"/>
          <w:sz w:val="18"/>
          <w:szCs w:val="18"/>
          <w:color w:val="auto"/>
        </w:rPr>
        <w:t>The Registrant has entered into indemnity agreements with each of its directors and executive officers. The agreements provide that the Registrant will indemnify the director or executive officer, subject to certain limitations, for expenses and costs, including the satisfaction of a judgment, fine or penalty incurred in, or in any amount paid in settlement of, any proceeding brought by reason of the fact that the indemnitee is or was a director or executive officer of the Registrant or is or was serving at the request of the Registrant as a director or executive officer or agent of another corporation, partnership, joint venture, trust, or other enterprise, whether for profit or not, specifically including, not by way of limitation, any action related to certification of financial and other reports under the federal securities laws, if such expenses and costs may be indemnified under the MBCA. The agreements are designed to provide the maximum protection allowed under federal and Michigan law. Indemnification is dependent upon the director meeting the applicable standards of conduct set forth in the indemnity agreements.</w:t>
      </w:r>
    </w:p>
    <w:p>
      <w:pPr>
        <w:sectPr>
          <w:pgSz w:w="11900" w:h="16838" w:orient="portrait"/>
          <w:cols w:equalWidth="0" w:num="1">
            <w:col w:w="11240"/>
          </w:cols>
          <w:pgMar w:left="320" w:top="6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7.</w:t>
            </w:r>
          </w:p>
        </w:tc>
        <w:tc>
          <w:tcPr>
            <w:tcW w:w="10320" w:type="dxa"/>
            <w:vAlign w:val="bottom"/>
            <w:gridSpan w:val="18"/>
          </w:tcPr>
          <w:p>
            <w:pPr>
              <w:ind w:left="88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505"/>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20" w:type="dxa"/>
            <w:vAlign w:val="bottom"/>
            <w:gridSpan w:val="18"/>
          </w:tcPr>
          <w:p>
            <w:pPr>
              <w:ind w:left="1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88"/>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320" w:type="dxa"/>
            <w:vAlign w:val="bottom"/>
            <w:gridSpan w:val="18"/>
          </w:tcPr>
          <w:p>
            <w:pPr>
              <w:ind w:left="8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03"/>
        </w:trPr>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20" w:type="dxa"/>
            <w:vAlign w:val="bottom"/>
            <w:gridSpan w:val="18"/>
          </w:tcPr>
          <w:p>
            <w:pPr>
              <w:ind w:left="140"/>
              <w:spacing w:after="0"/>
              <w:rPr>
                <w:sz w:val="20"/>
                <w:szCs w:val="20"/>
                <w:color w:val="auto"/>
              </w:rPr>
            </w:pPr>
            <w:r>
              <w:rPr>
                <w:rFonts w:ascii="Arial" w:cs="Arial" w:eastAsia="Arial" w:hAnsi="Arial"/>
                <w:sz w:val="18"/>
                <w:szCs w:val="18"/>
                <w:color w:val="auto"/>
              </w:rPr>
              <w:t>The following exhibits are filed or incorporated by reference as part of this registration statement</w:t>
            </w:r>
          </w:p>
        </w:tc>
        <w:tc>
          <w:tcPr>
            <w:tcW w:w="0" w:type="dxa"/>
            <w:vAlign w:val="bottom"/>
          </w:tcPr>
          <w:p>
            <w:pPr>
              <w:spacing w:after="0"/>
              <w:rPr>
                <w:sz w:val="1"/>
                <w:szCs w:val="1"/>
                <w:color w:val="auto"/>
              </w:rPr>
            </w:pPr>
          </w:p>
        </w:tc>
      </w:tr>
      <w:tr>
        <w:trPr>
          <w:trHeight w:val="442"/>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09"/>
        </w:trPr>
        <w:tc>
          <w:tcPr>
            <w:tcW w:w="8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8"/>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auto"/>
              </w:rPr>
              <w:t>Registrant’s Restated Articles of Incorporation, adopted on August 20, 2004, and as amended to date, were filed as</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20" w:type="dxa"/>
            <w:vAlign w:val="bottom"/>
            <w:gridSpan w:val="17"/>
          </w:tcPr>
          <w:p>
            <w:pPr>
              <w:spacing w:after="0" w:line="181" w:lineRule="exact"/>
              <w:rPr>
                <w:rFonts w:ascii="Arial" w:cs="Arial" w:eastAsia="Arial" w:hAnsi="Arial"/>
                <w:sz w:val="18"/>
                <w:szCs w:val="18"/>
                <w:color w:val="0000FF"/>
                <w:w w:val="99"/>
              </w:rPr>
            </w:pPr>
            <w:hyperlink r:id="rId9">
              <w:r>
                <w:rPr>
                  <w:rFonts w:ascii="Arial" w:cs="Arial" w:eastAsia="Arial" w:hAnsi="Arial"/>
                  <w:sz w:val="18"/>
                  <w:szCs w:val="18"/>
                  <w:color w:val="0000FF"/>
                  <w:w w:val="99"/>
                </w:rPr>
                <w:t>Exhibit 3(a) to Registrant’s Report on Form 10-Q dated November 2, 2004</w:t>
              </w:r>
            </w:hyperlink>
            <w:r>
              <w:rPr>
                <w:rFonts w:ascii="Arial" w:cs="Arial" w:eastAsia="Arial" w:hAnsi="Arial"/>
                <w:sz w:val="18"/>
                <w:szCs w:val="18"/>
                <w:color w:val="000000"/>
                <w:w w:val="99"/>
              </w:rPr>
              <w:t>,</w:t>
            </w:r>
            <w:r>
              <w:rPr>
                <w:rFonts w:ascii="Arial" w:cs="Arial" w:eastAsia="Arial" w:hAnsi="Arial"/>
                <w:sz w:val="18"/>
                <w:szCs w:val="18"/>
                <w:color w:val="0000FF"/>
                <w:w w:val="99"/>
              </w:rPr>
              <w:t xml:space="preserve"> </w:t>
            </w:r>
            <w:r>
              <w:rPr>
                <w:rFonts w:ascii="Arial" w:cs="Arial" w:eastAsia="Arial" w:hAnsi="Arial"/>
                <w:sz w:val="18"/>
                <w:szCs w:val="18"/>
                <w:color w:val="000000"/>
                <w:w w:val="99"/>
              </w:rPr>
              <w:t>and an Amendment to Registrant's Articles</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900" w:type="dxa"/>
            <w:vAlign w:val="bottom"/>
            <w:tcBorders>
              <w:top w:val="single" w:sz="8" w:color="0000FF"/>
            </w:tcBorders>
            <w:gridSpan w:val="10"/>
          </w:tcPr>
          <w:p>
            <w:pPr>
              <w:spacing w:after="0" w:line="162" w:lineRule="exact"/>
              <w:rPr>
                <w:rFonts w:ascii="Arial" w:cs="Arial" w:eastAsia="Arial" w:hAnsi="Arial"/>
                <w:sz w:val="18"/>
                <w:szCs w:val="18"/>
                <w:color w:val="auto"/>
              </w:rPr>
            </w:pPr>
            <w:r>
              <w:rPr>
                <w:rFonts w:ascii="Arial" w:cs="Arial" w:eastAsia="Arial" w:hAnsi="Arial"/>
                <w:sz w:val="18"/>
                <w:szCs w:val="18"/>
                <w:color w:val="auto"/>
              </w:rPr>
              <w:t xml:space="preserve">of Incorporation adopted as of May 18, 2012, was filed as </w:t>
            </w:r>
            <w:hyperlink r:id="rId10">
              <w:r>
                <w:rPr>
                  <w:rFonts w:ascii="Arial" w:cs="Arial" w:eastAsia="Arial" w:hAnsi="Arial"/>
                  <w:sz w:val="18"/>
                  <w:szCs w:val="18"/>
                  <w:color w:val="0000FF"/>
                </w:rPr>
                <w:t>Exhibit 3.1(i) to</w:t>
              </w:r>
            </w:hyperlink>
          </w:p>
        </w:tc>
        <w:tc>
          <w:tcPr>
            <w:tcW w:w="3520" w:type="dxa"/>
            <w:vAlign w:val="bottom"/>
            <w:gridSpan w:val="7"/>
          </w:tcPr>
          <w:p>
            <w:pPr>
              <w:spacing w:after="0" w:line="162" w:lineRule="exact"/>
              <w:rPr>
                <w:rFonts w:ascii="Arial" w:cs="Arial" w:eastAsia="Arial" w:hAnsi="Arial"/>
                <w:sz w:val="18"/>
                <w:szCs w:val="18"/>
                <w:color w:val="0000FF"/>
              </w:rPr>
            </w:pPr>
            <w:hyperlink r:id="rId10">
              <w:r>
                <w:rPr>
                  <w:rFonts w:ascii="Arial" w:cs="Arial" w:eastAsia="Arial" w:hAnsi="Arial"/>
                  <w:sz w:val="18"/>
                  <w:szCs w:val="18"/>
                  <w:color w:val="0000FF"/>
                </w:rPr>
                <w:t>Registrant's Form 8-K dated May 22, 2012</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20" w:type="dxa"/>
            <w:vAlign w:val="bottom"/>
            <w:gridSpan w:val="17"/>
          </w:tcPr>
          <w:p>
            <w:pPr>
              <w:spacing w:after="0" w:line="150" w:lineRule="exact"/>
              <w:rPr>
                <w:sz w:val="20"/>
                <w:szCs w:val="20"/>
                <w:color w:val="auto"/>
              </w:rPr>
            </w:pPr>
            <w:r>
              <w:rPr>
                <w:rFonts w:ascii="Arial" w:cs="Arial" w:eastAsia="Arial" w:hAnsi="Arial"/>
                <w:sz w:val="17"/>
                <w:szCs w:val="17"/>
                <w:color w:val="auto"/>
              </w:rPr>
              <w:t>and the same are hereby incorporated by reference, together with an Amendment to the Registrant's Restated Articles</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20" w:type="dxa"/>
            <w:vAlign w:val="bottom"/>
            <w:gridSpan w:val="17"/>
          </w:tcPr>
          <w:p>
            <w:pPr>
              <w:spacing w:after="0" w:line="181" w:lineRule="exact"/>
              <w:rPr>
                <w:sz w:val="20"/>
                <w:szCs w:val="20"/>
                <w:color w:val="auto"/>
              </w:rPr>
            </w:pPr>
            <w:r>
              <w:rPr>
                <w:rFonts w:ascii="Arial" w:cs="Arial" w:eastAsia="Arial" w:hAnsi="Arial"/>
                <w:sz w:val="18"/>
                <w:szCs w:val="18"/>
                <w:color w:val="auto"/>
              </w:rPr>
              <w:t>of Incorporation adopted as of May 15, 2014 which was included in the Registrant's Proxy Statement which was filed</w:t>
            </w: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auto"/>
              </w:rPr>
              <w:t>with the Commission March 31, 2014 and the same are hereby incorporated herein by reference.</w:t>
            </w:r>
          </w:p>
        </w:tc>
        <w:tc>
          <w:tcPr>
            <w:tcW w:w="0" w:type="dxa"/>
            <w:vAlign w:val="bottom"/>
          </w:tcPr>
          <w:p>
            <w:pPr>
              <w:spacing w:after="0"/>
              <w:rPr>
                <w:sz w:val="1"/>
                <w:szCs w:val="1"/>
                <w:color w:val="auto"/>
              </w:rPr>
            </w:pPr>
          </w:p>
        </w:tc>
      </w:tr>
      <w:tr>
        <w:trPr>
          <w:trHeight w:val="679"/>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auto"/>
              </w:rPr>
            </w:pPr>
            <w:hyperlink r:id="rId11">
              <w:r>
                <w:rPr>
                  <w:rFonts w:ascii="Arial" w:cs="Arial" w:eastAsia="Arial" w:hAnsi="Arial"/>
                  <w:sz w:val="18"/>
                  <w:szCs w:val="18"/>
                  <w:color w:val="auto"/>
                </w:rPr>
                <w:t xml:space="preserve">Registrant’s Bylaws as amended and restated February 27, 2003, was filed as </w:t>
              </w:r>
              <w:r>
                <w:rPr>
                  <w:rFonts w:ascii="Arial" w:cs="Arial" w:eastAsia="Arial" w:hAnsi="Arial"/>
                  <w:sz w:val="18"/>
                  <w:szCs w:val="18"/>
                  <w:color w:val="0000FF"/>
                </w:rPr>
                <w:t>Exhibit 3(b)(1) to Registrant’s report on</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380" w:type="dxa"/>
            <w:vAlign w:val="bottom"/>
            <w:gridSpan w:val="16"/>
          </w:tcPr>
          <w:p>
            <w:pPr>
              <w:spacing w:after="0" w:line="156" w:lineRule="exact"/>
              <w:rPr>
                <w:rFonts w:ascii="Arial" w:cs="Arial" w:eastAsia="Arial" w:hAnsi="Arial"/>
                <w:sz w:val="18"/>
                <w:szCs w:val="18"/>
                <w:color w:val="0000FF"/>
                <w:w w:val="99"/>
              </w:rPr>
            </w:pPr>
            <w:hyperlink r:id="rId11">
              <w:r>
                <w:rPr>
                  <w:rFonts w:ascii="Arial" w:cs="Arial" w:eastAsia="Arial" w:hAnsi="Arial"/>
                  <w:sz w:val="18"/>
                  <w:szCs w:val="18"/>
                  <w:color w:val="0000FF"/>
                  <w:w w:val="99"/>
                </w:rPr>
                <w:t>Form 10-Q dated May 5, 2003</w:t>
              </w:r>
              <w:r>
                <w:rPr>
                  <w:rFonts w:ascii="Arial" w:cs="Arial" w:eastAsia="Arial" w:hAnsi="Arial"/>
                  <w:sz w:val="18"/>
                  <w:szCs w:val="18"/>
                  <w:color w:val="000000"/>
                  <w:w w:val="99"/>
                </w:rPr>
                <w:t>, and an Amendment to Registrant’s Bylaws adopted as of February 16, 2012, was filed</w:t>
              </w:r>
            </w:hyperlink>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20" w:type="dxa"/>
            <w:vAlign w:val="bottom"/>
            <w:tcBorders>
              <w:top w:val="single" w:sz="8" w:color="0000FF"/>
            </w:tcBorders>
            <w:gridSpan w:val="4"/>
          </w:tcPr>
          <w:p>
            <w:pPr>
              <w:spacing w:after="0" w:line="162" w:lineRule="exact"/>
              <w:rPr>
                <w:rFonts w:ascii="Arial" w:cs="Arial" w:eastAsia="Arial" w:hAnsi="Arial"/>
                <w:sz w:val="18"/>
                <w:szCs w:val="18"/>
                <w:color w:val="auto"/>
                <w:w w:val="94"/>
              </w:rPr>
            </w:pPr>
            <w:r>
              <w:rPr>
                <w:rFonts w:ascii="Arial" w:cs="Arial" w:eastAsia="Arial" w:hAnsi="Arial"/>
                <w:sz w:val="18"/>
                <w:szCs w:val="18"/>
                <w:color w:val="auto"/>
                <w:w w:val="94"/>
              </w:rPr>
              <w:t xml:space="preserve">as </w:t>
            </w:r>
            <w:hyperlink r:id="rId12">
              <w:r>
                <w:rPr>
                  <w:rFonts w:ascii="Arial" w:cs="Arial" w:eastAsia="Arial" w:hAnsi="Arial"/>
                  <w:sz w:val="18"/>
                  <w:szCs w:val="18"/>
                  <w:color w:val="0000FF"/>
                  <w:w w:val="94"/>
                </w:rPr>
                <w:t>Exhibit 3(b)(ii) to Registrant’s</w:t>
              </w:r>
            </w:hyperlink>
          </w:p>
        </w:tc>
        <w:tc>
          <w:tcPr>
            <w:tcW w:w="40" w:type="dxa"/>
            <w:vAlign w:val="bottom"/>
          </w:tcPr>
          <w:p>
            <w:pPr>
              <w:spacing w:after="0"/>
              <w:rPr>
                <w:sz w:val="14"/>
                <w:szCs w:val="14"/>
                <w:color w:val="auto"/>
              </w:rPr>
            </w:pPr>
          </w:p>
        </w:tc>
        <w:tc>
          <w:tcPr>
            <w:tcW w:w="6960" w:type="dxa"/>
            <w:vAlign w:val="bottom"/>
            <w:gridSpan w:val="12"/>
          </w:tcPr>
          <w:p>
            <w:pPr>
              <w:ind w:left="140"/>
              <w:spacing w:after="0" w:line="162" w:lineRule="exact"/>
              <w:rPr>
                <w:rFonts w:ascii="Arial" w:cs="Arial" w:eastAsia="Arial" w:hAnsi="Arial"/>
                <w:sz w:val="18"/>
                <w:szCs w:val="18"/>
                <w:color w:val="0000FF"/>
              </w:rPr>
            </w:pPr>
            <w:hyperlink r:id="rId12">
              <w:r>
                <w:rPr>
                  <w:rFonts w:ascii="Arial" w:cs="Arial" w:eastAsia="Arial" w:hAnsi="Arial"/>
                  <w:sz w:val="18"/>
                  <w:szCs w:val="18"/>
                  <w:color w:val="0000FF"/>
                </w:rPr>
                <w:t>Form 8-K dated February 21, 2012</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 the same is hereby incorporated herein by</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1460" w:type="dxa"/>
            <w:vAlign w:val="bottom"/>
            <w:gridSpan w:val="2"/>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9"/>
          </w:tcPr>
          <w:p>
            <w:pPr>
              <w:spacing w:after="0"/>
              <w:rPr>
                <w:sz w:val="20"/>
                <w:szCs w:val="20"/>
                <w:color w:val="auto"/>
              </w:rPr>
            </w:pPr>
            <w:r>
              <w:rPr>
                <w:rFonts w:ascii="Arial" w:cs="Arial" w:eastAsia="Arial" w:hAnsi="Arial"/>
                <w:sz w:val="18"/>
                <w:szCs w:val="18"/>
                <w:color w:val="auto"/>
              </w:rPr>
              <w:t>reference.</w:t>
            </w:r>
          </w:p>
        </w:tc>
        <w:tc>
          <w:tcPr>
            <w:tcW w:w="1240" w:type="dxa"/>
            <w:vAlign w:val="bottom"/>
            <w:gridSpan w:val="3"/>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40" w:type="dxa"/>
            <w:vAlign w:val="bottom"/>
          </w:tcPr>
          <w:p>
            <w:pPr>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auto"/>
              </w:rPr>
              <w:t>A specimen form of certificate for the Registrant’s common stock, par value $.06 per share, was filed as part of a</w:t>
            </w:r>
          </w:p>
        </w:tc>
        <w:tc>
          <w:tcPr>
            <w:tcW w:w="0" w:type="dxa"/>
            <w:vAlign w:val="bottom"/>
          </w:tcPr>
          <w:p>
            <w:pPr>
              <w:spacing w:after="0"/>
              <w:rPr>
                <w:sz w:val="1"/>
                <w:szCs w:val="1"/>
                <w:color w:val="auto"/>
              </w:rPr>
            </w:pPr>
          </w:p>
        </w:tc>
      </w:tr>
      <w:tr>
        <w:trPr>
          <w:trHeight w:val="181"/>
        </w:trPr>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20" w:type="dxa"/>
            <w:vAlign w:val="bottom"/>
            <w:gridSpan w:val="17"/>
          </w:tcPr>
          <w:p>
            <w:pPr>
              <w:spacing w:after="0" w:line="181" w:lineRule="exact"/>
              <w:rPr>
                <w:sz w:val="20"/>
                <w:szCs w:val="20"/>
                <w:color w:val="auto"/>
              </w:rPr>
            </w:pPr>
            <w:r>
              <w:rPr>
                <w:rFonts w:ascii="Arial" w:cs="Arial" w:eastAsia="Arial" w:hAnsi="Arial"/>
                <w:sz w:val="18"/>
                <w:szCs w:val="18"/>
                <w:color w:val="auto"/>
              </w:rPr>
              <w:t>Registration Statement (Registration Number 2-74226C) as Exhibit 3(a), as amended by Amendment No. 3 to such</w:t>
            </w: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auto"/>
              </w:rPr>
              <w:t>Registration Statement, and the same is hereby incorporated herein by reference.</w:t>
            </w:r>
          </w:p>
        </w:tc>
        <w:tc>
          <w:tcPr>
            <w:tcW w:w="0" w:type="dxa"/>
            <w:vAlign w:val="bottom"/>
          </w:tcPr>
          <w:p>
            <w:pPr>
              <w:spacing w:after="0"/>
              <w:rPr>
                <w:sz w:val="1"/>
                <w:szCs w:val="1"/>
                <w:color w:val="auto"/>
              </w:rPr>
            </w:pPr>
          </w:p>
        </w:tc>
      </w:tr>
      <w:tr>
        <w:trPr>
          <w:trHeight w:val="450"/>
        </w:trPr>
        <w:tc>
          <w:tcPr>
            <w:tcW w:w="640" w:type="dxa"/>
            <w:vAlign w:val="bottom"/>
          </w:tcPr>
          <w:p>
            <w:pPr>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Legal Opinion of Varnum LLP.</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0000FF"/>
              </w:rPr>
              <w:t>Consent of Ernst &amp; Young LLP.</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0"/>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sz w:val="20"/>
                <w:szCs w:val="20"/>
                <w:color w:val="auto"/>
              </w:rPr>
            </w:pPr>
            <w:r>
              <w:rPr>
                <w:rFonts w:ascii="Arial" w:cs="Arial" w:eastAsia="Arial" w:hAnsi="Arial"/>
                <w:sz w:val="18"/>
                <w:szCs w:val="18"/>
                <w:color w:val="auto"/>
              </w:rPr>
              <w:t>Consent of Varnum LLP (included in Exhibit 5 and incorporated herein by reference).</w:t>
            </w:r>
          </w:p>
        </w:tc>
        <w:tc>
          <w:tcPr>
            <w:tcW w:w="0" w:type="dxa"/>
            <w:vAlign w:val="bottom"/>
          </w:tcPr>
          <w:p>
            <w:pPr>
              <w:spacing w:after="0"/>
              <w:rPr>
                <w:sz w:val="1"/>
                <w:szCs w:val="1"/>
                <w:color w:val="auto"/>
              </w:rPr>
            </w:pPr>
          </w:p>
        </w:tc>
      </w:tr>
      <w:tr>
        <w:trPr>
          <w:trHeight w:val="441"/>
        </w:trPr>
        <w:tc>
          <w:tcPr>
            <w:tcW w:w="640" w:type="dxa"/>
            <w:vAlign w:val="bottom"/>
          </w:tcPr>
          <w:p>
            <w:pPr>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Powers of Attorney (included on the signature page to this Registration Statement).</w:t>
            </w:r>
          </w:p>
        </w:tc>
        <w:tc>
          <w:tcPr>
            <w:tcW w:w="28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20" w:type="dxa"/>
            <w:vAlign w:val="bottom"/>
            <w:gridSpan w:val="17"/>
          </w:tcPr>
          <w:p>
            <w:pPr>
              <w:spacing w:after="0"/>
              <w:rPr>
                <w:rFonts w:ascii="Arial" w:cs="Arial" w:eastAsia="Arial" w:hAnsi="Arial"/>
                <w:sz w:val="18"/>
                <w:szCs w:val="18"/>
                <w:color w:val="0000FF"/>
              </w:rPr>
            </w:pPr>
            <w:hyperlink r:id="rId13">
              <w:r>
                <w:rPr>
                  <w:rFonts w:ascii="Arial" w:cs="Arial" w:eastAsia="Arial" w:hAnsi="Arial"/>
                  <w:sz w:val="18"/>
                  <w:szCs w:val="18"/>
                  <w:color w:val="0000FF"/>
                </w:rPr>
                <w:t>Gentex Corporation 2026 Omnibus Incentive Plan (filed as Appendix B to the Registrant’s Definitive Proxy Statement</w:t>
              </w:r>
            </w:hyperlink>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3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r:id="rId13">
              <w:r>
                <w:rPr>
                  <w:rFonts w:ascii="Arial" w:cs="Arial" w:eastAsia="Arial" w:hAnsi="Arial"/>
                  <w:sz w:val="18"/>
                  <w:szCs w:val="18"/>
                  <w:color w:val="0000FF"/>
                </w:rPr>
                <w:t>on Schedule 14A, filed on April 9, 2026, and the same is hereby incorporated herein by reference).</w:t>
              </w:r>
            </w:hyperlink>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Filing Fee Table.</w:t>
            </w:r>
          </w:p>
        </w:tc>
        <w:tc>
          <w:tcPr>
            <w:tcW w:w="1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81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9.</w:t>
            </w:r>
          </w:p>
        </w:tc>
        <w:tc>
          <w:tcPr>
            <w:tcW w:w="10320" w:type="dxa"/>
            <w:vAlign w:val="bottom"/>
            <w:gridSpan w:val="18"/>
          </w:tcPr>
          <w:p>
            <w:pPr>
              <w:ind w:left="880"/>
              <w:spacing w:after="0"/>
              <w:rPr>
                <w:sz w:val="20"/>
                <w:szCs w:val="20"/>
                <w:color w:val="auto"/>
              </w:rPr>
            </w:pPr>
            <w:r>
              <w:rPr>
                <w:rFonts w:ascii="Arial" w:cs="Arial" w:eastAsia="Arial" w:hAnsi="Arial"/>
                <w:sz w:val="18"/>
                <w:szCs w:val="18"/>
                <w:b w:val="1"/>
                <w:bCs w:val="1"/>
                <w:color w:val="auto"/>
              </w:rPr>
              <w:t>Undertakings.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-4850130</wp:posOffset>
            </wp:positionV>
            <wp:extent cx="31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233" w:lineRule="exact"/>
        <w:rPr>
          <w:sz w:val="20"/>
          <w:szCs w:val="20"/>
          <w:color w:val="auto"/>
        </w:rPr>
      </w:pPr>
    </w:p>
    <w:p>
      <w:pPr>
        <w:ind w:left="1200" w:hanging="712"/>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11" w:lineRule="exact"/>
        <w:rPr>
          <w:rFonts w:ascii="Arial" w:cs="Arial" w:eastAsia="Arial" w:hAnsi="Arial"/>
          <w:sz w:val="18"/>
          <w:szCs w:val="18"/>
          <w:color w:val="auto"/>
        </w:rPr>
      </w:pPr>
    </w:p>
    <w:p>
      <w:pPr>
        <w:ind w:left="1740" w:hanging="536"/>
        <w:spacing w:after="0"/>
        <w:tabs>
          <w:tab w:leader="none" w:pos="17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w:t>
      </w:r>
    </w:p>
    <w:p>
      <w:pPr>
        <w:spacing w:after="0" w:line="2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Statement:</w:t>
      </w:r>
    </w:p>
    <w:p>
      <w:pPr>
        <w:spacing w:after="0" w:line="193" w:lineRule="exact"/>
        <w:rPr>
          <w:rFonts w:ascii="Arial" w:cs="Arial" w:eastAsia="Arial" w:hAnsi="Arial"/>
          <w:sz w:val="18"/>
          <w:szCs w:val="18"/>
          <w:color w:val="auto"/>
        </w:rPr>
      </w:pPr>
    </w:p>
    <w:p>
      <w:pPr>
        <w:ind w:left="2280" w:hanging="348"/>
        <w:spacing w:after="0"/>
        <w:tabs>
          <w:tab w:leader="none" w:pos="228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11" w:lineRule="exact"/>
        <w:rPr>
          <w:rFonts w:ascii="Arial" w:cs="Arial" w:eastAsia="Arial" w:hAnsi="Arial"/>
          <w:sz w:val="18"/>
          <w:szCs w:val="18"/>
          <w:color w:val="auto"/>
        </w:rPr>
      </w:pPr>
    </w:p>
    <w:p>
      <w:pPr>
        <w:jc w:val="both"/>
        <w:ind w:left="1280" w:firstLine="652"/>
        <w:spacing w:after="0" w:line="255" w:lineRule="auto"/>
        <w:tabs>
          <w:tab w:leader="none" w:pos="2658"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ectPr>
          <w:pgSz w:w="11900" w:h="16838" w:orient="portrait"/>
          <w:cols w:equalWidth="0" w:num="1">
            <w:col w:w="11220"/>
          </w:cols>
          <w:pgMar w:left="340" w:top="661" w:right="339" w:bottom="1440" w:gutter="0" w:footer="0" w:header="0"/>
        </w:sectPr>
      </w:pPr>
    </w:p>
    <w:bookmarkStart w:id="4" w:name="page5"/>
    <w:bookmarkEnd w:id="4"/>
    <w:p>
      <w:pPr>
        <w:jc w:val="both"/>
        <w:ind w:left="644" w:firstLine="652"/>
        <w:spacing w:after="0" w:line="259" w:lineRule="auto"/>
        <w:tabs>
          <w:tab w:leader="none" w:pos="2146" w:val="left"/>
        </w:tabs>
        <w:numPr>
          <w:ilvl w:val="2"/>
          <w:numId w:val="3"/>
        </w:numPr>
        <w:rPr>
          <w:rFonts w:ascii="Arial" w:cs="Arial" w:eastAsia="Arial" w:hAnsi="Arial"/>
          <w:sz w:val="18"/>
          <w:szCs w:val="18"/>
          <w:color w:val="auto"/>
        </w:rPr>
      </w:pPr>
      <w:r>
        <w:rPr>
          <w:rFonts w:ascii="Arial" w:cs="Arial" w:eastAsia="Arial" w:hAnsi="Arial"/>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paragraphs (a)(1)(i) and (a)(1)(ii) do not apply if the information required to be included in a post-effective amendment by those paragraphs is contained in periodic reports filed with or furnished to the Commission by the Registrant pursuant to Section 13 or 15(d) of the Exchange Act that are incorporated by reference in this Registration Statement.</w:t>
      </w:r>
    </w:p>
    <w:p>
      <w:pPr>
        <w:spacing w:after="0" w:line="165" w:lineRule="exact"/>
        <w:rPr>
          <w:rFonts w:ascii="Arial" w:cs="Arial" w:eastAsia="Arial" w:hAnsi="Arial"/>
          <w:sz w:val="18"/>
          <w:szCs w:val="18"/>
          <w:color w:val="auto"/>
        </w:rPr>
      </w:pPr>
    </w:p>
    <w:p>
      <w:pPr>
        <w:jc w:val="both"/>
        <w:ind w:left="4" w:firstLine="644"/>
        <w:spacing w:after="0" w:line="268" w:lineRule="auto"/>
        <w:tabs>
          <w:tab w:leader="none" w:pos="107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57" w:lineRule="exact"/>
        <w:rPr>
          <w:rFonts w:ascii="Arial" w:cs="Arial" w:eastAsia="Arial" w:hAnsi="Arial"/>
          <w:sz w:val="18"/>
          <w:szCs w:val="18"/>
          <w:color w:val="auto"/>
        </w:rPr>
      </w:pPr>
    </w:p>
    <w:p>
      <w:pPr>
        <w:ind w:left="4" w:firstLine="644"/>
        <w:spacing w:after="0" w:line="287" w:lineRule="auto"/>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9" w:lineRule="exact"/>
        <w:rPr>
          <w:rFonts w:ascii="Arial" w:cs="Arial" w:eastAsia="Arial" w:hAnsi="Arial"/>
          <w:sz w:val="18"/>
          <w:szCs w:val="18"/>
          <w:color w:val="auto"/>
        </w:rPr>
      </w:pPr>
    </w:p>
    <w:p>
      <w:pPr>
        <w:jc w:val="both"/>
        <w:ind w:left="4" w:hanging="4"/>
        <w:spacing w:after="0" w:line="259" w:lineRule="auto"/>
        <w:tabs>
          <w:tab w:leader="none" w:pos="4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Sections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Arial" w:cs="Arial" w:eastAsia="Arial" w:hAnsi="Arial"/>
          <w:sz w:val="18"/>
          <w:szCs w:val="18"/>
          <w:color w:val="auto"/>
        </w:rPr>
      </w:pPr>
    </w:p>
    <w:p>
      <w:pPr>
        <w:ind w:left="4" w:right="60" w:hanging="4"/>
        <w:spacing w:after="0" w:line="255" w:lineRule="auto"/>
        <w:tabs>
          <w:tab w:leader="none" w:pos="41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84"/>
          </w:cols>
          <w:pgMar w:left="976" w:top="647" w:right="339" w:bottom="1440" w:gutter="0" w:footer="0" w:header="0"/>
        </w:sectPr>
      </w:pPr>
    </w:p>
    <w:bookmarkStart w:id="5" w:name="page6"/>
    <w:bookmarkEnd w:id="5"/>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Zeeland, State of Michigan, on June 16, 2026.</w:t>
      </w:r>
    </w:p>
    <w:p>
      <w:pPr>
        <w:spacing w:after="0" w:line="31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GENTEX CORPORATION</w:t>
      </w:r>
    </w:p>
    <w:p>
      <w:pPr>
        <w:ind w:left="5040"/>
        <w:spacing w:after="0"/>
        <w:rPr>
          <w:sz w:val="20"/>
          <w:szCs w:val="20"/>
          <w:color w:val="auto"/>
        </w:rPr>
      </w:pPr>
      <w:r>
        <w:rPr>
          <w:rFonts w:ascii="Arial" w:cs="Arial" w:eastAsia="Arial" w:hAnsi="Arial"/>
          <w:sz w:val="18"/>
          <w:szCs w:val="18"/>
          <w:color w:val="auto"/>
        </w:rPr>
        <w:t>(Registrant)</w:t>
      </w:r>
    </w:p>
    <w:p>
      <w:pPr>
        <w:spacing w:after="0" w:line="1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Steve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12065</wp:posOffset>
            </wp:positionV>
            <wp:extent cx="3900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Steve Downing, President and Chief Executive Officer</w:t>
      </w:r>
    </w:p>
    <w:p>
      <w:pPr>
        <w:ind w:left="50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60"/>
          </w:cols>
          <w:pgMar w:left="320" w:top="1440" w:right="5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Steve R. Downing and Kevin C. Nash, and each of them, as attorney-in-fact and agent, with full power of substitution and re-substitution, for and in the name, place and stead of the undersigned,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each said attorney-in-fact and agent, or any such substitute or substitutes, may lawfully do or cause to be done by virtue hereof.</w:t>
      </w:r>
    </w:p>
    <w:p>
      <w:pPr>
        <w:spacing w:after="0" w:line="17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June 16, 2026.</w:t>
      </w:r>
    </w:p>
    <w:p>
      <w:pPr>
        <w:spacing w:after="0" w:line="180" w:lineRule="exact"/>
        <w:rPr>
          <w:sz w:val="20"/>
          <w:szCs w:val="20"/>
          <w:color w:val="auto"/>
        </w:rPr>
      </w:pPr>
    </w:p>
    <w:tbl>
      <w:tblPr>
        <w:tblLayout w:type="fixed"/>
        <w:tblInd w:w="680" w:type="dxa"/>
        <w:tblCellMar>
          <w:top w:w="0" w:type="dxa"/>
          <w:left w:w="0" w:type="dxa"/>
          <w:bottom w:w="0" w:type="dxa"/>
          <w:right w:w="0" w:type="dxa"/>
        </w:tblCellMar>
      </w:tblPr>
      <w:tr>
        <w:trPr>
          <w:trHeight w:val="262"/>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 R. Downing</w:t>
            </w:r>
          </w:p>
        </w:tc>
      </w:tr>
      <w:tr>
        <w:trPr>
          <w:trHeight w:val="218"/>
        </w:trPr>
        <w:tc>
          <w:tcPr>
            <w:tcW w:w="160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Steve R. Downing, President and Chief Executive Officer</w:t>
            </w:r>
          </w:p>
        </w:tc>
      </w:tr>
      <w:tr>
        <w:trPr>
          <w:trHeight w:val="239"/>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(Principal Executive Officer) and Director</w:t>
            </w:r>
          </w:p>
        </w:tc>
      </w:tr>
      <w:tr>
        <w:trPr>
          <w:trHeight w:val="509"/>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Kevin C. Nash</w:t>
            </w:r>
          </w:p>
        </w:tc>
      </w:tr>
      <w:tr>
        <w:trPr>
          <w:trHeight w:val="218"/>
        </w:trPr>
        <w:tc>
          <w:tcPr>
            <w:tcW w:w="160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Kevin C. Nash, Vice President, Finance, Chief Financial Officer and Treasurer (Principal</w:t>
            </w:r>
          </w:p>
        </w:tc>
      </w:tr>
      <w:tr>
        <w:trPr>
          <w:trHeight w:val="239"/>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Financial Officer and Principal Accounting Officer)</w:t>
            </w:r>
          </w:p>
        </w:tc>
      </w:tr>
      <w:tr>
        <w:trPr>
          <w:trHeight w:val="509"/>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Leslie Brown</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Leslie Brown, Director</w:t>
            </w:r>
          </w:p>
        </w:tc>
      </w:tr>
      <w:tr>
        <w:trPr>
          <w:trHeight w:val="477"/>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Garth Deur</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Garth Deur, Director</w:t>
            </w:r>
          </w:p>
        </w:tc>
      </w:tr>
      <w:tr>
        <w:trPr>
          <w:trHeight w:val="720"/>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 Kennedy</w:t>
            </w:r>
          </w:p>
        </w:tc>
      </w:tr>
      <w:tr>
        <w:trPr>
          <w:trHeight w:val="240"/>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John C. Kennedy, Director</w:t>
            </w:r>
          </w:p>
        </w:tc>
      </w:tr>
      <w:tr>
        <w:trPr>
          <w:trHeight w:val="685"/>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Billy Pink</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Billy Pink, Director</w:t>
            </w:r>
          </w:p>
        </w:tc>
      </w:tr>
      <w:tr>
        <w:trPr>
          <w:trHeight w:val="436"/>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Schaum</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Richard Schaum, Director</w:t>
            </w:r>
          </w:p>
        </w:tc>
      </w:tr>
      <w:tr>
        <w:trPr>
          <w:trHeight w:val="477"/>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Kathleen Starkoff</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Kathleen Starkoff, Director</w:t>
            </w:r>
          </w:p>
        </w:tc>
      </w:tr>
      <w:tr>
        <w:trPr>
          <w:trHeight w:val="477"/>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Walker</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Brian Walker, Director</w:t>
            </w:r>
          </w:p>
        </w:tc>
      </w:tr>
      <w:tr>
        <w:trPr>
          <w:trHeight w:val="477"/>
        </w:trPr>
        <w:tc>
          <w:tcPr>
            <w:tcW w:w="1600" w:type="dxa"/>
            <w:vAlign w:val="bottom"/>
          </w:tcPr>
          <w:p>
            <w:pPr>
              <w:spacing w:after="0"/>
              <w:rPr>
                <w:sz w:val="20"/>
                <w:szCs w:val="20"/>
                <w:color w:val="auto"/>
              </w:rPr>
            </w:pPr>
            <w:r>
              <w:rPr>
                <w:rFonts w:ascii="Arial" w:cs="Arial" w:eastAsia="Arial" w:hAnsi="Arial"/>
                <w:sz w:val="18"/>
                <w:szCs w:val="18"/>
                <w:color w:val="auto"/>
              </w:rPr>
              <w:t>By</w:t>
            </w:r>
          </w:p>
        </w:tc>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Ling Zang</w:t>
            </w:r>
          </w:p>
        </w:tc>
      </w:tr>
      <w:tr>
        <w:trPr>
          <w:trHeight w:val="232"/>
        </w:trPr>
        <w:tc>
          <w:tcPr>
            <w:tcW w:w="1600" w:type="dxa"/>
            <w:vAlign w:val="bottom"/>
          </w:tcPr>
          <w:p>
            <w:pPr>
              <w:spacing w:after="0"/>
              <w:rPr>
                <w:sz w:val="20"/>
                <w:szCs w:val="20"/>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Ling Zang, Director</w:t>
            </w:r>
          </w:p>
        </w:tc>
      </w:tr>
    </w:tbl>
    <w:p>
      <w:pPr>
        <w:sectPr>
          <w:pgSz w:w="11900" w:h="16838" w:orient="portrait"/>
          <w:cols w:equalWidth="0" w:num="1">
            <w:col w:w="11240"/>
          </w:cols>
          <w:pgMar w:left="320" w:top="620"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 Type)</w:t>
      </w: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Gentex Corporation</w:t>
      </w:r>
    </w:p>
    <w:p>
      <w:pPr>
        <w:spacing w:after="0" w:line="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Table 1 – Newly Registered Securities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180" w:type="dxa"/>
            <w:vAlign w:val="bottom"/>
            <w:tcBorders>
              <w:top w:val="single" w:sz="8" w:color="auto"/>
              <w:left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Security Type</w:t>
            </w:r>
          </w:p>
        </w:tc>
        <w:tc>
          <w:tcPr>
            <w:tcW w:w="138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Security Class</w:t>
            </w:r>
          </w:p>
        </w:tc>
        <w:tc>
          <w:tcPr>
            <w:tcW w:w="136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Fee</w:t>
            </w:r>
          </w:p>
        </w:tc>
        <w:tc>
          <w:tcPr>
            <w:tcW w:w="1460" w:type="dxa"/>
            <w:vAlign w:val="bottom"/>
            <w:tcBorders>
              <w:top w:val="single" w:sz="8" w:color="auto"/>
              <w:right w:val="single" w:sz="8" w:color="auto"/>
            </w:tcBorders>
          </w:tcPr>
          <w:p>
            <w:pPr>
              <w:ind w:left="420"/>
              <w:spacing w:after="0" w:line="198" w:lineRule="exact"/>
              <w:rPr>
                <w:sz w:val="20"/>
                <w:szCs w:val="20"/>
                <w:color w:val="auto"/>
              </w:rPr>
            </w:pPr>
            <w:r>
              <w:rPr>
                <w:rFonts w:ascii="Times New Roman" w:cs="Times New Roman" w:eastAsia="Times New Roman" w:hAnsi="Times New Roman"/>
                <w:sz w:val="18"/>
                <w:szCs w:val="18"/>
                <w:color w:val="auto"/>
              </w:rPr>
              <w:t>Amount</w:t>
            </w:r>
          </w:p>
        </w:tc>
        <w:tc>
          <w:tcPr>
            <w:tcW w:w="128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Proposed</w:t>
            </w:r>
          </w:p>
        </w:tc>
        <w:tc>
          <w:tcPr>
            <w:tcW w:w="164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Maximum</w:t>
            </w:r>
          </w:p>
        </w:tc>
        <w:tc>
          <w:tcPr>
            <w:tcW w:w="140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Fee Rate</w:t>
            </w:r>
          </w:p>
        </w:tc>
        <w:tc>
          <w:tcPr>
            <w:tcW w:w="1380" w:type="dxa"/>
            <w:vAlign w:val="bottom"/>
            <w:tcBorders>
              <w:top w:val="single" w:sz="8" w:color="auto"/>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Amount of</w:t>
            </w: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Title</w:t>
            </w: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Calculation</w:t>
            </w:r>
          </w:p>
        </w:tc>
        <w:tc>
          <w:tcPr>
            <w:tcW w:w="14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Registered(1)</w:t>
            </w: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Maximum</w:t>
            </w:r>
          </w:p>
        </w:tc>
        <w:tc>
          <w:tcPr>
            <w:tcW w:w="16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Aggregate Offering</w:t>
            </w: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Registration</w:t>
            </w: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Rule</w:t>
            </w:r>
          </w:p>
        </w:tc>
        <w:tc>
          <w:tcPr>
            <w:tcW w:w="14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Offering</w:t>
            </w:r>
          </w:p>
        </w:tc>
        <w:tc>
          <w:tcPr>
            <w:tcW w:w="164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Price(2)(3)</w:t>
            </w: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Fee</w:t>
            </w: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Price Per</w:t>
            </w:r>
          </w:p>
        </w:tc>
        <w:tc>
          <w:tcPr>
            <w:tcW w:w="16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Share(2)(3)</w:t>
            </w:r>
          </w:p>
        </w:tc>
        <w:tc>
          <w:tcPr>
            <w:tcW w:w="16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41"/>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178"/>
        </w:trPr>
        <w:tc>
          <w:tcPr>
            <w:tcW w:w="1180" w:type="dxa"/>
            <w:vAlign w:val="bottom"/>
            <w:tcBorders>
              <w:left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Equity</w:t>
            </w:r>
          </w:p>
        </w:tc>
        <w:tc>
          <w:tcPr>
            <w:tcW w:w="1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Common Stock,</w:t>
            </w:r>
          </w:p>
        </w:tc>
        <w:tc>
          <w:tcPr>
            <w:tcW w:w="136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Rules 457(c) and</w:t>
            </w:r>
          </w:p>
        </w:tc>
        <w:tc>
          <w:tcPr>
            <w:tcW w:w="1460" w:type="dxa"/>
            <w:vAlign w:val="bottom"/>
            <w:tcBorders>
              <w:right w:val="single" w:sz="8" w:color="auto"/>
            </w:tcBorders>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30,000,000</w:t>
            </w:r>
          </w:p>
        </w:tc>
        <w:tc>
          <w:tcPr>
            <w:tcW w:w="1280" w:type="dxa"/>
            <w:vAlign w:val="bottom"/>
            <w:tcBorders>
              <w:right w:val="single" w:sz="8" w:color="auto"/>
            </w:tcBorders>
          </w:tcPr>
          <w:p>
            <w:pPr>
              <w:jc w:val="right"/>
              <w:ind w:right="330"/>
              <w:spacing w:after="0" w:line="177" w:lineRule="exact"/>
              <w:rPr>
                <w:sz w:val="20"/>
                <w:szCs w:val="20"/>
                <w:color w:val="auto"/>
              </w:rPr>
            </w:pPr>
            <w:r>
              <w:rPr>
                <w:rFonts w:ascii="Times New Roman" w:cs="Times New Roman" w:eastAsia="Times New Roman" w:hAnsi="Times New Roman"/>
                <w:sz w:val="18"/>
                <w:szCs w:val="18"/>
                <w:color w:val="auto"/>
              </w:rPr>
              <w:t>$25.74</w:t>
            </w:r>
          </w:p>
        </w:tc>
        <w:tc>
          <w:tcPr>
            <w:tcW w:w="1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rPr>
              <w:t>$772,200,000.00</w:t>
            </w:r>
          </w:p>
        </w:tc>
        <w:tc>
          <w:tcPr>
            <w:tcW w:w="1400" w:type="dxa"/>
            <w:vAlign w:val="bottom"/>
            <w:tcBorders>
              <w:right w:val="single" w:sz="8" w:color="auto"/>
            </w:tcBorders>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0.0001381</w:t>
            </w:r>
          </w:p>
        </w:tc>
        <w:tc>
          <w:tcPr>
            <w:tcW w:w="138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$106,640.82</w:t>
            </w:r>
          </w:p>
        </w:tc>
      </w:tr>
      <w:tr>
        <w:trPr>
          <w:trHeight w:val="234"/>
        </w:trPr>
        <w:tc>
          <w:tcPr>
            <w:tcW w:w="1180" w:type="dxa"/>
            <w:vAlign w:val="bottom"/>
            <w:tcBorders>
              <w:left w:val="single" w:sz="8" w:color="auto"/>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$0.06 par value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46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40"/>
        </w:trPr>
        <w:tc>
          <w:tcPr>
            <w:tcW w:w="1180" w:type="dxa"/>
            <w:vAlign w:val="bottom"/>
            <w:tcBorders>
              <w:left w:val="single" w:sz="8" w:color="auto"/>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r>
      <w:tr>
        <w:trPr>
          <w:trHeight w:val="228"/>
        </w:trPr>
        <w:tc>
          <w:tcPr>
            <w:tcW w:w="1180" w:type="dxa"/>
            <w:vAlign w:val="bottom"/>
            <w:tcBorders>
              <w:left w:val="single" w:sz="8" w:color="auto"/>
            </w:tcBorders>
          </w:tcPr>
          <w:p>
            <w:pPr>
              <w:spacing w:after="0"/>
              <w:rPr>
                <w:sz w:val="19"/>
                <w:szCs w:val="19"/>
                <w:color w:val="auto"/>
              </w:rPr>
            </w:pPr>
          </w:p>
        </w:tc>
        <w:tc>
          <w:tcPr>
            <w:tcW w:w="2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4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$772,200,000.00</w:t>
            </w:r>
          </w:p>
        </w:tc>
        <w:tc>
          <w:tcPr>
            <w:tcW w:w="140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$106,640.82</w:t>
            </w:r>
          </w:p>
        </w:tc>
      </w:tr>
      <w:tr>
        <w:trPr>
          <w:trHeight w:val="22"/>
        </w:trPr>
        <w:tc>
          <w:tcPr>
            <w:tcW w:w="1180" w:type="dxa"/>
            <w:vAlign w:val="bottom"/>
            <w:tcBorders>
              <w:left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1180" w:type="dxa"/>
            <w:vAlign w:val="bottom"/>
            <w:tcBorders>
              <w:left w:val="single" w:sz="8" w:color="auto"/>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center"/>
              <w:ind w:left="190"/>
              <w:spacing w:after="0" w:line="250" w:lineRule="exact"/>
              <w:rPr>
                <w:sz w:val="20"/>
                <w:szCs w:val="20"/>
                <w:color w:val="auto"/>
              </w:rPr>
            </w:pPr>
            <w:r>
              <w:rPr>
                <w:rFonts w:ascii="Times New Roman" w:cs="Times New Roman" w:eastAsia="Times New Roman" w:hAnsi="Times New Roman"/>
                <w:sz w:val="18"/>
                <w:szCs w:val="18"/>
                <w:color w:val="auto"/>
                <w:w w:val="96"/>
              </w:rPr>
              <w:t>Total Fee Offsets</w:t>
            </w:r>
            <w:r>
              <w:rPr>
                <w:rFonts w:ascii="Times New Roman" w:cs="Times New Roman" w:eastAsia="Times New Roman" w:hAnsi="Times New Roman"/>
                <w:sz w:val="23"/>
                <w:szCs w:val="23"/>
                <w:color w:val="auto"/>
                <w:w w:val="96"/>
                <w:vertAlign w:val="superscript"/>
              </w:rPr>
              <w:t>(4)</w:t>
            </w:r>
          </w:p>
        </w:tc>
        <w:tc>
          <w:tcPr>
            <w:tcW w:w="146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8"/>
        </w:trPr>
        <w:tc>
          <w:tcPr>
            <w:tcW w:w="1180" w:type="dxa"/>
            <w:vAlign w:val="bottom"/>
            <w:tcBorders>
              <w:left w:val="single" w:sz="8" w:color="auto"/>
            </w:tcBorders>
          </w:tcPr>
          <w:p>
            <w:pPr>
              <w:spacing w:after="0"/>
              <w:rPr>
                <w:sz w:val="19"/>
                <w:szCs w:val="19"/>
                <w:color w:val="auto"/>
              </w:rPr>
            </w:pPr>
          </w:p>
        </w:tc>
        <w:tc>
          <w:tcPr>
            <w:tcW w:w="274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Net Fee Due</w:t>
            </w:r>
          </w:p>
        </w:tc>
        <w:tc>
          <w:tcPr>
            <w:tcW w:w="146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64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$106,640.82</w:t>
            </w:r>
          </w:p>
        </w:tc>
      </w:tr>
      <w:tr>
        <w:trPr>
          <w:trHeight w:val="22"/>
        </w:trPr>
        <w:tc>
          <w:tcPr>
            <w:tcW w:w="1180" w:type="dxa"/>
            <w:vAlign w:val="bottom"/>
            <w:tcBorders>
              <w:left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left="620" w:hanging="594"/>
        <w:spacing w:after="0" w:line="231"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this registration statement covers such indeterminate number of additional shares of common stock as may become issuable under the Gentex Corporation 2026 Omnibus Incentive Plan by reason of any stock dividend, stock split, combination of shares, recapitalization, or other corporate transaction or event having an effect similar to the foregoing.</w:t>
      </w:r>
    </w:p>
    <w:p>
      <w:pPr>
        <w:spacing w:after="0" w:line="1" w:lineRule="exact"/>
        <w:rPr>
          <w:rFonts w:ascii="Times New Roman" w:cs="Times New Roman" w:eastAsia="Times New Roman" w:hAnsi="Times New Roman"/>
          <w:sz w:val="18"/>
          <w:szCs w:val="18"/>
          <w:color w:val="auto"/>
        </w:rPr>
      </w:pPr>
    </w:p>
    <w:p>
      <w:pPr>
        <w:ind w:left="620" w:hanging="59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w:t>
      </w:r>
    </w:p>
    <w:p>
      <w:pPr>
        <w:spacing w:after="0" w:line="44" w:lineRule="exact"/>
        <w:rPr>
          <w:rFonts w:ascii="Times New Roman" w:cs="Times New Roman" w:eastAsia="Times New Roman" w:hAnsi="Times New Roman"/>
          <w:sz w:val="18"/>
          <w:szCs w:val="18"/>
          <w:color w:val="auto"/>
        </w:rPr>
      </w:pPr>
    </w:p>
    <w:p>
      <w:pPr>
        <w:ind w:left="620" w:right="80" w:hanging="594"/>
        <w:spacing w:after="0" w:line="250"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computed in accordance with Rule 457(h) and (c) under the Securities Act of 1933. On June 12, 2026, the average of the high and low sales prices for Gentex Corporation’s common stock reported on the NASDAQ was $25.74 per share, which date is within five (5) business days prior to the date of filing this registration statement.</w:t>
      </w:r>
    </w:p>
    <w:p>
      <w:pPr>
        <w:spacing w:after="0" w:line="14" w:lineRule="exact"/>
        <w:rPr>
          <w:rFonts w:ascii="Times New Roman" w:cs="Times New Roman" w:eastAsia="Times New Roman" w:hAnsi="Times New Roman"/>
          <w:sz w:val="18"/>
          <w:szCs w:val="18"/>
          <w:color w:val="auto"/>
        </w:rPr>
      </w:pPr>
    </w:p>
    <w:p>
      <w:pPr>
        <w:ind w:left="620" w:hanging="59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ectPr>
          <w:pgSz w:w="11900" w:h="16838" w:orient="portrait"/>
          <w:cols w:equalWidth="0" w:num="1">
            <w:col w:w="11080"/>
          </w:cols>
          <w:pgMar w:left="320" w:top="1400" w:right="4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w:t>
      </w:r>
    </w:p>
    <w:p>
      <w:pPr>
        <w:spacing w:after="0" w:line="200" w:lineRule="exact"/>
        <w:rPr>
          <w:sz w:val="20"/>
          <w:szCs w:val="20"/>
          <w:color w:val="auto"/>
        </w:rPr>
      </w:pPr>
    </w:p>
    <w:p>
      <w:pPr>
        <w:spacing w:after="0" w:line="20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Varnum LLP</w:t>
      </w:r>
    </w:p>
    <w:p>
      <w:pPr>
        <w:ind w:left="5000"/>
        <w:spacing w:after="0" w:line="187" w:lineRule="auto"/>
        <w:rPr>
          <w:sz w:val="20"/>
          <w:szCs w:val="20"/>
          <w:color w:val="auto"/>
        </w:rPr>
      </w:pPr>
      <w:r>
        <w:rPr>
          <w:rFonts w:ascii="Times New Roman" w:cs="Times New Roman" w:eastAsia="Times New Roman" w:hAnsi="Times New Roman"/>
          <w:sz w:val="18"/>
          <w:szCs w:val="18"/>
          <w:color w:val="auto"/>
        </w:rPr>
        <w:t>Attorneys at Law</w:t>
      </w:r>
    </w:p>
    <w:p>
      <w:pPr>
        <w:ind w:left="4820"/>
        <w:spacing w:after="0" w:line="204" w:lineRule="auto"/>
        <w:rPr>
          <w:sz w:val="20"/>
          <w:szCs w:val="20"/>
          <w:color w:val="auto"/>
        </w:rPr>
      </w:pPr>
      <w:r>
        <w:rPr>
          <w:rFonts w:ascii="Times New Roman" w:cs="Times New Roman" w:eastAsia="Times New Roman" w:hAnsi="Times New Roman"/>
          <w:sz w:val="18"/>
          <w:szCs w:val="18"/>
          <w:color w:val="auto"/>
        </w:rPr>
        <w:t>333 Bridge Street NW</w:t>
      </w:r>
    </w:p>
    <w:p>
      <w:pPr>
        <w:ind w:left="5240"/>
        <w:spacing w:after="0" w:line="188" w:lineRule="auto"/>
        <w:rPr>
          <w:sz w:val="20"/>
          <w:szCs w:val="20"/>
          <w:color w:val="auto"/>
        </w:rPr>
      </w:pPr>
      <w:r>
        <w:rPr>
          <w:rFonts w:ascii="Times New Roman" w:cs="Times New Roman" w:eastAsia="Times New Roman" w:hAnsi="Times New Roman"/>
          <w:sz w:val="18"/>
          <w:szCs w:val="18"/>
          <w:color w:val="auto"/>
        </w:rPr>
        <w:t>Suite 1700</w:t>
      </w:r>
    </w:p>
    <w:p>
      <w:pPr>
        <w:jc w:val="center"/>
        <w:spacing w:after="0"/>
        <w:rPr>
          <w:sz w:val="20"/>
          <w:szCs w:val="20"/>
          <w:color w:val="auto"/>
        </w:rPr>
      </w:pPr>
      <w:r>
        <w:rPr>
          <w:rFonts w:ascii="Times New Roman" w:cs="Times New Roman" w:eastAsia="Times New Roman" w:hAnsi="Times New Roman"/>
          <w:sz w:val="18"/>
          <w:szCs w:val="18"/>
          <w:color w:val="auto"/>
        </w:rPr>
        <w:t>Grand Rapids, Michigan 49504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Gentex Corporation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N. Centennial Street</w:t>
      </w:r>
    </w:p>
    <w:p>
      <w:pPr>
        <w:spacing w:after="0"/>
        <w:rPr>
          <w:sz w:val="20"/>
          <w:szCs w:val="20"/>
          <w:color w:val="auto"/>
        </w:rPr>
      </w:pPr>
      <w:r>
        <w:rPr>
          <w:rFonts w:ascii="Times New Roman" w:cs="Times New Roman" w:eastAsia="Times New Roman" w:hAnsi="Times New Roman"/>
          <w:sz w:val="18"/>
          <w:szCs w:val="18"/>
          <w:color w:val="auto"/>
        </w:rPr>
        <w:t>Zeeland, Michigan 49464</w:t>
      </w:r>
    </w:p>
    <w:p>
      <w:pPr>
        <w:spacing w:after="0" w:line="26" w:lineRule="exact"/>
        <w:rPr>
          <w:sz w:val="20"/>
          <w:szCs w:val="20"/>
          <w:color w:val="auto"/>
        </w:rPr>
      </w:pPr>
    </w:p>
    <w:p>
      <w:pPr>
        <w:jc w:val="center"/>
        <w:ind w:left="1620"/>
        <w:spacing w:after="0"/>
        <w:tabs>
          <w:tab w:leader="none" w:pos="3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 Relating to Gentex Corporation 2026 Omnibus Incentive Plan, an</w:t>
      </w:r>
    </w:p>
    <w:p>
      <w:pPr>
        <w:spacing w:after="0" w:line="20"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amendment and restatement of Gentex Corporation 2019 Omnibus Incentive Plan (the "Plan")</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3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have acted as counsel to Gentex Corporation, a Michigan corporation ("Gentex"), in connection with the Registration Statement on Form S-8 (as the same may be amended and supplemented, the "Registration Statement") filed by Gentex on or about the date hereof with the Securities and Exchange Commission (the "Commission") under the Securities Act of 1933, as amended (the "Securities Act"), relating to the registration of 30,000,000 shares of Gentex Common Stock, par value $0.06 per share (the "Shares"), to be issued in accordance with the Plan.</w:t>
      </w:r>
    </w:p>
    <w:p>
      <w:pPr>
        <w:spacing w:after="0" w:line="225" w:lineRule="exact"/>
        <w:rPr>
          <w:sz w:val="20"/>
          <w:szCs w:val="20"/>
          <w:color w:val="auto"/>
        </w:rPr>
      </w:pPr>
    </w:p>
    <w:p>
      <w:pPr>
        <w:jc w:val="both"/>
        <w:ind w:firstLine="648"/>
        <w:spacing w:after="0" w:line="211" w:lineRule="exact"/>
        <w:rPr>
          <w:sz w:val="20"/>
          <w:szCs w:val="20"/>
          <w:color w:val="auto"/>
        </w:rPr>
      </w:pPr>
      <w:r>
        <w:rPr>
          <w:rFonts w:ascii="Times New Roman" w:cs="Times New Roman" w:eastAsia="Times New Roman" w:hAnsi="Times New Roman"/>
          <w:sz w:val="18"/>
          <w:szCs w:val="18"/>
          <w:color w:val="auto"/>
        </w:rPr>
        <w:t>In connection with this opinion, we have examined such documents and questions of law we consider necessary or appropriate for the purpose of giving this opinion, including Gentex's Restated Articles of Incorporation, Amended and Restated Bylaws, approvals of the Gentex Board of Directors with respect to the Plan, a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Commission on May 26, 2026, reflecting approval of the Plan by the shareholders of Gentex, and the terms of the Plan. In our examination, we have assumed the genuineness of all signatures, legal capacity of all natural persons, the authenticity of all documents submitted to us as originals, the conformity to original documents of all documents submitted to us as copies, and the authenticity of originals or copies. In addition, we assume that upon the issuance of the Shares, the total number of shares of Common Stock issued and outstanding will not exceed the total number of shares of Common Stock the Company is then authorized to issue under its Restated Articles of Incorporation.</w:t>
      </w:r>
    </w:p>
    <w:p>
      <w:pPr>
        <w:spacing w:after="0" w:line="22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the basis of such examination and in reliance upon such assumptions, we advise you that, in our opinion, the Shares covered by the Registration Statement, upon delivery of such Shares in accordance with the Restated Articles of Incorporation, the Plan, and this Registration Statement, as well as payment for such Shares in accordance with the terms stated in the Plan and the Registration Statement, will be validly issued, fully paid, and non-assessable.</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providing such consent, we do not admit we are in the category of persons whose consent is required under Section 7 of the Securities Act or the rules and regulations of the Commission promulgated thereunder.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rendered only for the purposes of Part II, Item 8 of Form S-8 and Item 601(b)(5) of Regulation S-K and may not be used, quoted, or otherwise referred to or filed for any other purpose without this firm's prior written consent. This opinion is also limited to matters specifically referenced herein and is limited to the laws of the state of Michigan and is effective as of the date hereof.</w:t>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VARNUM LLP</w:t>
      </w:r>
    </w:p>
    <w:p>
      <w:pPr>
        <w:spacing w:after="0" w:line="320" w:lineRule="exact"/>
        <w:rPr>
          <w:sz w:val="20"/>
          <w:szCs w:val="20"/>
          <w:color w:val="auto"/>
        </w:rPr>
      </w:pPr>
    </w:p>
    <w:p>
      <w:pPr>
        <w:ind w:left="5140"/>
        <w:spacing w:after="0"/>
        <w:tabs>
          <w:tab w:leader="none" w:pos="5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B. Levan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34290</wp:posOffset>
            </wp:positionV>
            <wp:extent cx="3454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4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Joseph B. Levan, Partner</w:t>
      </w:r>
    </w:p>
    <w:p>
      <w:pPr>
        <w:sectPr>
          <w:pgSz w:w="11900" w:h="16838" w:orient="portrait"/>
          <w:cols w:equalWidth="0" w:num="1">
            <w:col w:w="11240"/>
          </w:cols>
          <w:pgMar w:left="320" w:top="1093"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 (Form S-8) pertaining to the Gentex Corporation 2026 Omnibus</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Incentive Plan of our reports dated February 24, 2026, with respect to the consolidated financial statements of Gentex Corporation and subsidiaries and the effectiveness of internal control over financial reporting of Gentex Corporation and subsidiaries included in its Annual Report (Form 10-K) for the year ended December 31, 2025, filed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16, 2026</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3">
    <w:nsid w:val="46E87CC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
    <w:nsid w:val="3D1B58BA"/>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9" Type="http://schemas.openxmlformats.org/officeDocument/2006/relationships/hyperlink" Target="https://www.sec.gov/Archives/edgar/data/355811/000095012404005224/k88664exv3wxay.txt" TargetMode="External"/><Relationship Id="rId10" Type="http://schemas.openxmlformats.org/officeDocument/2006/relationships/hyperlink" Target="https://www.sec.gov/Archives/edgar/data/355811/000119312512242911/d356452dex31i.htm" TargetMode="External"/><Relationship Id="rId11" Type="http://schemas.openxmlformats.org/officeDocument/2006/relationships/hyperlink" Target="https://www.sec.gov/Archives/edgar/data/355811/000095012403001517/k76699exv3wxbyx1y.txt" TargetMode="External"/><Relationship Id="rId12" Type="http://schemas.openxmlformats.org/officeDocument/2006/relationships/hyperlink" Target="https://www.sec.gov/Archives/edgar/data/355811/000092604412000006/gentex8k_021612bylawsex3.htm" TargetMode="External"/><Relationship Id="rId13" Type="http://schemas.openxmlformats.org/officeDocument/2006/relationships/hyperlink" Target="https://www.sec.gov/Archives/edgar/data/355811/000035581126000016/gntx-202604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2026-06-16T15:23:57Z</dcterms:created>
  <dcterms:modified xsi:type="dcterms:W3CDTF">2026-06-16T15:23:57Z</dcterms:modified>
</cp:coreProperties>
</file>